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D8EB" w14:textId="77777777" w:rsidR="007A7E45" w:rsidRPr="00FE4B89" w:rsidRDefault="007A7E45" w:rsidP="00FE4B89"/>
    <w:p w14:paraId="266F6E3D" w14:textId="77777777" w:rsidR="00C85924" w:rsidRDefault="00000000">
      <w:pPr>
        <w:pStyle w:val="Heading1"/>
      </w:pPr>
      <w:r>
        <w:t>010 HRVATSKI SABOR</w:t>
      </w:r>
    </w:p>
    <w:p w14:paraId="1BE4DCD9" w14:textId="77777777" w:rsidR="00C85924" w:rsidRDefault="00000000">
      <w:r>
        <w:t xml:space="preserve">Hrvatski sabor je predstavničko tijelo građana i nositelj zakonodavne vlasti u Republici Hrvatskoj. U ostvarivanju svojih Ustavnih zadaća Hrvatski sabor redovito zasjeda između 15. siječnja i 15. srpnja te između 15. rujna i 15. prosinca, a može, na zahtjev Predsjednika Republike, Vlade Republike Hrvatske ili većine zastupnika, zasjedati i izvanredno.    </w:t>
      </w:r>
    </w:p>
    <w:p w14:paraId="35F93DA2" w14:textId="77777777" w:rsidR="00C85924" w:rsidRDefault="00000000">
      <w:r>
        <w:t xml:space="preserve">Aktualni, jedanaesti saziv Hrvatskoga sabora konstituiran je 16. svibnja 2024. godine na temelju rezultata izbora za zastupnike u Hrvatski sabor, održanih 17. travnja 2024. godine u dvanaest izbornih jedinica.    </w:t>
      </w:r>
    </w:p>
    <w:p w14:paraId="35BE50A9" w14:textId="77777777" w:rsidR="00C85924" w:rsidRDefault="00000000">
      <w:r>
        <w:t xml:space="preserve">Unutarnje ustrojstvo Hrvatskoga sabora određeno je Poslovnikom. Prema Poslovniku, zastupnici sudjeluju u radu plenarne sjednice, podnose prijedloge zakona i drugih akata, upućuju pitanja predsjedniku i članovima Vlade, sudjeluju u radu sjednica radnih tijela te u radu drugih tijela u koja su imenovani odlukama Sabora. Zastupnici mogu osnivati klubove pod uvjetima koje propisuje Poslovnik. Predsjednici klubova zastupnika s Predsjedništvom raspravljaju o dnevnom redu predstojeće sjednice Sabora i drugim važnim pitanjima za rad Sabora. Stručne i administrativne, sigurnosne, tehničke i druge poslove obavlja Stručna služba čiji rad usmjerava i usklađuje tajnik Sabora i odgovoran je za njezin rad.    </w:t>
      </w:r>
    </w:p>
    <w:p w14:paraId="612930F2" w14:textId="77777777" w:rsidR="00C85924" w:rsidRDefault="00000000">
      <w:r>
        <w:t xml:space="preserve">Stručna služba obavlja poslove koji se odnose na: stručne administrativne i sigurnosne poslove u pripremi i organiziranju sjednica Sabora, pripremu i objavu donesenih zakona, odluka i zaključaka Sabora, praćenje izvršavanja zaključaka Sabora, rad izaslanstava Sabora, poslove za zastupnike i klubove zastupnika, poslove iz djelokruga radno-pravnih odnosa, poslove u svezi s obavješćivanjem javnosti o radu Sabora i njegovih radnih tijela, materijalno i financijsko poslovanje Sabora, poslove u svezi s tiskanjem, otpremom, arhiviranjem dokumentacije i akata Sabora,  poslove nadzora ulaska u zgrade Sabora, pružanje stručne i administrativne podrške zastupnicima u obavljanju zadaća vezano uz međunarodnu suradnju te poslove u okviru parlamentarne dimenzije Europske unije.    </w:t>
      </w:r>
    </w:p>
    <w:p w14:paraId="04478DAF" w14:textId="77777777" w:rsidR="00C85924" w:rsidRDefault="00000000">
      <w:r>
        <w:t>Tijekom 2025. godine fokus poslovanja bio je usmjeren na ostvarivanje ustavnih, poslovničkih i zakonskih zadaća, pružanje operativne podrške radu zastupnika, nastavak modernizacije aplikativnih rješenja te na provedbu konstrukcijske i cjelovite obnove zgrade Hrvatskoga sabora od posljedica potresa.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C85924" w14:paraId="46FDB051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481316EA" w14:textId="77777777" w:rsidR="00C85924" w:rsidRDefault="00C85924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1F62EC8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3118782B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12C6D8E6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717BA9C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302CEFF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Index izvršenje 2025./2024.</w:t>
            </w:r>
          </w:p>
        </w:tc>
      </w:tr>
      <w:tr w:rsidR="00C85924" w14:paraId="2AE79272" w14:textId="77777777">
        <w:trPr>
          <w:jc w:val="center"/>
        </w:trPr>
        <w:tc>
          <w:tcPr>
            <w:tcW w:w="1632" w:type="dxa"/>
            <w:vAlign w:val="top"/>
          </w:tcPr>
          <w:p w14:paraId="0D61DD02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01005-Hrvatski sabor</w:t>
            </w:r>
          </w:p>
        </w:tc>
        <w:tc>
          <w:tcPr>
            <w:tcW w:w="2041" w:type="dxa"/>
            <w:vAlign w:val="top"/>
          </w:tcPr>
          <w:p w14:paraId="7E68576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25.478.832</w:t>
            </w:r>
          </w:p>
        </w:tc>
        <w:tc>
          <w:tcPr>
            <w:tcW w:w="2041" w:type="dxa"/>
            <w:vAlign w:val="top"/>
          </w:tcPr>
          <w:p w14:paraId="03EF48F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36.907.960</w:t>
            </w:r>
          </w:p>
        </w:tc>
        <w:tc>
          <w:tcPr>
            <w:tcW w:w="2041" w:type="dxa"/>
            <w:vAlign w:val="top"/>
          </w:tcPr>
          <w:p w14:paraId="0DD001E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34.909.606</w:t>
            </w:r>
          </w:p>
        </w:tc>
        <w:tc>
          <w:tcPr>
            <w:tcW w:w="1224" w:type="dxa"/>
            <w:vAlign w:val="top"/>
          </w:tcPr>
          <w:p w14:paraId="7FE6D02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94,6</w:t>
            </w:r>
          </w:p>
        </w:tc>
        <w:tc>
          <w:tcPr>
            <w:tcW w:w="1224" w:type="dxa"/>
            <w:vAlign w:val="top"/>
          </w:tcPr>
          <w:p w14:paraId="54CBD642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137,0</w:t>
            </w:r>
          </w:p>
        </w:tc>
      </w:tr>
      <w:tr w:rsidR="00C85924" w14:paraId="42B973BC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10E9EB8B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Ukupno 010-HRVATSKI SABOR</w:t>
            </w:r>
          </w:p>
        </w:tc>
        <w:tc>
          <w:tcPr>
            <w:tcW w:w="2041" w:type="dxa"/>
            <w:shd w:val="clear" w:color="auto" w:fill="B5C0D8"/>
          </w:tcPr>
          <w:p w14:paraId="78FDFBF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25.478.832</w:t>
            </w:r>
          </w:p>
        </w:tc>
        <w:tc>
          <w:tcPr>
            <w:tcW w:w="2041" w:type="dxa"/>
            <w:shd w:val="clear" w:color="auto" w:fill="B5C0D8"/>
          </w:tcPr>
          <w:p w14:paraId="42B78BE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36.907.960</w:t>
            </w:r>
          </w:p>
        </w:tc>
        <w:tc>
          <w:tcPr>
            <w:tcW w:w="2041" w:type="dxa"/>
            <w:shd w:val="clear" w:color="auto" w:fill="B5C0D8"/>
          </w:tcPr>
          <w:p w14:paraId="167F8CE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34.909.606</w:t>
            </w:r>
          </w:p>
        </w:tc>
        <w:tc>
          <w:tcPr>
            <w:tcW w:w="1224" w:type="dxa"/>
            <w:shd w:val="clear" w:color="auto" w:fill="B5C0D8"/>
          </w:tcPr>
          <w:p w14:paraId="364DBEF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94,6</w:t>
            </w:r>
          </w:p>
        </w:tc>
        <w:tc>
          <w:tcPr>
            <w:tcW w:w="1224" w:type="dxa"/>
            <w:shd w:val="clear" w:color="auto" w:fill="B5C0D8"/>
          </w:tcPr>
          <w:p w14:paraId="5FA4721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137,0</w:t>
            </w:r>
          </w:p>
        </w:tc>
      </w:tr>
    </w:tbl>
    <w:p w14:paraId="5F99C08C" w14:textId="77777777" w:rsidR="00C85924" w:rsidRDefault="00C85924">
      <w:pPr>
        <w:jc w:val="left"/>
      </w:pPr>
    </w:p>
    <w:p w14:paraId="287C9F1D" w14:textId="77777777" w:rsidR="00C85924" w:rsidRDefault="00000000">
      <w:pPr>
        <w:pStyle w:val="Heading2"/>
      </w:pPr>
      <w:r>
        <w:t>01005 Hrvatski sabor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59"/>
        <w:gridCol w:w="2034"/>
        <w:gridCol w:w="2034"/>
        <w:gridCol w:w="2034"/>
        <w:gridCol w:w="1222"/>
        <w:gridCol w:w="1223"/>
      </w:tblGrid>
      <w:tr w:rsidR="00C85924" w14:paraId="640E8166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4FF0F6B9" w14:textId="77777777" w:rsidR="00C85924" w:rsidRDefault="00C85924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6A35F33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32C0874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1F12AA2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2A1566B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12125333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13CD44C6" w14:textId="77777777">
        <w:trPr>
          <w:jc w:val="center"/>
        </w:trPr>
        <w:tc>
          <w:tcPr>
            <w:tcW w:w="1632" w:type="dxa"/>
            <w:vAlign w:val="top"/>
          </w:tcPr>
          <w:p w14:paraId="1B8716E6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01005-Hrvatski sabor</w:t>
            </w:r>
          </w:p>
        </w:tc>
        <w:tc>
          <w:tcPr>
            <w:tcW w:w="2041" w:type="dxa"/>
            <w:vAlign w:val="top"/>
          </w:tcPr>
          <w:p w14:paraId="28863E29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25.478.832</w:t>
            </w:r>
          </w:p>
        </w:tc>
        <w:tc>
          <w:tcPr>
            <w:tcW w:w="2041" w:type="dxa"/>
            <w:vAlign w:val="top"/>
          </w:tcPr>
          <w:p w14:paraId="410B851C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36.907.960</w:t>
            </w:r>
          </w:p>
        </w:tc>
        <w:tc>
          <w:tcPr>
            <w:tcW w:w="2041" w:type="dxa"/>
            <w:vAlign w:val="top"/>
          </w:tcPr>
          <w:p w14:paraId="71FE5152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34.909.606</w:t>
            </w:r>
          </w:p>
        </w:tc>
        <w:tc>
          <w:tcPr>
            <w:tcW w:w="1224" w:type="dxa"/>
            <w:vAlign w:val="top"/>
          </w:tcPr>
          <w:p w14:paraId="4482A1F0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94,6</w:t>
            </w:r>
          </w:p>
        </w:tc>
        <w:tc>
          <w:tcPr>
            <w:tcW w:w="1224" w:type="dxa"/>
            <w:vAlign w:val="top"/>
          </w:tcPr>
          <w:p w14:paraId="628B446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137,0</w:t>
            </w:r>
          </w:p>
        </w:tc>
      </w:tr>
      <w:tr w:rsidR="00C85924" w14:paraId="3C78EFB5" w14:textId="77777777">
        <w:trPr>
          <w:jc w:val="center"/>
        </w:trPr>
        <w:tc>
          <w:tcPr>
            <w:tcW w:w="1632" w:type="dxa"/>
          </w:tcPr>
          <w:p w14:paraId="44D4095D" w14:textId="77777777" w:rsidR="00C85924" w:rsidRDefault="00000000">
            <w:pPr>
              <w:jc w:val="left"/>
            </w:pPr>
            <w:r>
              <w:t>2101-PROVOĐENJE ZAKONODAVNE VLASTI</w:t>
            </w:r>
          </w:p>
        </w:tc>
        <w:tc>
          <w:tcPr>
            <w:tcW w:w="2041" w:type="dxa"/>
          </w:tcPr>
          <w:p w14:paraId="15781FC9" w14:textId="77777777" w:rsidR="00C85924" w:rsidRDefault="00000000">
            <w:pPr>
              <w:jc w:val="right"/>
            </w:pPr>
            <w:r>
              <w:t>25.478.832</w:t>
            </w:r>
          </w:p>
        </w:tc>
        <w:tc>
          <w:tcPr>
            <w:tcW w:w="2041" w:type="dxa"/>
          </w:tcPr>
          <w:p w14:paraId="3C68242F" w14:textId="77777777" w:rsidR="00C85924" w:rsidRDefault="00000000">
            <w:pPr>
              <w:jc w:val="right"/>
            </w:pPr>
            <w:r>
              <w:t>36.907.960</w:t>
            </w:r>
          </w:p>
        </w:tc>
        <w:tc>
          <w:tcPr>
            <w:tcW w:w="2041" w:type="dxa"/>
          </w:tcPr>
          <w:p w14:paraId="0240E177" w14:textId="77777777" w:rsidR="00C85924" w:rsidRDefault="00000000">
            <w:pPr>
              <w:jc w:val="right"/>
            </w:pPr>
            <w:r>
              <w:t>34.909.606</w:t>
            </w:r>
          </w:p>
        </w:tc>
        <w:tc>
          <w:tcPr>
            <w:tcW w:w="1224" w:type="dxa"/>
          </w:tcPr>
          <w:p w14:paraId="0E164329" w14:textId="77777777" w:rsidR="00C85924" w:rsidRDefault="00000000">
            <w:pPr>
              <w:jc w:val="right"/>
            </w:pPr>
            <w:r>
              <w:t>94,6</w:t>
            </w:r>
          </w:p>
        </w:tc>
        <w:tc>
          <w:tcPr>
            <w:tcW w:w="1224" w:type="dxa"/>
          </w:tcPr>
          <w:p w14:paraId="071B46D4" w14:textId="77777777" w:rsidR="00C85924" w:rsidRDefault="00000000">
            <w:pPr>
              <w:jc w:val="right"/>
            </w:pPr>
            <w:r>
              <w:t>137,0</w:t>
            </w:r>
          </w:p>
        </w:tc>
      </w:tr>
    </w:tbl>
    <w:p w14:paraId="0690D18B" w14:textId="77777777" w:rsidR="00C85924" w:rsidRDefault="00C85924">
      <w:pPr>
        <w:jc w:val="left"/>
      </w:pPr>
    </w:p>
    <w:p w14:paraId="7CC36C5A" w14:textId="77777777" w:rsidR="00C85924" w:rsidRDefault="00000000">
      <w:pPr>
        <w:pStyle w:val="Heading3"/>
      </w:pPr>
      <w:r>
        <w:rPr>
          <w:rFonts w:cs="Times New Roman"/>
        </w:rPr>
        <w:lastRenderedPageBreak/>
        <w:t>2101 PROVOĐENJE ZAKONODAVNE VLASTI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59"/>
        <w:gridCol w:w="2034"/>
        <w:gridCol w:w="2034"/>
        <w:gridCol w:w="2034"/>
        <w:gridCol w:w="1222"/>
        <w:gridCol w:w="1223"/>
      </w:tblGrid>
      <w:tr w:rsidR="00C85924" w14:paraId="5B8E08F3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7020B500" w14:textId="77777777" w:rsidR="00C85924" w:rsidRDefault="00C85924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31CCA80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1356E51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079F8750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0E16C76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1AEB9A60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Index izvršenje 2025./2024.</w:t>
            </w:r>
          </w:p>
        </w:tc>
      </w:tr>
      <w:tr w:rsidR="00C85924" w14:paraId="2748E18B" w14:textId="77777777">
        <w:trPr>
          <w:jc w:val="center"/>
        </w:trPr>
        <w:tc>
          <w:tcPr>
            <w:tcW w:w="1632" w:type="dxa"/>
          </w:tcPr>
          <w:p w14:paraId="72FA3554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2101-PROVOĐENJE ZAKONODAVNE VLASTI</w:t>
            </w:r>
          </w:p>
        </w:tc>
        <w:tc>
          <w:tcPr>
            <w:tcW w:w="2041" w:type="dxa"/>
          </w:tcPr>
          <w:p w14:paraId="03DCDCA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25.478.832</w:t>
            </w:r>
          </w:p>
        </w:tc>
        <w:tc>
          <w:tcPr>
            <w:tcW w:w="2041" w:type="dxa"/>
          </w:tcPr>
          <w:p w14:paraId="4B0A370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36.907.960</w:t>
            </w:r>
          </w:p>
        </w:tc>
        <w:tc>
          <w:tcPr>
            <w:tcW w:w="2041" w:type="dxa"/>
          </w:tcPr>
          <w:p w14:paraId="61EEF0F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34.909.606</w:t>
            </w:r>
          </w:p>
        </w:tc>
        <w:tc>
          <w:tcPr>
            <w:tcW w:w="1224" w:type="dxa"/>
          </w:tcPr>
          <w:p w14:paraId="26A0497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94,6</w:t>
            </w:r>
          </w:p>
        </w:tc>
        <w:tc>
          <w:tcPr>
            <w:tcW w:w="1224" w:type="dxa"/>
          </w:tcPr>
          <w:p w14:paraId="6E2F4A7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137,0</w:t>
            </w:r>
          </w:p>
        </w:tc>
      </w:tr>
    </w:tbl>
    <w:p w14:paraId="32016664" w14:textId="77777777" w:rsidR="00C85924" w:rsidRDefault="00C85924">
      <w:pPr>
        <w:jc w:val="left"/>
      </w:pPr>
    </w:p>
    <w:p w14:paraId="7AC1DC72" w14:textId="77777777" w:rsidR="00C85924" w:rsidRDefault="00000000">
      <w:r>
        <w:t>Sukladno Ustavu Republike Hrvatske Sabor odlučuje o donošenju i promjeni Ustava, donosi zakone, donosi državni proračun, odlučuje o ratu i miru, donosi akte kojima izražava politiku Hrvatskoga sabora, donosi Strategiju nacionalne sigurnosti i Strategiju obrane Republike Hrvatske, ostvaruje građanski nadzor nad oružanim snagama i službama sigurnosti Republike Hrvatske, odlučuje o promjeni granica Republike Hrvatske, raspisuje referendum, obavlja izbore, imenovanja i razrješenja, u skladu s Ustavom i zakonom, nadzire rad Vlade Republike Hrvatske i drugih nositelja javnih dužnosti odgovornih Hrvatskom saboru, u skladu s Ustavom i zakonom, daje amnestiju za kaznena djela te obavlja druge poslove utvrđene Ustavom. U okviru provođenja međunarodne suradnje, Hrvatski sabor sudjeluje u radu međunarodnih organizacija, kojih je Republika Hrvatska članica, a koje imaju parlamentarnu dimenziju.</w:t>
      </w:r>
    </w:p>
    <w:p w14:paraId="7A33049C" w14:textId="77777777" w:rsidR="00C85924" w:rsidRDefault="00000000">
      <w:pPr>
        <w:pStyle w:val="Heading8"/>
        <w:jc w:val="left"/>
      </w:pPr>
      <w:r>
        <w:t>Cilj 1. Osigurati vladavinu prava i pravnu sigurnost građana u okviru djelokruga Hrvatskoga sabora</w:t>
      </w:r>
    </w:p>
    <w:p w14:paraId="1244D6FA" w14:textId="77777777" w:rsidR="00C85924" w:rsidRDefault="00000000">
      <w:pPr>
        <w:pStyle w:val="Heading8"/>
        <w:jc w:val="left"/>
      </w:pPr>
      <w:r>
        <w:t>Opis provedbe cilja programa</w:t>
      </w:r>
    </w:p>
    <w:p w14:paraId="75F7E37F" w14:textId="77777777" w:rsidR="00C85924" w:rsidRDefault="00000000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C85924" w14:paraId="20500979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41DF858F" w14:textId="77777777" w:rsidR="00C85924" w:rsidRDefault="00000000">
            <w:pPr>
              <w:jc w:val="center"/>
            </w:pPr>
            <w: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14:paraId="371393B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0515D7DA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320684E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3F25B9C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25541C86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26D6FA60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C85924" w14:paraId="6A0697AA" w14:textId="77777777">
        <w:trPr>
          <w:jc w:val="center"/>
        </w:trPr>
        <w:tc>
          <w:tcPr>
            <w:tcW w:w="2551" w:type="dxa"/>
          </w:tcPr>
          <w:p w14:paraId="39881D35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Izvršavanje ustavnih ovlasti i potpuna provedba Poslovnika Hrvatskog sabora</w:t>
            </w:r>
          </w:p>
        </w:tc>
        <w:tc>
          <w:tcPr>
            <w:tcW w:w="2551" w:type="dxa"/>
          </w:tcPr>
          <w:p w14:paraId="35D54136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Učinkovit i transparentan postupak donošenja zakona i drugih propisa te izvršavanje ustavnih ovlasti Sabora sukladno Ustavu RH i Poslovniku</w:t>
            </w:r>
          </w:p>
        </w:tc>
        <w:tc>
          <w:tcPr>
            <w:tcW w:w="1020" w:type="dxa"/>
          </w:tcPr>
          <w:p w14:paraId="51338EF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42010F4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3DB3ACF9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Poslovnik Hrvatskog sabora</w:t>
            </w:r>
          </w:p>
        </w:tc>
        <w:tc>
          <w:tcPr>
            <w:tcW w:w="1020" w:type="dxa"/>
          </w:tcPr>
          <w:p w14:paraId="30FF9D4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594292CD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14:paraId="19F542C1" w14:textId="77777777" w:rsidR="00C85924" w:rsidRDefault="00C85924">
      <w:pPr>
        <w:jc w:val="left"/>
      </w:pPr>
    </w:p>
    <w:p w14:paraId="710EB276" w14:textId="77777777" w:rsidR="00C85924" w:rsidRDefault="00000000">
      <w:pPr>
        <w:pStyle w:val="Heading4"/>
      </w:pPr>
      <w:r>
        <w:t>A501000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995"/>
        <w:gridCol w:w="1995"/>
        <w:gridCol w:w="1995"/>
        <w:gridCol w:w="1212"/>
        <w:gridCol w:w="1217"/>
      </w:tblGrid>
      <w:tr w:rsidR="00C85924" w14:paraId="0BC1C87C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5BE15C9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6FA9F34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65E6F69B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688F966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678A2EE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3B356DCB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76777564" w14:textId="77777777">
        <w:trPr>
          <w:jc w:val="center"/>
        </w:trPr>
        <w:tc>
          <w:tcPr>
            <w:tcW w:w="1632" w:type="dxa"/>
          </w:tcPr>
          <w:p w14:paraId="2434F851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A501000-ADMINISTRACIJA I UPRAVLJANJE</w:t>
            </w:r>
          </w:p>
        </w:tc>
        <w:tc>
          <w:tcPr>
            <w:tcW w:w="2041" w:type="dxa"/>
          </w:tcPr>
          <w:p w14:paraId="1F2708E7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25.033.318</w:t>
            </w:r>
          </w:p>
        </w:tc>
        <w:tc>
          <w:tcPr>
            <w:tcW w:w="2041" w:type="dxa"/>
          </w:tcPr>
          <w:p w14:paraId="378D58B7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36.196.217</w:t>
            </w:r>
          </w:p>
        </w:tc>
        <w:tc>
          <w:tcPr>
            <w:tcW w:w="2041" w:type="dxa"/>
          </w:tcPr>
          <w:p w14:paraId="4491334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34.334.550</w:t>
            </w:r>
          </w:p>
        </w:tc>
        <w:tc>
          <w:tcPr>
            <w:tcW w:w="1224" w:type="dxa"/>
          </w:tcPr>
          <w:p w14:paraId="116A147A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94,9</w:t>
            </w:r>
          </w:p>
        </w:tc>
        <w:tc>
          <w:tcPr>
            <w:tcW w:w="1224" w:type="dxa"/>
          </w:tcPr>
          <w:p w14:paraId="2DA0375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137,2</w:t>
            </w:r>
          </w:p>
        </w:tc>
      </w:tr>
    </w:tbl>
    <w:p w14:paraId="5FDF8266" w14:textId="77777777" w:rsidR="00C85924" w:rsidRDefault="00C85924">
      <w:pPr>
        <w:jc w:val="left"/>
      </w:pPr>
    </w:p>
    <w:p w14:paraId="1C9A73AD" w14:textId="77777777" w:rsidR="00C85924" w:rsidRDefault="00000000">
      <w:pPr>
        <w:pStyle w:val="Heading8"/>
        <w:jc w:val="left"/>
      </w:pPr>
      <w:r>
        <w:t>Zakonske i druge pravne osnove</w:t>
      </w:r>
    </w:p>
    <w:p w14:paraId="6C54678C" w14:textId="77777777" w:rsidR="00C85924" w:rsidRDefault="00000000">
      <w:r>
        <w:t xml:space="preserve">Ustav Republike Hrvatske    </w:t>
      </w:r>
    </w:p>
    <w:p w14:paraId="7D154C6F" w14:textId="77777777" w:rsidR="00C85924" w:rsidRDefault="00000000">
      <w:r>
        <w:t xml:space="preserve">Poslovnik Hrvatskoga sabora    </w:t>
      </w:r>
    </w:p>
    <w:p w14:paraId="352231CA" w14:textId="77777777" w:rsidR="00C85924" w:rsidRDefault="00000000">
      <w:r>
        <w:t xml:space="preserve">Zakon o izborima zastupnika u Hrvatski sabor    </w:t>
      </w:r>
    </w:p>
    <w:p w14:paraId="7BDCE8C6" w14:textId="77777777" w:rsidR="00C85924" w:rsidRDefault="00000000">
      <w:r>
        <w:t xml:space="preserve">Zakon o izbornim jedinicama    </w:t>
      </w:r>
    </w:p>
    <w:p w14:paraId="64DADE53" w14:textId="77777777" w:rsidR="00C85924" w:rsidRDefault="00000000">
      <w:r>
        <w:t xml:space="preserve">Zakon o financiranju političkih aktivnosti i izborne promidžbe    </w:t>
      </w:r>
    </w:p>
    <w:p w14:paraId="3B9013A8" w14:textId="77777777" w:rsidR="00C85924" w:rsidRDefault="00000000">
      <w:r>
        <w:lastRenderedPageBreak/>
        <w:t xml:space="preserve">Zakon o suradnji Hrvatskoga sabora i Vlade Republike Hrvatske u europskim poslovima    </w:t>
      </w:r>
    </w:p>
    <w:p w14:paraId="214EF763" w14:textId="77777777" w:rsidR="00C85924" w:rsidRDefault="00000000">
      <w:r>
        <w:t xml:space="preserve">Zakon o pravima i dužnostima zastupnika u Hrvatskom saboru    </w:t>
      </w:r>
    </w:p>
    <w:p w14:paraId="6D756542" w14:textId="77777777" w:rsidR="00C85924" w:rsidRDefault="00000000">
      <w:r>
        <w:t xml:space="preserve">Zakon o obvezama i pravima državnih dužnosnika    </w:t>
      </w:r>
    </w:p>
    <w:p w14:paraId="4BBA7C14" w14:textId="77777777" w:rsidR="00C85924" w:rsidRDefault="00000000">
      <w:r>
        <w:t xml:space="preserve">Odluka o smještaju zastupnika Hrvatskoga sabora u Zagrebu za vrijeme zasjedanja Sabora, radnih tijela i klubova zastupnika    </w:t>
      </w:r>
    </w:p>
    <w:p w14:paraId="4C36E2B5" w14:textId="77777777" w:rsidR="00C85924" w:rsidRDefault="00000000">
      <w:r>
        <w:t xml:space="preserve">Odluka o Stručnoj službi Hrvatskoga sabora    </w:t>
      </w:r>
    </w:p>
    <w:p w14:paraId="70A4129E" w14:textId="77777777" w:rsidR="00C85924" w:rsidRDefault="00000000">
      <w:r>
        <w:t xml:space="preserve">Zakon o državnim službenicima i namještenicima    </w:t>
      </w:r>
    </w:p>
    <w:p w14:paraId="616B2192" w14:textId="77777777" w:rsidR="00C85924" w:rsidRDefault="00000000">
      <w:r>
        <w:t>Kolektivni ugovor za državne službenike i namještenike</w:t>
      </w:r>
    </w:p>
    <w:p w14:paraId="65F3C6B6" w14:textId="77777777" w:rsidR="00C85924" w:rsidRDefault="00000000">
      <w:pPr>
        <w:pStyle w:val="Heading8"/>
        <w:jc w:val="left"/>
      </w:pPr>
      <w:r>
        <w:t>Opis aktivnosti</w:t>
      </w:r>
    </w:p>
    <w:p w14:paraId="541B2ACD" w14:textId="77777777" w:rsidR="00C85924" w:rsidRDefault="00000000">
      <w:r>
        <w:t xml:space="preserve">U okviru aktivnosti A501000 Administracija i upravljanje sredstva su izvršena za podmirenje osnovnih potreba za redovno funkcioniranje Hrvatskoga sabora u obavljanju stručnih, administrativnih i sigurnosnih poslova u pripremi i organiziranju sjednica Sabora, pripremi i objavi donesenih zakona, odluka i zaključaka Sabora, praćenju izvršavanja zaključaka Sabora, poslova za zastupnike i klubove zastupnika, poslova iz djelokruga radno - pravnih odnosa, poslova u vezi s obavješćivanjem javnosti o radu Sabora i njegovih radnih tijela, materijalnog i financijskog poslovanja Sabora, poslova u svezi s tiskanjem, otpremom, arhiviranjem dokumentacije i akata Sabora te poslova nadzora ulaska u zgrade Sabora.      </w:t>
      </w:r>
    </w:p>
    <w:p w14:paraId="3145EFE3" w14:textId="77777777" w:rsidR="00C85924" w:rsidRDefault="00000000">
      <w:r>
        <w:t xml:space="preserve">U okviru aktivnosti A501000 Administracija i upravljanje izvršena su sredstva u ukupnom iznosu 34.334.550,47 eura od čega na izvor financiranja 11 Opći prihodi i primici otpada 27.335.020,71 eura, a na izvor financiranja 815 Namjenski primitak - NPOO 6.999.529,76 eura. Postotak izvršenja iznosi 94,86% u odnosu na konačni plan ove aktivnosti za 2025. godinu.   </w:t>
      </w:r>
    </w:p>
    <w:p w14:paraId="6310A324" w14:textId="77777777" w:rsidR="00C85924" w:rsidRDefault="00000000">
      <w:r>
        <w:t xml:space="preserve">U nastavku dajemo obrazloženje izvršenja za izvor financiranja 11 Opći prihodi i primici po svim skupinama rashoda u okviru ove aktivnosti.    </w:t>
      </w:r>
    </w:p>
    <w:p w14:paraId="104F8774" w14:textId="77777777" w:rsidR="00C85924" w:rsidRDefault="00000000">
      <w:r>
        <w:t xml:space="preserve">Tijekom 2025. godine za rashode za zaposlene izvršena su sredstva u iznosu 3.164.839,70 eura što je 97,27% u odnosu na konačni plan ove skupine rashoda za 2025. godinu. Sredstva su izvršena za podmirenje rashoda za zaposlene dužnosnike, zastupnike, državne službenike i namještenike uzimajući u obzir povećanje koeficijenata državnim službenicima i namještenicima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 te povećanje osnovice za izračun plaće državnih službenika i namještenika sukladno Dodatku IV. Kolektivnom ugovoru za državne službenike i namještenike („Narodne novine“, broj 4/2025) kao i Odluku o visini osnovice za obračun plaće državnih dužnosnika („Narodne novine“, broj 88/2024). Isto tako, sredstva su utrošena na naknade plaće nakon prestanka obnašanja zastupničke dužnosti ( tzv. 6+6) za zastupnike koji nisu ušli u 11. saziv Sabora, a iskoristili su pravo na naknadu. Osim plaća za redovan i prekovremeni rad te doprinose, podmirene su: 272 božićnice, 52 jubilarne nagrade, 115 darova za djecu, 4 otpremnine, 8 pomoći za smrtni slučaj, 12 pomoći za bolovanje, 3 pomoći za nabavku medicinskih pomagala, 1 pomoć za nastanak invalidnosti, 3 pomoći za rođenje djeteta, 4 naknade za neiskorišteni godišnji odmor, 276 regresa za godišnji odmor te 272 uskrsnice.   </w:t>
      </w:r>
    </w:p>
    <w:p w14:paraId="560C2BC8" w14:textId="77777777" w:rsidR="00C85924" w:rsidRDefault="00000000">
      <w:r>
        <w:t xml:space="preserve">Materijalni rashodi izvršeni su u iznosu 4.545.092,43 eura što je 79,42% u odnosu na konačni plan za 2025. godinu na ovoj skupini rashoda. Najznačajnije izvršenje u okviru materijalnih rashoda odnosi se na službena putovanja u zemlji i inozemstvu u iznosu 844.349,19 eura, naknade za prijevoz državnih službenika i namještenika te odvojeni život zastupnika Hrvatskoga sabora u iznosu 269.545,60 eura, režijske troškove u iznosu 303.687,70 eura, održavanje uredskih prostora i opreme (na tri lokacije: Demetrova, Cankareva i HVU dr. Franjo Tuđman) u iznosu 447.080,85 eura, usluge najma u iznosu 762.602,39 eura, održavanje aplikativnih rješenja  u iznosu 142.773,63 eura, naknade vanjskim članovima saborskih odbora i povjerenstava uključujući i zastupnički paušal u iznosu 979.121,46 eura. Ostatak materijalnih rashoda odnosi se na: stručne seminare, uredske potrepštine, materijal za održavanje zgrade i opreme, sitni inventar, službenu, radnu i zaštitnu odjeću i obuću sukladno internom pravilniku, tiskovine, oglase, press clipping usluge, sistematske preglede, provođenje zaštite na radu, usluge čišćenja, osiguranje umjetnina, reprezentaciju, članarine te ostale nespomenute rashode poslovanja.    </w:t>
      </w:r>
    </w:p>
    <w:p w14:paraId="2BF86BCD" w14:textId="77777777" w:rsidR="00C85924" w:rsidRDefault="00000000">
      <w:r>
        <w:t xml:space="preserve">Financijski rashodi su izvršeni u iznosu 2.108,24 eura, a isti se odnose na vođenje računa sekundirane djelatnice u Bruxellesu, zatezne kamate za službene kartice i režijske troškove te zatezne kamate po jednoj sudskoj presudi za koju su u okviru skupine Rashoda za donacije, kazne, naknade šteta i kapitalne pomoći izvršena sredstva u iznosu 4.428,19 eura za naknadu štete.    </w:t>
      </w:r>
    </w:p>
    <w:p w14:paraId="744C70A2" w14:textId="77777777" w:rsidR="00C85924" w:rsidRDefault="00000000">
      <w:r>
        <w:lastRenderedPageBreak/>
        <w:t xml:space="preserve">Tijekom 2025. godine četvero djelatnika Hrvatskoga sabora upućeno je na dodatno školovanje, a u tu namjenu su u okviru skupine rashoda 37 Naknade građanima i kućanstvima na temelju osiguranja i druge naknade izvršena sredstva u iznosu 8.708,75 eura.   </w:t>
      </w:r>
    </w:p>
    <w:p w14:paraId="3389FCE6" w14:textId="77777777" w:rsidR="00C85924" w:rsidRDefault="00000000">
      <w:r>
        <w:t xml:space="preserve">Rashodi za nabavu proizvedene dugotrajne imovine izvršeni su u iznosu 110.339,92 eura što je 63,41% u odnosu na konačni plan ove skupine rashoda za 2025. godinu. Najznačajnije izvršenje u okviru ove skupine rashoda odnosi se na prilagodbu nove lokacije Hrvatskoga sabora u HVU dr. Franjo Tuđman za redovno funkcioniranje u iznosu 30.910,43 eura, rekonstrukciju stolica u Sabornici u iznosu 23.170,00 eura, nabavu mikrofona u iznosu 21.372,19 eura. Preostala sredstva odnose se na nabavu uredskih stolica, mobilnih uređaja, knjiga za saborsku knjižnicu te ostale opreme.    </w:t>
      </w:r>
    </w:p>
    <w:p w14:paraId="4FB7DBBF" w14:textId="77777777" w:rsidR="00C85924" w:rsidRDefault="00000000">
      <w:r>
        <w:t xml:space="preserve">U okviru izvora financiranja 815 Namjenski primitak – NPOO u 2025. godini izvršena su sredstva u ukupnom iznosu 6.999.529,76 eura u okviru materijalnih rashoda te rashoda za dodatna ulaganja na nefinancijskoj imovini.   </w:t>
      </w:r>
    </w:p>
    <w:p w14:paraId="5B760035" w14:textId="77777777" w:rsidR="00C85924" w:rsidRDefault="00000000">
      <w:r>
        <w:t xml:space="preserve">U okviru materijalnih rashoda izvršena su sredstva u iznosu 69.237,50 eura za usluge voditelja projekta građenja cjelovite obnove zgrade Hrvatskoga sabora (11 rata) i usluge financijskog i administrativnog upravljanja provedbom Ugovora o dodjeli bespovratnih financijskih sredstava vezanih uz obnovu od posljedica potresa zgrade Hrvatskoga sabora (12 rata).  </w:t>
      </w:r>
    </w:p>
    <w:p w14:paraId="58F2D894" w14:textId="77777777" w:rsidR="00C85924" w:rsidRDefault="00000000">
      <w:r>
        <w:t>U okviru skupine rashoda za dodatna ulaganja na nefinancijskoj imovini izvršena su sredstva u iznosu 6.930.292,26 eura za privremene situacije radova cjelovite obnove zgrade Hrvatskoga sabora od posljedica potresa (2. – 13. privremena situacija), za usluge nadzora nad izvođenjem radova konstrukcijske i cjelovite obnove zgrade Hrvatskoga sabora (3. – 14. privremena situacija) te za usluge projektantskog nadzora izvedbenog projekta obnove i rekonstrukcije zgrade Hrvatskoga sabora (11 rata).</w:t>
      </w:r>
    </w:p>
    <w:p w14:paraId="776B921C" w14:textId="77777777" w:rsidR="00C85924" w:rsidRDefault="00000000">
      <w:pPr>
        <w:pStyle w:val="Heading4"/>
      </w:pPr>
      <w:r>
        <w:t>A501004 ODRŽAVANJE ZGRADE (NARODNO SVEUČILIŠTE OTOČAC)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C85924" w14:paraId="2DCC4C46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74D12F0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180657A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465D13A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7BC7EF24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402E337C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4779FC2E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409C5734" w14:textId="77777777">
        <w:trPr>
          <w:jc w:val="center"/>
        </w:trPr>
        <w:tc>
          <w:tcPr>
            <w:tcW w:w="1632" w:type="dxa"/>
          </w:tcPr>
          <w:p w14:paraId="1196F1EC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A501004-ODRŽAVANJE ZGRADE (NARODNO SVEUČILIŠTE OTOČAC)</w:t>
            </w:r>
          </w:p>
        </w:tc>
        <w:tc>
          <w:tcPr>
            <w:tcW w:w="2041" w:type="dxa"/>
          </w:tcPr>
          <w:p w14:paraId="66CBB210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47.780</w:t>
            </w:r>
          </w:p>
        </w:tc>
        <w:tc>
          <w:tcPr>
            <w:tcW w:w="2041" w:type="dxa"/>
          </w:tcPr>
          <w:p w14:paraId="2F7B0D0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47.781</w:t>
            </w:r>
          </w:p>
        </w:tc>
        <w:tc>
          <w:tcPr>
            <w:tcW w:w="2041" w:type="dxa"/>
          </w:tcPr>
          <w:p w14:paraId="1EAF404D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47.780</w:t>
            </w:r>
          </w:p>
        </w:tc>
        <w:tc>
          <w:tcPr>
            <w:tcW w:w="1224" w:type="dxa"/>
          </w:tcPr>
          <w:p w14:paraId="4442886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24" w:type="dxa"/>
          </w:tcPr>
          <w:p w14:paraId="47772391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</w:tr>
    </w:tbl>
    <w:p w14:paraId="48CA4473" w14:textId="77777777" w:rsidR="00C85924" w:rsidRDefault="00C85924">
      <w:pPr>
        <w:jc w:val="left"/>
      </w:pPr>
    </w:p>
    <w:p w14:paraId="12B0D276" w14:textId="77777777" w:rsidR="00C85924" w:rsidRDefault="00000000">
      <w:pPr>
        <w:pStyle w:val="Heading8"/>
        <w:jc w:val="left"/>
      </w:pPr>
      <w:r>
        <w:t>Zakonske i druge pravne osnove</w:t>
      </w:r>
    </w:p>
    <w:p w14:paraId="2486B4D0" w14:textId="77777777" w:rsidR="00C85924" w:rsidRDefault="00000000">
      <w:r>
        <w:t xml:space="preserve">Rješenje o prijenosu prava korištenja na Spomen domu ZAVNOH-a u Otočcu    </w:t>
      </w:r>
    </w:p>
    <w:p w14:paraId="5ED34F06" w14:textId="77777777" w:rsidR="00C85924" w:rsidRDefault="00000000">
      <w:r>
        <w:t>Ugovor o prijenosu prava korištenja nekretnine</w:t>
      </w:r>
    </w:p>
    <w:p w14:paraId="6B8B939C" w14:textId="77777777" w:rsidR="00C85924" w:rsidRDefault="00000000">
      <w:pPr>
        <w:pStyle w:val="Heading8"/>
        <w:jc w:val="left"/>
      </w:pPr>
      <w:r>
        <w:t>Opis aktivnosti</w:t>
      </w:r>
    </w:p>
    <w:p w14:paraId="64AAC03B" w14:textId="77777777" w:rsidR="00C85924" w:rsidRDefault="00000000">
      <w:r>
        <w:t>U okviru aktivnosti A501004 Održavanje zgrade (Narodno sveučilište Otočac) sredstva su u cijelosti izvršena za tekuće i investicijsko održavanje Spomen doma ZAVNOH-a (Narodno sveučilište Otočac) prema godišnjem financijskom planu Gackog pučkog otvorenog učilišta Otočac, a temeljem Ugovora o prijenosu prava korištenja nekretnine (KLASA: 940-01/11-02/02, URBROJ: 6541-11-02) sklopljenom između Hrvatskoga sabora i Grada Otočca.</w:t>
      </w:r>
    </w:p>
    <w:p w14:paraId="059D7B51" w14:textId="77777777" w:rsidR="00C85924" w:rsidRDefault="00000000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C85924" w14:paraId="69985A5B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05908AC7" w14:textId="77777777" w:rsidR="00C85924" w:rsidRDefault="00000000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15289830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51631D23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6261AE4A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5868404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32768CC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090395D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C85924" w14:paraId="6202D704" w14:textId="77777777">
        <w:trPr>
          <w:jc w:val="center"/>
        </w:trPr>
        <w:tc>
          <w:tcPr>
            <w:tcW w:w="2551" w:type="dxa"/>
          </w:tcPr>
          <w:p w14:paraId="14CF3B90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Isplaćena sredstva</w:t>
            </w:r>
          </w:p>
        </w:tc>
        <w:tc>
          <w:tcPr>
            <w:tcW w:w="2551" w:type="dxa"/>
          </w:tcPr>
          <w:p w14:paraId="6D2CC95E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Potpora Gackom pučkom otvorenom učilištu za održavanje Spomen doma ZAVNOH-a</w:t>
            </w:r>
          </w:p>
        </w:tc>
        <w:tc>
          <w:tcPr>
            <w:tcW w:w="1020" w:type="dxa"/>
          </w:tcPr>
          <w:p w14:paraId="6A3614F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37CFC88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394C0F9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Financijs ko izvješće Gackog pučkog otvorenog učilišta Otočac</w:t>
            </w:r>
          </w:p>
        </w:tc>
        <w:tc>
          <w:tcPr>
            <w:tcW w:w="1020" w:type="dxa"/>
          </w:tcPr>
          <w:p w14:paraId="35FE46E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76F2F73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14:paraId="21FF8CCC" w14:textId="77777777" w:rsidR="00C85924" w:rsidRDefault="00C85924">
      <w:pPr>
        <w:jc w:val="left"/>
      </w:pPr>
    </w:p>
    <w:p w14:paraId="63C92781" w14:textId="77777777" w:rsidR="00C85924" w:rsidRDefault="00000000">
      <w:pPr>
        <w:pStyle w:val="Heading4"/>
      </w:pPr>
      <w:r>
        <w:t>A501026 OBILJEŽAVANJE SPOMENDANA BLEIBURŠKE TRAGEDIJE I KRIŽNOG PUTA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81"/>
        <w:gridCol w:w="2028"/>
        <w:gridCol w:w="2026"/>
        <w:gridCol w:w="2028"/>
        <w:gridCol w:w="1221"/>
        <w:gridCol w:w="1222"/>
      </w:tblGrid>
      <w:tr w:rsidR="00C85924" w14:paraId="15A395A3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6FD5EF3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31305703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2686D38D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1D6E8A50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34BCDA7B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4C167C1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000A2659" w14:textId="77777777">
        <w:trPr>
          <w:jc w:val="center"/>
        </w:trPr>
        <w:tc>
          <w:tcPr>
            <w:tcW w:w="1632" w:type="dxa"/>
          </w:tcPr>
          <w:p w14:paraId="3FB05DCA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A501026-OBILJEŽAVANJE SPOMENDANA BLEIBURŠKE TRAGEDIJE I KRIŽNOG PUTA</w:t>
            </w:r>
          </w:p>
        </w:tc>
        <w:tc>
          <w:tcPr>
            <w:tcW w:w="2041" w:type="dxa"/>
          </w:tcPr>
          <w:p w14:paraId="6C0AE479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66.000</w:t>
            </w:r>
          </w:p>
        </w:tc>
        <w:tc>
          <w:tcPr>
            <w:tcW w:w="2041" w:type="dxa"/>
          </w:tcPr>
          <w:p w14:paraId="78EBEAD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66.000</w:t>
            </w:r>
          </w:p>
        </w:tc>
        <w:tc>
          <w:tcPr>
            <w:tcW w:w="2041" w:type="dxa"/>
          </w:tcPr>
          <w:p w14:paraId="0D9D4819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66.000</w:t>
            </w:r>
          </w:p>
        </w:tc>
        <w:tc>
          <w:tcPr>
            <w:tcW w:w="1224" w:type="dxa"/>
          </w:tcPr>
          <w:p w14:paraId="65E3A2A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24" w:type="dxa"/>
          </w:tcPr>
          <w:p w14:paraId="68E3A3A7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</w:tr>
    </w:tbl>
    <w:p w14:paraId="206DCE4B" w14:textId="77777777" w:rsidR="00C85924" w:rsidRDefault="00C85924">
      <w:pPr>
        <w:jc w:val="left"/>
      </w:pPr>
    </w:p>
    <w:p w14:paraId="2F8FE24C" w14:textId="77777777" w:rsidR="00C85924" w:rsidRDefault="00000000">
      <w:pPr>
        <w:pStyle w:val="Heading8"/>
        <w:jc w:val="left"/>
      </w:pPr>
      <w:r>
        <w:t>Zakonske i druge pravne osnove</w:t>
      </w:r>
    </w:p>
    <w:p w14:paraId="3DE956ED" w14:textId="77777777" w:rsidR="00C85924" w:rsidRDefault="00000000">
      <w:r>
        <w:t xml:space="preserve">Zakon o blagdanima spomendanima i neradnim danima u Republici Hrvatskoj    </w:t>
      </w:r>
    </w:p>
    <w:p w14:paraId="3BB8895B" w14:textId="77777777" w:rsidR="00C85924" w:rsidRDefault="00000000">
      <w:r>
        <w:t xml:space="preserve">Poslovnik Hrvatskoga sabora    </w:t>
      </w:r>
    </w:p>
    <w:p w14:paraId="317A37EF" w14:textId="77777777" w:rsidR="00C85924" w:rsidRDefault="00000000">
      <w:r>
        <w:t>Zaključak Predsjedništva Hrvatskoga sabora o pokroviteljstvu nad središnjom komemoracijom žrtvama bleiburške tragedije i žrtvama hrvatskog križnog puta od 4. veljače 2016.</w:t>
      </w:r>
    </w:p>
    <w:p w14:paraId="38C0976D" w14:textId="77777777" w:rsidR="00C85924" w:rsidRDefault="00000000">
      <w:pPr>
        <w:pStyle w:val="Heading8"/>
        <w:jc w:val="left"/>
      </w:pPr>
      <w:r>
        <w:t>Opis aktivnosti</w:t>
      </w:r>
    </w:p>
    <w:p w14:paraId="4F7E1500" w14:textId="77777777" w:rsidR="00C85924" w:rsidRDefault="00000000">
      <w:r>
        <w:t>U okviru aktivnosti A501026 Obilježavanje spomendana Bleiburške tragedije i križnog puta sredstva su u cijelosti izvršena za pokroviteljstvo nad središnjom komemoracijom žrtvama bleiburške tragedije i žrtvama hrvatskog križnog puta.</w:t>
      </w:r>
    </w:p>
    <w:p w14:paraId="32F88A20" w14:textId="77777777" w:rsidR="00C85924" w:rsidRDefault="00000000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C85924" w14:paraId="2848602E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03D7C166" w14:textId="77777777" w:rsidR="00C85924" w:rsidRDefault="00000000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07231C6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6904832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6D28B87F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4E3AE2F6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4421D6E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613E261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C85924" w14:paraId="74CCB85A" w14:textId="77777777">
        <w:trPr>
          <w:jc w:val="center"/>
        </w:trPr>
        <w:tc>
          <w:tcPr>
            <w:tcW w:w="2551" w:type="dxa"/>
          </w:tcPr>
          <w:p w14:paraId="7B9E890B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Isplaćena sredstva u svrhu pokroviteljstva Sabora nad središnjom komemoracijom žrtvama bleiburške tragedije i hrvatskog križnog puta</w:t>
            </w:r>
          </w:p>
        </w:tc>
        <w:tc>
          <w:tcPr>
            <w:tcW w:w="2551" w:type="dxa"/>
          </w:tcPr>
          <w:p w14:paraId="0BFC5E04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Pokroviteljstvo Hrvatskog sabora nad središnjom komemoracijom žrtvama bleiburške tragedije i hrvatskog križnog puta</w:t>
            </w:r>
          </w:p>
        </w:tc>
        <w:tc>
          <w:tcPr>
            <w:tcW w:w="1020" w:type="dxa"/>
          </w:tcPr>
          <w:p w14:paraId="6BAF6C0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43D0720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2EB371F4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Program središnje komemor acije žrtvama bleiburške tragedije i hrvatskog križnog puta</w:t>
            </w:r>
          </w:p>
        </w:tc>
        <w:tc>
          <w:tcPr>
            <w:tcW w:w="1020" w:type="dxa"/>
          </w:tcPr>
          <w:p w14:paraId="3527575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414E52D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14:paraId="6CC94203" w14:textId="77777777" w:rsidR="00C85924" w:rsidRDefault="00C85924">
      <w:pPr>
        <w:jc w:val="left"/>
      </w:pPr>
    </w:p>
    <w:p w14:paraId="7FF66DE3" w14:textId="77777777" w:rsidR="00C85924" w:rsidRDefault="00000000">
      <w:pPr>
        <w:pStyle w:val="Heading4"/>
      </w:pPr>
      <w:r>
        <w:lastRenderedPageBreak/>
        <w:t>A501032 SPOMEN PODRUČJE JASENOVAC I OBILJEŽAVANJE ANTIFAŠISTIČKE BORBE U RH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26"/>
        <w:gridCol w:w="2015"/>
        <w:gridCol w:w="2011"/>
        <w:gridCol w:w="2015"/>
        <w:gridCol w:w="1218"/>
        <w:gridCol w:w="1221"/>
      </w:tblGrid>
      <w:tr w:rsidR="00C85924" w14:paraId="17A01DE6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2BE2A6F6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312BEAD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7CDCC17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3BF62AF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6DDB765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17579FF4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35F3AD28" w14:textId="77777777">
        <w:trPr>
          <w:jc w:val="center"/>
        </w:trPr>
        <w:tc>
          <w:tcPr>
            <w:tcW w:w="1632" w:type="dxa"/>
          </w:tcPr>
          <w:p w14:paraId="74A7B441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A501032-SPOMEN PODRUČJE JASENOVAC I OBILJEŽAVANJE ANTIFAŠISTIČKE BORBE U RH</w:t>
            </w:r>
          </w:p>
        </w:tc>
        <w:tc>
          <w:tcPr>
            <w:tcW w:w="2041" w:type="dxa"/>
          </w:tcPr>
          <w:p w14:paraId="60BB0830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66.361</w:t>
            </w:r>
          </w:p>
        </w:tc>
        <w:tc>
          <w:tcPr>
            <w:tcW w:w="2041" w:type="dxa"/>
          </w:tcPr>
          <w:p w14:paraId="02360CE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66.362</w:t>
            </w:r>
          </w:p>
        </w:tc>
        <w:tc>
          <w:tcPr>
            <w:tcW w:w="2041" w:type="dxa"/>
          </w:tcPr>
          <w:p w14:paraId="6E99D03C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66.362</w:t>
            </w:r>
          </w:p>
        </w:tc>
        <w:tc>
          <w:tcPr>
            <w:tcW w:w="1224" w:type="dxa"/>
          </w:tcPr>
          <w:p w14:paraId="1DD6713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24" w:type="dxa"/>
          </w:tcPr>
          <w:p w14:paraId="46C2B05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100,0</w:t>
            </w:r>
          </w:p>
        </w:tc>
      </w:tr>
    </w:tbl>
    <w:p w14:paraId="6046B02B" w14:textId="77777777" w:rsidR="00C85924" w:rsidRDefault="00C85924">
      <w:pPr>
        <w:jc w:val="left"/>
      </w:pPr>
    </w:p>
    <w:p w14:paraId="12E15D41" w14:textId="77777777" w:rsidR="00C85924" w:rsidRDefault="00000000">
      <w:pPr>
        <w:pStyle w:val="Heading8"/>
        <w:jc w:val="left"/>
      </w:pPr>
      <w:r>
        <w:t>Zakonske i druge pravne osnove</w:t>
      </w:r>
    </w:p>
    <w:p w14:paraId="6AC35536" w14:textId="77777777" w:rsidR="00C85924" w:rsidRDefault="00000000">
      <w:r>
        <w:t xml:space="preserve">Zakon o Spomen-području Jasenovac   </w:t>
      </w:r>
    </w:p>
    <w:p w14:paraId="62A8E736" w14:textId="77777777" w:rsidR="00C85924" w:rsidRDefault="00000000">
      <w:r>
        <w:t>Poslovnik Hrvatskoga sabora</w:t>
      </w:r>
    </w:p>
    <w:p w14:paraId="04BAE05B" w14:textId="77777777" w:rsidR="00C85924" w:rsidRDefault="00000000">
      <w:pPr>
        <w:pStyle w:val="Heading8"/>
        <w:jc w:val="left"/>
      </w:pPr>
      <w:r>
        <w:t>Opis aktivnosti</w:t>
      </w:r>
    </w:p>
    <w:p w14:paraId="103DBF74" w14:textId="77777777" w:rsidR="00C85924" w:rsidRDefault="00000000">
      <w:r>
        <w:t>U okviru aktivnosti A501032 sredstva su u cijelosti izvršena za financijsku pomoć Savezu antifašističkih boraca i antifašista Republike Hrvatske za obilježavanje antifašističke borbe u RH (skupina rashoda 38 Rashodi za donacije, kazne, naknade šteta i kapitalne pomoći – izvršenje iznosi 39.817,00 eura) te za financijsku pomoć Javnoj ustanovi spomen područja Jasenovac (skupina rashoda 36 Pomoći dane u inozemstvo i unutar općeg proračuna – izvršenje iznosi 26.545,00 eura).</w:t>
      </w:r>
    </w:p>
    <w:p w14:paraId="2BE6880E" w14:textId="77777777" w:rsidR="00C85924" w:rsidRDefault="00000000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455"/>
        <w:gridCol w:w="2455"/>
        <w:gridCol w:w="1001"/>
        <w:gridCol w:w="1012"/>
        <w:gridCol w:w="1258"/>
        <w:gridCol w:w="1012"/>
        <w:gridCol w:w="1013"/>
      </w:tblGrid>
      <w:tr w:rsidR="00C85924" w14:paraId="2B70DA25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45FE3C6E" w14:textId="77777777" w:rsidR="00C85924" w:rsidRDefault="00000000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45611C6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398B9075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3A31A7B4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1DFB7E0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541DCF7E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16ADFA87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C85924" w14:paraId="77BC0F13" w14:textId="77777777">
        <w:trPr>
          <w:jc w:val="center"/>
        </w:trPr>
        <w:tc>
          <w:tcPr>
            <w:tcW w:w="2551" w:type="dxa"/>
          </w:tcPr>
          <w:p w14:paraId="236D93C3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Isplaćena sredstva u svrhu financijske pomoći SABA RH za obilježavanje događaja iz antifašističke borbe u RH</w:t>
            </w:r>
          </w:p>
        </w:tc>
        <w:tc>
          <w:tcPr>
            <w:tcW w:w="2551" w:type="dxa"/>
          </w:tcPr>
          <w:p w14:paraId="3DCA5CE8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Donacija Hrvatskoga sabora za obilježavanje značajnih događaja iz hrvatske povijesti</w:t>
            </w:r>
          </w:p>
        </w:tc>
        <w:tc>
          <w:tcPr>
            <w:tcW w:w="1020" w:type="dxa"/>
          </w:tcPr>
          <w:p w14:paraId="175B0B8C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1AD6B67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3A233E23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Program obilježavanja antifašističke borbe u RH Saveza antifašističkih boraca i antifašista RH</w:t>
            </w:r>
          </w:p>
        </w:tc>
        <w:tc>
          <w:tcPr>
            <w:tcW w:w="1020" w:type="dxa"/>
          </w:tcPr>
          <w:p w14:paraId="75139A0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0C0A070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  <w:tr w:rsidR="00C85924" w14:paraId="1E5A8C9E" w14:textId="77777777">
        <w:trPr>
          <w:jc w:val="center"/>
        </w:trPr>
        <w:tc>
          <w:tcPr>
            <w:tcW w:w="2551" w:type="dxa"/>
          </w:tcPr>
          <w:p w14:paraId="049B37F4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Isplaćena sredstva u svrhu financijske pomoći Javnoj ustanovi Spomen područja Jasenovac za komemoraciju za žrtve logora Jasenovac</w:t>
            </w:r>
          </w:p>
        </w:tc>
        <w:tc>
          <w:tcPr>
            <w:tcW w:w="2551" w:type="dxa"/>
          </w:tcPr>
          <w:p w14:paraId="51BE3C6B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Donacija Hrvatskoga sabora za komemoraciju žrtava logora Jasenovac</w:t>
            </w:r>
          </w:p>
        </w:tc>
        <w:tc>
          <w:tcPr>
            <w:tcW w:w="1020" w:type="dxa"/>
          </w:tcPr>
          <w:p w14:paraId="0A20B83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24485D5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07329FE4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Program komemoracije žrtvama logora Jasenovac</w:t>
            </w:r>
          </w:p>
        </w:tc>
        <w:tc>
          <w:tcPr>
            <w:tcW w:w="1020" w:type="dxa"/>
          </w:tcPr>
          <w:p w14:paraId="3C2C9EE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16D9032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14:paraId="12D14BA3" w14:textId="77777777" w:rsidR="00C85924" w:rsidRDefault="00C85924">
      <w:pPr>
        <w:jc w:val="left"/>
      </w:pPr>
    </w:p>
    <w:p w14:paraId="024F7593" w14:textId="77777777" w:rsidR="00C85924" w:rsidRDefault="00000000">
      <w:pPr>
        <w:pStyle w:val="Heading4"/>
      </w:pPr>
      <w:r>
        <w:t>A501037 OBILJEŽAVANJE SJEĆANJA NA ŽRTVE SVIH TOTALITARNIH I AUTORITARNIH REŽIMA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82"/>
        <w:gridCol w:w="2028"/>
        <w:gridCol w:w="2025"/>
        <w:gridCol w:w="2028"/>
        <w:gridCol w:w="1221"/>
        <w:gridCol w:w="1222"/>
      </w:tblGrid>
      <w:tr w:rsidR="00C85924" w14:paraId="4B4109A0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D5E3536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622C23EC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526AF444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6C29C53E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1980D4FC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7E778BF4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481511A8" w14:textId="77777777">
        <w:trPr>
          <w:jc w:val="center"/>
        </w:trPr>
        <w:tc>
          <w:tcPr>
            <w:tcW w:w="1632" w:type="dxa"/>
          </w:tcPr>
          <w:p w14:paraId="191B0DE1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A501037-OBILJEŽAVANJE SJEĆANJA NA ŽRTVE SVIH TOTALITARNIH I AUTORITARNIH REŽIMA</w:t>
            </w:r>
          </w:p>
        </w:tc>
        <w:tc>
          <w:tcPr>
            <w:tcW w:w="2041" w:type="dxa"/>
          </w:tcPr>
          <w:p w14:paraId="3DF0208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  <w:tc>
          <w:tcPr>
            <w:tcW w:w="2041" w:type="dxa"/>
          </w:tcPr>
          <w:p w14:paraId="401D49FD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  <w:tc>
          <w:tcPr>
            <w:tcW w:w="2041" w:type="dxa"/>
          </w:tcPr>
          <w:p w14:paraId="3EAC526A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  <w:tc>
          <w:tcPr>
            <w:tcW w:w="1224" w:type="dxa"/>
          </w:tcPr>
          <w:p w14:paraId="73E28EBC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  <w:tc>
          <w:tcPr>
            <w:tcW w:w="1224" w:type="dxa"/>
          </w:tcPr>
          <w:p w14:paraId="558AC78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</w:tr>
    </w:tbl>
    <w:p w14:paraId="6B5339CA" w14:textId="77777777" w:rsidR="00C85924" w:rsidRDefault="00C85924">
      <w:pPr>
        <w:jc w:val="left"/>
      </w:pPr>
    </w:p>
    <w:p w14:paraId="72DCD977" w14:textId="77777777" w:rsidR="00C85924" w:rsidRDefault="00000000">
      <w:pPr>
        <w:pStyle w:val="Heading8"/>
        <w:jc w:val="left"/>
      </w:pPr>
      <w:r>
        <w:t>Zakonske i druge pravne osnove</w:t>
      </w:r>
    </w:p>
    <w:p w14:paraId="1D8F9767" w14:textId="77777777" w:rsidR="00C85924" w:rsidRDefault="00000000">
      <w:r>
        <w:t>Zakon o blagdanima spomendanima i neradnim danima u Republici Hrvatskoj</w:t>
      </w:r>
    </w:p>
    <w:p w14:paraId="28B016EC" w14:textId="77777777" w:rsidR="00C85924" w:rsidRDefault="00000000">
      <w:pPr>
        <w:pStyle w:val="Heading8"/>
        <w:jc w:val="left"/>
      </w:pPr>
      <w:r>
        <w:t>Opis aktivnosti</w:t>
      </w:r>
    </w:p>
    <w:p w14:paraId="066C20AC" w14:textId="77777777" w:rsidR="00C85924" w:rsidRDefault="00000000">
      <w:r>
        <w:t>U okviru ove aktivnosti planirana su sredstva na skupini rashoda 38 Rashodi za donacije, kazne, naknade šteta i kapitalne pomoći u iznosu 13.273,00 eura za obilježavanje Europskog dana sjećanja na žrtve svih totalitarnih i autoritarnih režima, koji je temeljem Zakona o blagdanima spomendanima i neradnim danima u Republici Hrvatskoj određen kao spomendan. Budući Hrvatski sabor nije službenim putem zaprimio traženja za isplatom sredstava ista su dana u uštedu sredstava pri izradi Izmjena i dopuna Državnog proračuna Republike Hrvatske za 2025. godinu.</w:t>
      </w:r>
    </w:p>
    <w:p w14:paraId="7D2E1E27" w14:textId="77777777" w:rsidR="00C85924" w:rsidRDefault="00000000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C85924" w14:paraId="698C587E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6D47BCCB" w14:textId="77777777" w:rsidR="00C85924" w:rsidRDefault="00000000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7422B70C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72D53893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78E84AEC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028F32C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4A9AC2B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2E2C036E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C85924" w14:paraId="155C5008" w14:textId="77777777">
        <w:trPr>
          <w:jc w:val="center"/>
        </w:trPr>
        <w:tc>
          <w:tcPr>
            <w:tcW w:w="2551" w:type="dxa"/>
          </w:tcPr>
          <w:p w14:paraId="482BC931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Utrošena sredstva u svrhu obilježavanja Europskog dana sjećanja na žrtve svih totalitarnih i autoritarnih režima</w:t>
            </w:r>
          </w:p>
        </w:tc>
        <w:tc>
          <w:tcPr>
            <w:tcW w:w="2551" w:type="dxa"/>
          </w:tcPr>
          <w:p w14:paraId="52D23A76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Prigodnim programom/svečanošću obilježen Europski dana sjećanja na žrtve svih totalitarnih i autoritarnih režima</w:t>
            </w:r>
          </w:p>
        </w:tc>
        <w:tc>
          <w:tcPr>
            <w:tcW w:w="1020" w:type="dxa"/>
          </w:tcPr>
          <w:p w14:paraId="66199CA7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14:paraId="7F9BA00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  <w:tc>
          <w:tcPr>
            <w:tcW w:w="1020" w:type="dxa"/>
          </w:tcPr>
          <w:p w14:paraId="1058672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Hrvatski sabor</w:t>
            </w:r>
          </w:p>
        </w:tc>
        <w:tc>
          <w:tcPr>
            <w:tcW w:w="1020" w:type="dxa"/>
          </w:tcPr>
          <w:p w14:paraId="2A79CE7C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1DF32EE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</w:tr>
    </w:tbl>
    <w:p w14:paraId="11770825" w14:textId="77777777" w:rsidR="00C85924" w:rsidRDefault="00C85924">
      <w:pPr>
        <w:jc w:val="left"/>
      </w:pPr>
    </w:p>
    <w:p w14:paraId="1E8020A0" w14:textId="77777777" w:rsidR="00C85924" w:rsidRDefault="00000000">
      <w:pPr>
        <w:pStyle w:val="Heading4"/>
      </w:pPr>
      <w:r>
        <w:t>A501042 TWINNING PROJEKT "OSNAŽIVANJE I DALJNJA PODRŠKA PARLAMENTIMA BOSNE I HERCEGOVINE U POSLOVIMA EU INTEGRACIJA - BA 16 IPA JH 01 18"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26"/>
        <w:gridCol w:w="2015"/>
        <w:gridCol w:w="2010"/>
        <w:gridCol w:w="2016"/>
        <w:gridCol w:w="1218"/>
        <w:gridCol w:w="1221"/>
      </w:tblGrid>
      <w:tr w:rsidR="00C85924" w14:paraId="5DD12624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47061E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5668DB9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0FBC452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44B5F68F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13C09C6D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5F3DB838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247A60E2" w14:textId="77777777">
        <w:trPr>
          <w:jc w:val="center"/>
        </w:trPr>
        <w:tc>
          <w:tcPr>
            <w:tcW w:w="1632" w:type="dxa"/>
          </w:tcPr>
          <w:p w14:paraId="3BB11F33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A501042-TWINNING PROJEKT "OSNAŽIVANJE I DALJNJA PODRŠKA PARLAMENTIMA BOSNE I HERCEGOVINE U POSLOVIMA EU INTEGRACIJA - BA 16 IPA JH 01 18"</w:t>
            </w:r>
          </w:p>
        </w:tc>
        <w:tc>
          <w:tcPr>
            <w:tcW w:w="2041" w:type="dxa"/>
          </w:tcPr>
          <w:p w14:paraId="1506C57E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1.423</w:t>
            </w:r>
          </w:p>
        </w:tc>
        <w:tc>
          <w:tcPr>
            <w:tcW w:w="2041" w:type="dxa"/>
          </w:tcPr>
          <w:p w14:paraId="3FD31DB5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2.400</w:t>
            </w:r>
          </w:p>
        </w:tc>
        <w:tc>
          <w:tcPr>
            <w:tcW w:w="2041" w:type="dxa"/>
          </w:tcPr>
          <w:p w14:paraId="212785AB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1.379</w:t>
            </w:r>
          </w:p>
        </w:tc>
        <w:tc>
          <w:tcPr>
            <w:tcW w:w="1224" w:type="dxa"/>
          </w:tcPr>
          <w:p w14:paraId="043FAD98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57,4</w:t>
            </w:r>
          </w:p>
        </w:tc>
        <w:tc>
          <w:tcPr>
            <w:tcW w:w="1224" w:type="dxa"/>
          </w:tcPr>
          <w:p w14:paraId="19F343BD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96,9</w:t>
            </w:r>
          </w:p>
        </w:tc>
      </w:tr>
    </w:tbl>
    <w:p w14:paraId="05E392ED" w14:textId="77777777" w:rsidR="00C85924" w:rsidRDefault="00C85924">
      <w:pPr>
        <w:jc w:val="left"/>
      </w:pPr>
    </w:p>
    <w:p w14:paraId="068832E4" w14:textId="77777777" w:rsidR="00C85924" w:rsidRDefault="00000000">
      <w:pPr>
        <w:pStyle w:val="Heading8"/>
        <w:jc w:val="left"/>
      </w:pPr>
      <w:r>
        <w:lastRenderedPageBreak/>
        <w:t>Zakonske i druge pravne osnove</w:t>
      </w:r>
    </w:p>
    <w:p w14:paraId="32150F6C" w14:textId="77777777" w:rsidR="00C85924" w:rsidRDefault="00000000">
      <w:r>
        <w:t>Konzorcijski ugovor između zemalja članica EU o provedbi programa twinninga “Osnaživanje i daljnja podrška parlamentima BiH u poslovima EU integracija”</w:t>
      </w:r>
    </w:p>
    <w:p w14:paraId="6CFD7DB8" w14:textId="77777777" w:rsidR="00C85924" w:rsidRDefault="00000000">
      <w:pPr>
        <w:pStyle w:val="Heading8"/>
        <w:jc w:val="left"/>
      </w:pPr>
      <w:r>
        <w:t>Opis aktivnosti</w:t>
      </w:r>
    </w:p>
    <w:p w14:paraId="53CCF3BA" w14:textId="77777777" w:rsidR="00C85924" w:rsidRDefault="00000000">
      <w:r>
        <w:t>U okviru ove aktivnosti te izvora financiranja 31 Vlastiti prihodi sredstva su izvršena za mjesečni najam multifunkcijskog uređaja kao jedinog troška tijekom 2025. godine.</w:t>
      </w:r>
    </w:p>
    <w:p w14:paraId="78AF1862" w14:textId="77777777" w:rsidR="00C85924" w:rsidRDefault="00000000">
      <w:pPr>
        <w:pStyle w:val="Heading4"/>
      </w:pPr>
      <w:r>
        <w:t>K501013 INFORMATIZACIJA HRVATSKOG SABORA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5"/>
        <w:gridCol w:w="1959"/>
        <w:gridCol w:w="1954"/>
        <w:gridCol w:w="1959"/>
        <w:gridCol w:w="1206"/>
        <w:gridCol w:w="1213"/>
      </w:tblGrid>
      <w:tr w:rsidR="00C85924" w14:paraId="353D71CD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7047646E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7DE4C179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4BDF465A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4F9ACD3A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00BFFE72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6090FCC1" w14:textId="77777777" w:rsidR="00C85924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C85924" w14:paraId="5EAF1E72" w14:textId="77777777">
        <w:trPr>
          <w:jc w:val="center"/>
        </w:trPr>
        <w:tc>
          <w:tcPr>
            <w:tcW w:w="1632" w:type="dxa"/>
          </w:tcPr>
          <w:p w14:paraId="114383D1" w14:textId="77777777" w:rsidR="00C85924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K501013-INFORMATIZACIJA HRVATSKOG SABORA</w:t>
            </w:r>
          </w:p>
        </w:tc>
        <w:tc>
          <w:tcPr>
            <w:tcW w:w="2041" w:type="dxa"/>
          </w:tcPr>
          <w:p w14:paraId="6624A132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263.950</w:t>
            </w:r>
          </w:p>
        </w:tc>
        <w:tc>
          <w:tcPr>
            <w:tcW w:w="2041" w:type="dxa"/>
          </w:tcPr>
          <w:p w14:paraId="2648E4D1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529.200</w:t>
            </w:r>
          </w:p>
        </w:tc>
        <w:tc>
          <w:tcPr>
            <w:tcW w:w="2041" w:type="dxa"/>
          </w:tcPr>
          <w:p w14:paraId="557EDDBF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393.535</w:t>
            </w:r>
          </w:p>
        </w:tc>
        <w:tc>
          <w:tcPr>
            <w:tcW w:w="1224" w:type="dxa"/>
          </w:tcPr>
          <w:p w14:paraId="7F0DCE96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74,4</w:t>
            </w:r>
          </w:p>
        </w:tc>
        <w:tc>
          <w:tcPr>
            <w:tcW w:w="1224" w:type="dxa"/>
          </w:tcPr>
          <w:p w14:paraId="4FBB4767" w14:textId="77777777" w:rsidR="00C85924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149,1</w:t>
            </w:r>
          </w:p>
        </w:tc>
      </w:tr>
    </w:tbl>
    <w:p w14:paraId="7F2FE80E" w14:textId="77777777" w:rsidR="00C85924" w:rsidRDefault="00C85924">
      <w:pPr>
        <w:jc w:val="left"/>
      </w:pPr>
    </w:p>
    <w:p w14:paraId="6BE66FD2" w14:textId="77777777" w:rsidR="00C85924" w:rsidRDefault="00000000">
      <w:pPr>
        <w:pStyle w:val="Heading8"/>
        <w:jc w:val="left"/>
      </w:pPr>
      <w:r>
        <w:t>Zakonske i druge pravne osnove</w:t>
      </w:r>
    </w:p>
    <w:p w14:paraId="025CCC8B" w14:textId="77777777" w:rsidR="00C85924" w:rsidRDefault="00000000">
      <w:r>
        <w:t xml:space="preserve">Čl. 15., 20., 223., 225. i 293.a Poslovnika Hrvatskoga sabora    </w:t>
      </w:r>
    </w:p>
    <w:p w14:paraId="3D1FB0B6" w14:textId="77777777" w:rsidR="00C85924" w:rsidRDefault="00000000">
      <w:r>
        <w:t>Odluka Predsjedništva Hrvatskog sabora o dostupnosti i dostavi službenih materijala i dokumenata zastupnicima Hrvatskoga sabora</w:t>
      </w:r>
    </w:p>
    <w:p w14:paraId="03CB0326" w14:textId="77777777" w:rsidR="00C85924" w:rsidRDefault="00000000">
      <w:pPr>
        <w:pStyle w:val="Heading8"/>
        <w:jc w:val="left"/>
      </w:pPr>
      <w:r>
        <w:t>Opis aktivnosti</w:t>
      </w:r>
    </w:p>
    <w:p w14:paraId="1E4488CC" w14:textId="77777777" w:rsidR="00C85924" w:rsidRDefault="00000000">
      <w:r>
        <w:t xml:space="preserve">U okviru materijalnih rashoda sredstva u iznosu 217.600,23 eura su izvršena za podmirenje redovnih jednogodišnjih licenci potrebnih za redovno funkcioniranje službi Hrvatskoga sabora u obavljanju svojih zadaća. U odnosu na izvršenje 2024. godine isto je znatno veće zbog povećanja troškova Microsoft licenci.  </w:t>
      </w:r>
    </w:p>
    <w:p w14:paraId="4640B23B" w14:textId="77777777" w:rsidR="00C85924" w:rsidRDefault="00000000">
      <w:r>
        <w:t xml:space="preserve">Što se tiče višegodišnjih licenci, za tu svrhu nisu izvršena sredstva tijekom 2025. godine.  </w:t>
      </w:r>
    </w:p>
    <w:p w14:paraId="3B025D25" w14:textId="77777777" w:rsidR="00C85924" w:rsidRDefault="00000000">
      <w:r>
        <w:t>Rashodi za nabavu proizvedene dugotrajne imovine izvršeni su u iznosu 175.934,66 eura što je 79,97% u odnosu na konačni plan za ovu skupinu rashoda za 2025. godinu. Za nabavu računalne opreme izvršena su sredstva u iznosu 123.832,16 eura (20 osobnih računala, 70 all in one računala, skener, fortianalyzer uređaj, tablet, pisač naljepnica te mrežna oprema za funkcioniranje Hrvatskoga sabora na novoj lokaciji u HVU dr. Franjo Tuđman u iznosu 1.856,25 eura). Za ulaganja u računalne programe izvršena su sredstva u iznosu 52.102,50 eura od čega treba naglasiti 31.750,00 eura za nadogradnju postojećeg sustava eDoc.</w:t>
      </w:r>
    </w:p>
    <w:sectPr w:rsidR="00C85924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6B6F" w14:textId="77777777" w:rsidR="00AD0AA2" w:rsidRDefault="00AD0AA2" w:rsidP="00F352E6">
      <w:r>
        <w:separator/>
      </w:r>
    </w:p>
  </w:endnote>
  <w:endnote w:type="continuationSeparator" w:id="0">
    <w:p w14:paraId="7F836F58" w14:textId="77777777" w:rsidR="00AD0AA2" w:rsidRDefault="00AD0AA2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4721" w14:textId="77777777" w:rsidR="00000000" w:rsidRPr="00D769ED" w:rsidRDefault="00000000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9D5E" w14:textId="77777777" w:rsidR="00AD0AA2" w:rsidRDefault="00AD0AA2" w:rsidP="00F352E6">
      <w:r>
        <w:separator/>
      </w:r>
    </w:p>
  </w:footnote>
  <w:footnote w:type="continuationSeparator" w:id="0">
    <w:p w14:paraId="65E9CB3F" w14:textId="77777777" w:rsidR="00AD0AA2" w:rsidRDefault="00AD0AA2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F4D4" w14:textId="77777777" w:rsidR="00000000" w:rsidRDefault="00000000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A06BF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AD0AA2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85924"/>
    <w:rsid w:val="00DE2416"/>
    <w:rsid w:val="00E42E87"/>
    <w:rsid w:val="00E6231A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EA3A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dcterms:created xsi:type="dcterms:W3CDTF">2026-04-07T14:01:00Z</dcterms:created>
  <dcterms:modified xsi:type="dcterms:W3CDTF">2026-04-07T14:01:00Z</dcterms:modified>
</cp:coreProperties>
</file>