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0C" w:rsidRDefault="004A744C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ED2C6D6-ED4E-47FF-8968-E9B8F1E45F98" style="width:455.8pt;height:410.7pt">
            <v:imagedata r:id="rId9" o:title=""/>
          </v:shape>
        </w:pict>
      </w:r>
    </w:p>
    <w:bookmarkEnd w:id="0"/>
    <w:p w:rsidR="0071580C" w:rsidRDefault="0071580C">
      <w:pPr>
        <w:rPr>
          <w:noProof/>
          <w:lang w:val="en-GB" w:eastAsia="en-GB"/>
        </w:rPr>
        <w:sectPr w:rsidR="007158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386"/>
        <w:gridCol w:w="9812"/>
      </w:tblGrid>
      <w:tr w:rsidR="0071580C">
        <w:trPr>
          <w:trHeight w:val="330"/>
        </w:trPr>
        <w:tc>
          <w:tcPr>
            <w:tcW w:w="1001" w:type="pct"/>
            <w:shd w:val="clear" w:color="000000" w:fill="5B9BD5"/>
            <w:vAlign w:val="center"/>
            <w:hideMark/>
          </w:tcPr>
          <w:p w:rsidR="0071580C" w:rsidRDefault="004A744C">
            <w:pPr>
              <w:spacing w:after="0" w:line="240" w:lineRule="auto"/>
              <w:jc w:val="left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lastRenderedPageBreak/>
              <w:t>Naziv mjere</w:t>
            </w:r>
          </w:p>
        </w:tc>
        <w:tc>
          <w:tcPr>
            <w:tcW w:w="495" w:type="pct"/>
            <w:shd w:val="clear" w:color="000000" w:fill="5B9BD5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Datum početka</w:t>
            </w:r>
          </w:p>
        </w:tc>
        <w:tc>
          <w:tcPr>
            <w:tcW w:w="3504" w:type="pct"/>
            <w:shd w:val="clear" w:color="000000" w:fill="5B9BD5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Opis</w:t>
            </w:r>
          </w:p>
        </w:tc>
      </w:tr>
      <w:tr w:rsidR="0071580C">
        <w:trPr>
          <w:trHeight w:val="480"/>
        </w:trPr>
        <w:tc>
          <w:tcPr>
            <w:tcW w:w="5000" w:type="pct"/>
            <w:gridSpan w:val="3"/>
            <w:shd w:val="clear" w:color="000000" w:fill="ED7D3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32"/>
                <w:szCs w:val="24"/>
              </w:rPr>
            </w:pPr>
            <w:r>
              <w:rPr>
                <w:b/>
                <w:bCs/>
                <w:noProof/>
                <w:sz w:val="32"/>
                <w:szCs w:val="24"/>
              </w:rPr>
              <w:t>Jača ruralna područja</w:t>
            </w:r>
          </w:p>
        </w:tc>
      </w:tr>
      <w:tr w:rsidR="0071580C">
        <w:trPr>
          <w:trHeight w:val="1254"/>
        </w:trPr>
        <w:tc>
          <w:tcPr>
            <w:tcW w:w="1001" w:type="pct"/>
            <w:shd w:val="clear" w:color="000000" w:fill="9BC2E6"/>
            <w:vAlign w:val="center"/>
            <w:hideMark/>
          </w:tcPr>
          <w:p w:rsidR="0071580C" w:rsidRDefault="004A744C">
            <w:pPr>
              <w:spacing w:after="0" w:line="240" w:lineRule="auto"/>
              <w:jc w:val="left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Vodeća inicijativa:</w:t>
            </w:r>
            <w:r>
              <w:rPr>
                <w:b/>
                <w:noProof/>
                <w:szCs w:val="24"/>
              </w:rPr>
              <w:t xml:space="preserve"> Uspostava platforme za revitalizaciju ruralnih područja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2022./2023.</w:t>
            </w:r>
          </w:p>
        </w:tc>
        <w:tc>
          <w:tcPr>
            <w:tcW w:w="350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Platforma za revitalizaciju ruralnih područja bit će jedinstveno sučelje za suradnju ruralnih zajednica, nositelja ruralnih projekata i lokalnih vlasti. Njome će se uglavnom podupirati ruralna područja pogođena gubitkom i starenjem stanovništva te nedostat</w:t>
            </w:r>
            <w:r>
              <w:rPr>
                <w:noProof/>
              </w:rPr>
              <w:t xml:space="preserve">kom gospodarskih prilika, i to razmjenom informacija i primjera dobre prakse o alatima i strategijama. 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 xml:space="preserve">Promicat će se inicijativa LEADER, pametna sela, program Interreg i integrirane teritorijalne strategije kako bi ruralna područja postala privlačnija i </w:t>
            </w:r>
            <w:r>
              <w:rPr>
                <w:noProof/>
              </w:rPr>
              <w:t xml:space="preserve">kako bi usluge bile dostupne svima. Povezat će se s pilot-projektom „Small Places Matter” (Bitna su i mala mjesta) u okviru Teritorijalnog programa i projektom „Pametna ruralna područja u 21. stoljeću” za razvoj pristupa pametnih sela. </w:t>
            </w:r>
          </w:p>
        </w:tc>
      </w:tr>
      <w:tr w:rsidR="0071580C">
        <w:trPr>
          <w:trHeight w:val="691"/>
        </w:trPr>
        <w:tc>
          <w:tcPr>
            <w:tcW w:w="1001" w:type="pct"/>
            <w:shd w:val="clear" w:color="000000" w:fill="9BC2E6"/>
            <w:vAlign w:val="center"/>
            <w:hideMark/>
          </w:tcPr>
          <w:p w:rsidR="0071580C" w:rsidRDefault="004A744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Vodeća inicijativa</w:t>
            </w:r>
            <w:r>
              <w:rPr>
                <w:b/>
                <w:bCs/>
                <w:noProof/>
                <w:szCs w:val="24"/>
              </w:rPr>
              <w:t xml:space="preserve">: Istraživanje i inovacije za ruralne zajednice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0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</w:rPr>
            </w:pPr>
            <w:r>
              <w:rPr>
                <w:noProof/>
              </w:rPr>
              <w:t xml:space="preserve">Aktivnostima istraživanja i inovacija poduprijet će se razvoj inovacija u ruralnim zajednicama i za ruralne zajednice te osposobljavanje i razmjena znanja kako bi se ubrzalo širenje i prihvaćanje tih inovacija. </w:t>
            </w:r>
          </w:p>
          <w:p w:rsidR="0071580C" w:rsidRDefault="004A744C">
            <w:pPr>
              <w:ind w:left="170" w:right="113"/>
              <w:rPr>
                <w:rFonts w:eastAsia="Times New Roman" w:cs="Times New Roman"/>
                <w:noProof/>
              </w:rPr>
            </w:pPr>
            <w:r>
              <w:rPr>
                <w:noProof/>
              </w:rPr>
              <w:t>To će u prve dvije godine programa Obzor Eur</w:t>
            </w:r>
            <w:r>
              <w:rPr>
                <w:noProof/>
              </w:rPr>
              <w:t>opa uključivati osnivanje „centra za stručnost i osposobljavanje o ruralnim inovacijama” i poduzimanje mjera usmjerenih na pametna rješenja za pametne ruralne zajednice, inovacije u poljoprivredi i ruralnim područjima te inovacije u području društveno odgo</w:t>
            </w:r>
            <w:r>
              <w:rPr>
                <w:noProof/>
              </w:rPr>
              <w:t xml:space="preserve">vornog poslovanja kako bi se poboljšali zdravlje i sigurnost na radu u poljoprivredi. Razvoj ruralnih inovacijskih ekosustava i povezana analiza pokretačkih čimbenika poduprijet će se uspostavom godišnjeg foruma seoskih inkubatora za ruralne inovacije, na </w:t>
            </w:r>
            <w:r>
              <w:rPr>
                <w:noProof/>
              </w:rPr>
              <w:t>kojem će se povezati dionici u području ruralnih inovacija iz cijelog EU-a.</w:t>
            </w:r>
          </w:p>
        </w:tc>
      </w:tr>
      <w:tr w:rsidR="0071580C">
        <w:trPr>
          <w:trHeight w:val="645"/>
        </w:trPr>
        <w:tc>
          <w:tcPr>
            <w:tcW w:w="1001" w:type="pct"/>
            <w:shd w:val="clear" w:color="000000" w:fill="9BC2E6"/>
            <w:vAlign w:val="center"/>
            <w:hideMark/>
          </w:tcPr>
          <w:p w:rsidR="0071580C" w:rsidRDefault="004A744C">
            <w:pPr>
              <w:spacing w:after="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Poboljšano umrežavanje za LEADER/CLLD i pametna sela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0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U posljednjih 30 godina zajednice se potiču na izradu lokalnih strategija uz financiranje sredstvima ZPP-a u okviru </w:t>
            </w:r>
            <w:r>
              <w:rPr>
                <w:noProof/>
              </w:rPr>
              <w:t xml:space="preserve">pristupa LEADER, koji je proširen na druge fondove u okviru lokalnog razvoja pod vodstvom zajednice (CLLD). Poboljšanim umrežavanjem promicat će se ti pristupi, ali i drugi pristupi kao što su pametna sela i održive obalne zajednice, te će se lokalne </w:t>
            </w:r>
            <w:r>
              <w:rPr>
                <w:noProof/>
              </w:rPr>
              <w:lastRenderedPageBreak/>
              <w:t>zajed</w:t>
            </w:r>
            <w:r>
              <w:rPr>
                <w:noProof/>
              </w:rPr>
              <w:t>nice bolje savjetovati, osobito o pristupu financiranju i osmišljavanju takvih strategija.</w:t>
            </w:r>
          </w:p>
        </w:tc>
      </w:tr>
      <w:tr w:rsidR="0071580C">
        <w:trPr>
          <w:trHeight w:val="960"/>
        </w:trPr>
        <w:tc>
          <w:tcPr>
            <w:tcW w:w="1001" w:type="pct"/>
            <w:shd w:val="clear" w:color="auto" w:fill="9CC2E5" w:themeFill="accent1" w:themeFillTint="99"/>
            <w:vAlign w:val="center"/>
            <w:hideMark/>
          </w:tcPr>
          <w:p w:rsidR="0071580C" w:rsidRDefault="004A744C">
            <w:pPr>
              <w:spacing w:before="120" w:line="257" w:lineRule="auto"/>
              <w:jc w:val="left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Izrada studije o upotrebi zemljišta za održivu poljoprivredu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04" w:type="pct"/>
            <w:shd w:val="clear" w:color="auto" w:fill="auto"/>
            <w:vAlign w:val="center"/>
          </w:tcPr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 xml:space="preserve">Komisija će izraditi studiju o upotrebi zemljišta za održivu poljoprivredu i procijeniti kako </w:t>
            </w:r>
            <w:r>
              <w:rPr>
                <w:noProof/>
              </w:rPr>
              <w:t>dodatno potaknuti optimalno planiranje upotrebe/zoniranje zemljišta.</w:t>
            </w:r>
          </w:p>
        </w:tc>
      </w:tr>
      <w:tr w:rsidR="0071580C">
        <w:trPr>
          <w:trHeight w:val="558"/>
        </w:trPr>
        <w:tc>
          <w:tcPr>
            <w:tcW w:w="1001" w:type="pct"/>
            <w:shd w:val="clear" w:color="auto" w:fill="9CC2E5" w:themeFill="accent1" w:themeFillTint="99"/>
            <w:vAlign w:val="center"/>
          </w:tcPr>
          <w:p w:rsidR="0071580C" w:rsidRDefault="004A744C">
            <w:pPr>
              <w:pStyle w:val="StandardWeb"/>
              <w:jc w:val="left"/>
              <w:rPr>
                <w:noProof/>
              </w:rPr>
            </w:pPr>
            <w:r>
              <w:rPr>
                <w:noProof/>
              </w:rPr>
              <w:t xml:space="preserve">Potpora obrazovnim, sportskim i volonterskim aktivnostima te aktivnostima osposobljavanja i aktivnostima za mlade u ruralnim područjima 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04" w:type="pct"/>
            <w:shd w:val="clear" w:color="auto" w:fill="auto"/>
          </w:tcPr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 xml:space="preserve">Novim programima Erasmus+ i Europske snage </w:t>
            </w:r>
            <w:r>
              <w:rPr>
                <w:noProof/>
              </w:rPr>
              <w:t>solidarnosti (2021.–2027.) doprijet će se do više ljudi u ruralnim područjima u okviru mjera uključivanja koje obuhvaćaju sva područja obrazovanja, osposobljavanja, mladih, sporta i volontiranja, kao što su:</w:t>
            </w:r>
          </w:p>
          <w:p w:rsidR="0071580C" w:rsidRDefault="004A744C">
            <w:pPr>
              <w:pStyle w:val="Odlomakpopisa"/>
              <w:numPr>
                <w:ilvl w:val="0"/>
                <w:numId w:val="6"/>
              </w:numPr>
              <w:ind w:left="510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posebni financijski mehanizmi,</w:t>
            </w:r>
          </w:p>
          <w:p w:rsidR="0071580C" w:rsidRDefault="004A744C">
            <w:pPr>
              <w:pStyle w:val="Odlomakpopisa"/>
              <w:numPr>
                <w:ilvl w:val="0"/>
                <w:numId w:val="6"/>
              </w:numPr>
              <w:ind w:left="510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ciljane komunikac</w:t>
            </w:r>
            <w:r>
              <w:rPr>
                <w:rFonts w:ascii="Times New Roman" w:hAnsi="Times New Roman"/>
                <w:noProof/>
              </w:rPr>
              <w:t>ijske aktivnosti,</w:t>
            </w:r>
          </w:p>
          <w:p w:rsidR="0071580C" w:rsidRDefault="004A744C">
            <w:pPr>
              <w:pStyle w:val="Odlomakpopisa"/>
              <w:numPr>
                <w:ilvl w:val="0"/>
                <w:numId w:val="6"/>
              </w:numPr>
              <w:ind w:left="510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lakši pristup mobilnosti i aktivnostima suradnje,</w:t>
            </w:r>
          </w:p>
          <w:p w:rsidR="0071580C" w:rsidRDefault="004A744C">
            <w:pPr>
              <w:pStyle w:val="Odlomakpopisa"/>
              <w:numPr>
                <w:ilvl w:val="0"/>
                <w:numId w:val="6"/>
              </w:numPr>
              <w:ind w:left="510" w:right="11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prošireni skup digitalnih mjera (posebno prikladnih za suradnju i inicijative na lokalnoj i regionalnoj razini),</w:t>
            </w:r>
          </w:p>
          <w:p w:rsidR="0071580C" w:rsidRDefault="004A744C">
            <w:pPr>
              <w:pStyle w:val="Odlomakpopisa"/>
              <w:numPr>
                <w:ilvl w:val="0"/>
                <w:numId w:val="6"/>
              </w:numPr>
              <w:spacing w:after="120"/>
              <w:ind w:left="510" w:right="113" w:hanging="357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prilike za osposobljavanje i umrežavanje.</w:t>
            </w:r>
          </w:p>
        </w:tc>
      </w:tr>
    </w:tbl>
    <w:p w:rsidR="0071580C" w:rsidRDefault="004A744C">
      <w:pPr>
        <w:rPr>
          <w:noProof/>
        </w:rPr>
      </w:pPr>
      <w:r>
        <w:rPr>
          <w:noProof/>
        </w:rPr>
        <w:br w:type="page"/>
      </w:r>
    </w:p>
    <w:p w:rsidR="0071580C" w:rsidRDefault="0071580C">
      <w:pPr>
        <w:rPr>
          <w:noProof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24"/>
      </w:tblGrid>
      <w:tr w:rsidR="0071580C">
        <w:trPr>
          <w:trHeight w:val="465"/>
        </w:trPr>
        <w:tc>
          <w:tcPr>
            <w:tcW w:w="5000" w:type="pct"/>
            <w:gridSpan w:val="3"/>
            <w:shd w:val="clear" w:color="000000" w:fill="ED7D3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32"/>
                <w:szCs w:val="24"/>
              </w:rPr>
            </w:pPr>
            <w:r>
              <w:rPr>
                <w:b/>
                <w:bCs/>
                <w:noProof/>
                <w:sz w:val="32"/>
                <w:szCs w:val="24"/>
              </w:rPr>
              <w:t>Povezana ruralna područja</w:t>
            </w:r>
          </w:p>
        </w:tc>
      </w:tr>
      <w:tr w:rsidR="0071580C">
        <w:trPr>
          <w:trHeight w:val="2606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Vodeća inicijativa: </w:t>
            </w:r>
          </w:p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Razvoj ruralne mobilnosti s pomoću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Cs w:val="24"/>
              </w:rPr>
              <w:t>1. potpore ruralnim općinama u utvrđivanju primjera najbolje prakse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b/>
                <w:noProof/>
                <w:szCs w:val="24"/>
              </w:rPr>
              <w:t>2. multimodalnih usluga digitalne mobilnosti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shd w:val="clear" w:color="000000" w:fill="FFFFFF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Nužno je poboljšati postojeće prometne veze. U tu bi svrhu digitalizacijom </w:t>
            </w:r>
            <w:r>
              <w:rPr>
                <w:noProof/>
              </w:rPr>
              <w:t>trebalo optimizirati održiva multimodalna rješenja za mobilnost i prometne veze. Oslanjajući se na svoje iskustvo s mrežama gradske mobilnosti, Komisija će podupirati ruralne općine u razmatranju i pronalaženju rješenja za mobilnost. Inicijative na lokalno</w:t>
            </w:r>
            <w:r>
              <w:rPr>
                <w:noProof/>
              </w:rPr>
              <w:t>j razini koje bi lokalne vlasti mogle primijeniti i na svojem području predstavit će se u okviru takve mreže, koja će poslužiti i kao forum za raspravu o pitanjima ruralne mobilnosti. Poboljšanje veza između cestovnog, željezničkog, zračnog prometa i prome</w:t>
            </w:r>
            <w:r>
              <w:rPr>
                <w:noProof/>
              </w:rPr>
              <w:t>ta plovnim putovima može ih učiniti dostupnijima ruralnim područjima. Digitalne platforme trebale bi se upotrebljavati i za stvaranje multimodalnih usluga informiranja, izdavanja karata ili rezervacija u stvarnom vremenu, čime bi se korisnicima omogućilo d</w:t>
            </w:r>
            <w:r>
              <w:rPr>
                <w:noProof/>
              </w:rPr>
              <w:t>a lako stignu do svojeg krajnjeg odredišta najodrživijom vrstom prijevoza.</w:t>
            </w:r>
          </w:p>
        </w:tc>
      </w:tr>
      <w:tr w:rsidR="0071580C">
        <w:trPr>
          <w:trHeight w:val="558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Vodeća inicijativa: Digitalna budućnost ruralnih područja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shd w:val="clear" w:color="000000" w:fill="FFFFFF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1. Digitalna povezivost: premošćivanje jaza između ruralnih i gradskih područja te omogućivanje univerzalnog i </w:t>
            </w:r>
            <w:r>
              <w:rPr>
                <w:noProof/>
              </w:rPr>
              <w:t>povoljnog pristupa brzoj širokopojasnoj mreži, uključujući 5G. To će se postići mobiliziranjem ulaganja privatnog sektora dopunskim javnim financiranjem iz nacionalnih i europskih izvora, a posebno iz Mehanizma za oporavak i otpornost, ESIF-a i Instrumenta</w:t>
            </w:r>
            <w:r>
              <w:rPr>
                <w:noProof/>
              </w:rPr>
              <w:t xml:space="preserve"> za povezivanje Europe (CEF).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 xml:space="preserve">2. Digitalna tehnologija: digitalne inovacije i nove tehnologije kao što su umjetna inteligencija, robotika, rješenja za internet stvari i centri za digitalne inovacije koji pridonose razvoju ruralnih područja provedbom mjera </w:t>
            </w:r>
            <w:r>
              <w:rPr>
                <w:noProof/>
              </w:rPr>
              <w:t>u okviru digitalnog desetljeća Europe. Novi europski programi kao što su Obzor Europa i program Digitalna Europa mobilizirat će se za potporu inovacijama i uvođenju digitalnih kapaciteta.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3. Ljudi („ljudski kapital”): jačanje kompetencija potrebnih za digi</w:t>
            </w:r>
            <w:r>
              <w:rPr>
                <w:noProof/>
              </w:rPr>
              <w:t>talnu transformaciju ruralnih područja, uključujući digitalne vještine i poduzetništvo. Tomu će pridonijeti Europski socijalni fond plus, EPFRR i drugi europski programi.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4. Mjerenje napretka u premošćivanju digitalnog jaza između gradskih i ruralnih podru</w:t>
            </w:r>
            <w:r>
              <w:rPr>
                <w:noProof/>
              </w:rPr>
              <w:t xml:space="preserve">čja </w:t>
            </w:r>
            <w:r>
              <w:rPr>
                <w:noProof/>
              </w:rPr>
              <w:lastRenderedPageBreak/>
              <w:t>ponovnim utvrđivanjem postojećih pokazatelja, posebno onih iz Indeksa gospodarske i društvene digitalizacije, u indeksu digitalizacije ruralnih područja.</w:t>
            </w:r>
          </w:p>
        </w:tc>
      </w:tr>
      <w:tr w:rsidR="0071580C">
        <w:trPr>
          <w:trHeight w:val="82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lastRenderedPageBreak/>
              <w:t>Potpora uvođenju širokopojasne mreže u ruralna područja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Uredi za širokopojasne usluge kontaktne su točke u državama članicama ili regijama. Pružaju smjernice i savjete nositeljima projekata, ulagačima i korisnicima u području širokopojasnih mreža (lokalna i regionalna javna tijela, građani, operateri, poduzeća </w:t>
            </w:r>
            <w:r>
              <w:rPr>
                <w:noProof/>
              </w:rPr>
              <w:t xml:space="preserve">i svi relevantni dionici). Poboljšanim instrumentom potpore podupirat će se mreža ureda za širokopojasne usluge kako bi se poboljšalo uvođenje širokopojasne mreže u ruralna područja i olakšala ulaganja. </w:t>
            </w:r>
          </w:p>
        </w:tc>
      </w:tr>
      <w:tr w:rsidR="0071580C">
        <w:trPr>
          <w:trHeight w:val="416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  <w:color w:val="000000" w:themeColor="text1"/>
                <w:szCs w:val="20"/>
              </w:rPr>
              <w:t xml:space="preserve">Daljnje promicanje digitalizacije poljoprivrednog </w:t>
            </w:r>
            <w:r>
              <w:rPr>
                <w:noProof/>
                <w:color w:val="000000" w:themeColor="text1"/>
                <w:szCs w:val="20"/>
              </w:rPr>
              <w:t>sektora izgradnjom kapaciteta (među ostalim u području digitalnih vještina), istraživanjem i inovacijama te demonstracijom, među ostalim u području interneta stvari, robotike i automatizacije, upravljanja velikim podacima i njihove upotrebe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ind w:left="170" w:right="113"/>
              <w:rPr>
                <w:noProof/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  <w:szCs w:val="20"/>
              </w:rPr>
              <w:t xml:space="preserve">U okviru </w:t>
            </w:r>
            <w:r>
              <w:rPr>
                <w:noProof/>
                <w:color w:val="000000" w:themeColor="text1"/>
                <w:szCs w:val="20"/>
              </w:rPr>
              <w:t>ZPP-a i programa Obzor Europa digitalizacija poljoprivrede i dalje će se podupirati osposobljavanjem, savjetovanjem i inovacijskim aktivnostima u okviru ZPP-a te financiranjem opsežnih pilot-projekata u okviru programa Obzor 2020. i aktivnosti istraživanja</w:t>
            </w:r>
            <w:r>
              <w:rPr>
                <w:noProof/>
                <w:color w:val="000000" w:themeColor="text1"/>
                <w:szCs w:val="20"/>
              </w:rPr>
              <w:t xml:space="preserve"> i inovacija u okviru programa Obzor Europa. </w:t>
            </w:r>
          </w:p>
        </w:tc>
      </w:tr>
      <w:tr w:rsidR="0071580C">
        <w:trPr>
          <w:trHeight w:val="416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Isticanje povezanosti gradskih i ruralnih područja u novom okviru EU-a za gradsku mobilnost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Novi okvir EU-a za gradsku mobilnost uključivat će posebne mjere za bolju integraciju veza između gradskih, </w:t>
            </w:r>
            <w:r>
              <w:rPr>
                <w:noProof/>
              </w:rPr>
              <w:t>prigradskih i ruralnih područja. To će se postići razradom planova održive gradske mobilnosti, u okviru kojih će se posebna pozornost posvetiti boljoj potpori povezivosti ruralnih, prigradskih i metropolskih/gradskih područja. To se postiže sigurnim i održ</w:t>
            </w:r>
            <w:r>
              <w:rPr>
                <w:noProof/>
              </w:rPr>
              <w:t>ivim oblicima mobilnosti.</w:t>
            </w:r>
          </w:p>
        </w:tc>
      </w:tr>
      <w:tr w:rsidR="0071580C">
        <w:trPr>
          <w:trHeight w:val="812"/>
        </w:trPr>
        <w:tc>
          <w:tcPr>
            <w:tcW w:w="1051" w:type="pct"/>
            <w:shd w:val="clear" w:color="auto" w:fill="9CC2E5" w:themeFill="accent1" w:themeFillTint="99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Poboljšanje pristupačnosti ruralnih područja u okviru </w:t>
            </w:r>
            <w:r>
              <w:rPr>
                <w:noProof/>
              </w:rPr>
              <w:lastRenderedPageBreak/>
              <w:t xml:space="preserve">Strategije za dronove 2.0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2022.</w:t>
            </w:r>
          </w:p>
        </w:tc>
        <w:tc>
          <w:tcPr>
            <w:tcW w:w="3544" w:type="pct"/>
            <w:shd w:val="clear" w:color="auto" w:fill="auto"/>
          </w:tcPr>
          <w:p w:rsidR="0071580C" w:rsidRDefault="004A744C">
            <w:pPr>
              <w:ind w:left="170" w:right="113"/>
              <w:rPr>
                <w:rFonts w:eastAsia="Times New Roman"/>
                <w:noProof/>
              </w:rPr>
            </w:pPr>
            <w:r>
              <w:rPr>
                <w:noProof/>
              </w:rPr>
              <w:t>Osim komunalnih usluga (terenski pregledi i mjerenja), dronovima se može poboljšati pristupačnost u udaljenim ruralnim područjima. Mogu se upo</w:t>
            </w:r>
            <w:r>
              <w:rPr>
                <w:noProof/>
              </w:rPr>
              <w:t xml:space="preserve">trebljavati za dostavu malih </w:t>
            </w:r>
            <w:r>
              <w:rPr>
                <w:noProof/>
              </w:rPr>
              <w:lastRenderedPageBreak/>
              <w:t xml:space="preserve">proizvoda u ruralna područja (npr. mali paketi, dostava lijekova do domova pacijenata, pošta, hrana, sitni automobilski dijelovi itd.). Europska komisija to će uzeti u obzir u Strategiji za dronove 2.0. </w:t>
            </w:r>
          </w:p>
        </w:tc>
      </w:tr>
      <w:tr w:rsidR="0071580C">
        <w:trPr>
          <w:trHeight w:val="465"/>
        </w:trPr>
        <w:tc>
          <w:tcPr>
            <w:tcW w:w="5000" w:type="pct"/>
            <w:gridSpan w:val="3"/>
            <w:shd w:val="clear" w:color="000000" w:fill="ED7D3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32"/>
                <w:szCs w:val="24"/>
              </w:rPr>
            </w:pPr>
            <w:r>
              <w:rPr>
                <w:b/>
                <w:bCs/>
                <w:noProof/>
                <w:sz w:val="32"/>
                <w:szCs w:val="24"/>
              </w:rPr>
              <w:lastRenderedPageBreak/>
              <w:t xml:space="preserve">Otporna ruralna </w:t>
            </w:r>
            <w:r>
              <w:rPr>
                <w:b/>
                <w:bCs/>
                <w:noProof/>
                <w:sz w:val="32"/>
                <w:szCs w:val="24"/>
              </w:rPr>
              <w:t>područja</w:t>
            </w:r>
          </w:p>
        </w:tc>
      </w:tr>
      <w:tr w:rsidR="0071580C">
        <w:trPr>
          <w:trHeight w:val="112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Vodeća inicijativa: Potpora ruralnim općinama u energetskoj tranziciji i borbi protiv klimatskih promjena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b/>
                <w:noProof/>
              </w:rPr>
              <w:t>1. Uspostava područja rada za ruralna područja u okviru Sporazuma gradonačelnika</w:t>
            </w:r>
          </w:p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U okviru Sporazuma gradonačelnika uspostavit će se područje rada za ruralna područja kako bi se širili primjeri dobre prakse i podržale ruralne općine u pristupu sredstvima EU-a za potporu zelenoj tranziciji. 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b/>
                <w:noProof/>
              </w:rPr>
              <w:t>2. Upotreba strukturnih fondova za financiranj</w:t>
            </w:r>
            <w:r>
              <w:rPr>
                <w:b/>
                <w:noProof/>
              </w:rPr>
              <w:t>e vala obnove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Države članice, regije i lokalna tijela trebali bi iskoristiti priliku za financiranje ulaganja iz teritorijalnih instrumenata Europskog fonda za regionalni razvoj (EFRR) i Europskog poljoprivrednog fonda za ruralni razvoj (EPFRR): integriran</w:t>
            </w:r>
            <w:r>
              <w:rPr>
                <w:noProof/>
              </w:rPr>
              <w:t xml:space="preserve">a teritorijalna ulaganja, lokalni razvoj pod vodstvom zajednice i LEADER. 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b/>
                <w:noProof/>
              </w:rPr>
              <w:t>3. Uključivanje ruralnih područja u novi europski Bauhaus</w:t>
            </w:r>
            <w:r>
              <w:rPr>
                <w:noProof/>
              </w:rPr>
              <w:t xml:space="preserve"> 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U tom će se pogledu promicati i važnu ulogu imati i novi europski Bauhaus, koji povezuje europski zeleni plan s našim živo</w:t>
            </w:r>
            <w:r>
              <w:rPr>
                <w:noProof/>
              </w:rPr>
              <w:t xml:space="preserve">tnim prostorima prilagodbom zgrada i javnih prostora. </w:t>
            </w:r>
          </w:p>
        </w:tc>
      </w:tr>
      <w:tr w:rsidR="0071580C">
        <w:trPr>
          <w:trHeight w:val="4220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lastRenderedPageBreak/>
              <w:t xml:space="preserve">Vodeća inicijativa: </w:t>
            </w:r>
          </w:p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Mjera u području klime: tresetišta za sekvestraciju ugljika u poljoprivredi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  <w:szCs w:val="24"/>
              </w:rPr>
            </w:pPr>
            <w:r>
              <w:rPr>
                <w:noProof/>
              </w:rPr>
              <w:t>Ruralna područja mogu postati relevantni dionici u borbi protiv klimatskih promjena i obnovi bioraznolikosti. U tu bi svrhu trebalo osigurati daljnje uvažavanje usluga ekosustava koje pružaju poljoprivrednici i šumari. Na primjer, obnova, ponovna uspostava</w:t>
            </w:r>
            <w:r>
              <w:rPr>
                <w:noProof/>
              </w:rPr>
              <w:t xml:space="preserve"> i očuvanje močvarnih područja i tresetišta mogu uvelike pogodovati klimi jer mogu odmah dovesti do znatnog smanjenja emisija na relativno malom području i pritom donijeti dodatne koristi u području upravljanja vodama i bioraznolikosti. </w:t>
            </w:r>
          </w:p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Ta bi tranzicija b</w:t>
            </w:r>
            <w:r>
              <w:rPr>
                <w:noProof/>
              </w:rPr>
              <w:t>ila učinkovitija uz teritorijalni pristup, posebno u ruralnim područjima po kojima se prostiru tresetišta. Te bi regije mogle imati koristi od potpore u okviru Fonda za pravednu tranziciju. Inicijative za sekvestraciju ugljika u poljoprivredi mogle bi biti</w:t>
            </w:r>
            <w:r>
              <w:rPr>
                <w:noProof/>
              </w:rPr>
              <w:t xml:space="preserve"> dodatan izvor prihoda za poljoprivrednike i šumare, koje bi se nagrađivalo za sekvestraciju ugljika. Kako je utvrđeno u strategiji „od polja do stola”,</w:t>
            </w:r>
            <w:r>
              <w:rPr>
                <w:noProof/>
                <w:color w:val="444444"/>
                <w:szCs w:val="24"/>
                <w:shd w:val="clear" w:color="auto" w:fill="FFFFFF"/>
              </w:rPr>
              <w:t xml:space="preserve"> </w:t>
            </w:r>
            <w:r>
              <w:rPr>
                <w:noProof/>
              </w:rPr>
              <w:t>novom inicijativom EU-a za sekvestraciju ugljika u poljoprivredi promicat će se taj novi poslovni model</w:t>
            </w:r>
            <w:r>
              <w:rPr>
                <w:noProof/>
              </w:rPr>
              <w:t xml:space="preserve">. ZPP, kohezijska politika i program LIFE mogu pružiti potporu razvoju pilot-inicijativa za sekvestraciju ugljika u poljoprivredi u dotičnim regijama. Posebno će biti važno osigurati snažnu savjetodavnu potporu poljoprivrednicima i šumarima. Ta je potpora </w:t>
            </w:r>
            <w:r>
              <w:rPr>
                <w:noProof/>
              </w:rPr>
              <w:t>ključna za uspjeh programa ekološkog upravljanja zemljištem koji uključuju poljoprivredna gospodarstva svih veličina.</w:t>
            </w:r>
          </w:p>
        </w:tc>
      </w:tr>
      <w:tr w:rsidR="0071580C">
        <w:trPr>
          <w:trHeight w:val="357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 xml:space="preserve">Vodeća inicijativa: Predložena misija EU-a za zdravlje tla i hranu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ind w:left="170" w:right="113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 xml:space="preserve">Cilj je te predložene misije koja se financira u okviru </w:t>
            </w:r>
            <w:r>
              <w:rPr>
                <w:noProof/>
              </w:rPr>
              <w:t>programa Obzor Europa provedba ambicioznog programa za istraživanje i inovacije koji se financira u okviru istog programa, uključujući razvoj inovacija u „živim laboratorijima” u koje su uključeni dionici, građani, znanstvenici i drugi akteri (npr. lokalna</w:t>
            </w:r>
            <w:r>
              <w:rPr>
                <w:noProof/>
              </w:rPr>
              <w:t xml:space="preserve"> tijela) i svjetionici (lokacije s primjerima dobre prakse), koji su namijenjeni poboljšanju zdravlja tla i imaju jaku socijalnu dimenziju.</w:t>
            </w:r>
          </w:p>
          <w:p w:rsidR="0071580C" w:rsidRDefault="004A744C">
            <w:pPr>
              <w:ind w:left="170" w:right="113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t>Predložena misija trebala bi pridonijeti rješavanju pedoloških problema u ruralnim područjima, ali i u gradskim sred</w:t>
            </w:r>
            <w:r>
              <w:rPr>
                <w:noProof/>
              </w:rPr>
              <w:t>inama, te na taj način povezati praksu iz ruralnih i gradskih područja. U okviru misije trebale bi se provoditi i aktivnosti uključivanja građana te će se nastojati poboljšati znanje o tlu. Trebalo bi nastojati ostvariti sinergije s misijom za zdrave ocean</w:t>
            </w:r>
            <w:r>
              <w:rPr>
                <w:noProof/>
              </w:rPr>
              <w:t>e i vode u okviru programa Obzor Europa u cilju poboljšanja zdravlja vodnih sustava EU-a, a posebno postizanja nulte stope onečišćenja.</w:t>
            </w:r>
          </w:p>
        </w:tc>
      </w:tr>
      <w:tr w:rsidR="0071580C">
        <w:trPr>
          <w:trHeight w:val="699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lastRenderedPageBreak/>
              <w:t>Vodeća inicijativa</w:t>
            </w:r>
            <w:r>
              <w:rPr>
                <w:b/>
                <w:noProof/>
                <w:szCs w:val="24"/>
              </w:rPr>
              <w:t xml:space="preserve">: Socijalna otpornost i žene u ruralnim područjima 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Poduprijet će se poduzetništvo žena, </w:t>
            </w:r>
            <w:r>
              <w:rPr>
                <w:noProof/>
              </w:rPr>
              <w:t>sudjelovanje u donošenju odluka i ulaganja u usluge za uspostavu ravnoteže između poslovnog i privatnog života, kao što su rani i predškolski odgoj i obrazovanje te usluge za starije osobe.</w:t>
            </w:r>
          </w:p>
          <w:p w:rsidR="0071580C" w:rsidRDefault="004A744C">
            <w:pPr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U okviru zajedničke poljoprivredne politike ili programâ i potpore</w:t>
            </w:r>
            <w:r>
              <w:rPr>
                <w:noProof/>
              </w:rPr>
              <w:t xml:space="preserve"> Europskog instituta za inovacije i tehnologiju (EIT) predviđene su i mogućnosti za povećanje integracije žena na tržište rada, posebno u poljoprivredi. </w:t>
            </w:r>
          </w:p>
          <w:p w:rsidR="0071580C" w:rsidRDefault="004A744C">
            <w:pPr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Komisija će i dalje podupirati rad država članica na poboljšanju dostupnosti, pristupačnosti i cjenovn</w:t>
            </w:r>
            <w:r>
              <w:rPr>
                <w:noProof/>
              </w:rPr>
              <w:t>e pristupačnosti kvalitetnih usluga obrazovanja i skrbi za djecu, starije osobe i osobe s invaliditetom u ruralnim područjima ulaganjima iz Europskog socijalnog fonda plus, Europskog fonda za regionalni razvoj, programa InvestEU i Europskog poljoprivrednog</w:t>
            </w:r>
            <w:r>
              <w:rPr>
                <w:noProof/>
              </w:rPr>
              <w:t xml:space="preserve"> fonda za ruralni razvoj.</w:t>
            </w:r>
          </w:p>
          <w:p w:rsidR="0071580C" w:rsidRDefault="004A744C">
            <w:pPr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Posebna pozornost posvetit će se osobama u osjetljivom položaju. </w:t>
            </w:r>
          </w:p>
        </w:tc>
      </w:tr>
      <w:tr w:rsidR="0071580C">
        <w:trPr>
          <w:trHeight w:val="645"/>
        </w:trPr>
        <w:tc>
          <w:tcPr>
            <w:tcW w:w="1051" w:type="pct"/>
            <w:shd w:val="clear" w:color="auto" w:fill="9CC2E5" w:themeFill="accent1" w:themeFillTint="99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>Analiza prostorne mobilnosti u područjima u Europi koja bilježe demografski pad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shd w:val="clear" w:color="auto" w:fill="FFFFFF" w:themeFill="background1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Komisija će analizirati pokretače demografskog pada i zapostavljena područja u Europi te će ispitati učinke gradsko-ruralne mobilnosti na demografiju, gospodarstvo, društvo, tržište rada i kulturu područja u koja i iz kojih se odlazi. Promicat će ruralni r</w:t>
            </w:r>
            <w:r>
              <w:rPr>
                <w:noProof/>
              </w:rPr>
              <w:t xml:space="preserve">azvoj, održivost i socioekonomsku jednakost te sastaviti preporuke o politikama usmjerene na povratak pojedinaca u njihovo mjesto podrijetla.  </w:t>
            </w:r>
          </w:p>
        </w:tc>
      </w:tr>
      <w:tr w:rsidR="0071580C">
        <w:trPr>
          <w:trHeight w:val="645"/>
        </w:trPr>
        <w:tc>
          <w:tcPr>
            <w:tcW w:w="1051" w:type="pct"/>
            <w:shd w:val="clear" w:color="auto" w:fill="9CC2E5" w:themeFill="accent1" w:themeFillTint="99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 xml:space="preserve">Priprema studije o uvjetima rada sezonskih poljoprivrednih radnika </w:t>
            </w:r>
          </w:p>
        </w:tc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shd w:val="clear" w:color="auto" w:fill="FFFFFF" w:themeFill="background1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Komisija će započeti izradu studije o</w:t>
            </w:r>
            <w:r>
              <w:rPr>
                <w:noProof/>
              </w:rPr>
              <w:t xml:space="preserve"> uvjetima rada sezonskih radnika u poljoprivrednom sektoru. U njoj će se općenito razmotriti njihovi uvjeti rada u EU-u, pri čemu će naglasak biti na utvrđivanju primjenjivih pravila i propisa.</w:t>
            </w:r>
          </w:p>
        </w:tc>
      </w:tr>
      <w:tr w:rsidR="0071580C">
        <w:trPr>
          <w:trHeight w:val="416"/>
        </w:trPr>
        <w:tc>
          <w:tcPr>
            <w:tcW w:w="1051" w:type="pct"/>
            <w:shd w:val="clear" w:color="auto" w:fill="9CC2E5" w:themeFill="accent1" w:themeFillTint="99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 xml:space="preserve">Promicanje uključivanja i integracije osoba migrantskog podrijetla u ruralnim područjima </w:t>
            </w:r>
          </w:p>
        </w:tc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shd w:val="clear" w:color="auto" w:fill="FFFFFF" w:themeFill="background1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U okviru provedbe Akcijskog plana za integraciju i uključivanje za razdoblje 2021.–2027. Komisija će istražiti mogućnosti za izgradnju ruralnih partnerstava rad</w:t>
            </w:r>
            <w:r>
              <w:rPr>
                <w:noProof/>
              </w:rPr>
              <w:t>i promicanja uključivanja i integracije migranata u ruralnim područjima.</w:t>
            </w:r>
          </w:p>
        </w:tc>
      </w:tr>
      <w:tr w:rsidR="0071580C">
        <w:trPr>
          <w:trHeight w:val="1117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Osiguranje jednakih mogućnosti djeci u ruralnim područjima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Osiguranje jednakih mogućnosti djeci u ruralnim područjima provedbom europskog jamstva za djecu i osiguranjem da </w:t>
            </w:r>
            <w:r>
              <w:rPr>
                <w:noProof/>
              </w:rPr>
              <w:t>svako dijete kojem je potrebna pomoć ima besplatni pristup ranom i predškolskom odgoju i obrazovanju, obrazovanju i školskim aktivnostima, najmanje jedan zdravi obrok svakog školskog dana, zdravstvenu skrb i učinkovit pristup zdravoj prehrani te odgovaraju</w:t>
            </w:r>
            <w:r>
              <w:rPr>
                <w:noProof/>
              </w:rPr>
              <w:t>će uvjete stanovanja.</w:t>
            </w:r>
          </w:p>
        </w:tc>
      </w:tr>
      <w:tr w:rsidR="0071580C">
        <w:trPr>
          <w:trHeight w:val="1117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 xml:space="preserve">Ispunjavanje potreba osoba s invaliditetom u ruralnim područjima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Provedbom nove Strategije za prava osoba s invaliditetom za razdoblje 2021.–2030. u suradnji s državama članicama Komisija će podupirati poboljšani pristup </w:t>
            </w:r>
            <w:r>
              <w:rPr>
                <w:noProof/>
              </w:rPr>
              <w:t>pravima tih osoba u ruralnim područjima.</w:t>
            </w:r>
          </w:p>
        </w:tc>
      </w:tr>
      <w:tr w:rsidR="0071580C">
        <w:trPr>
          <w:trHeight w:val="465"/>
        </w:trPr>
        <w:tc>
          <w:tcPr>
            <w:tcW w:w="5000" w:type="pct"/>
            <w:gridSpan w:val="3"/>
            <w:shd w:val="clear" w:color="000000" w:fill="ED7D3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32"/>
                <w:szCs w:val="24"/>
              </w:rPr>
            </w:pPr>
            <w:r>
              <w:rPr>
                <w:b/>
                <w:bCs/>
                <w:noProof/>
                <w:sz w:val="32"/>
                <w:szCs w:val="24"/>
              </w:rPr>
              <w:t>Prosperitetna ruralna područja</w:t>
            </w:r>
          </w:p>
        </w:tc>
      </w:tr>
      <w:tr w:rsidR="0071580C">
        <w:trPr>
          <w:trHeight w:val="983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Vodeća inicijativa: Poduzetništvo i socijalna ekonomija u ruralnim područjima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U okviru vodeće inicijative promiče se razmjena i podupiranje iskustava na cijelom jedinstvenom tržištu kako bi se ruralna područja revitalizirala suradnjom, primjerima dobre prakse i razmjenom znanja. Predlaže se niz mjera kako bi se sektorskim poduzetnic</w:t>
            </w:r>
            <w:r>
              <w:rPr>
                <w:noProof/>
              </w:rPr>
              <w:t xml:space="preserve">ima, MSP-ovima i organizacijama socijalne ekonomije omogućilo da se vrate, preobraze i napreduju u ruralnim područjima: 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razvoj MSP-ova u ruralnim područjima davanjem prednosti klasterima, umrežavanju i suradnji u okviru programa jedinstvenog tržišta, COSM</w:t>
            </w:r>
            <w:r>
              <w:rPr>
                <w:noProof/>
              </w:rPr>
              <w:t>E-a i Europske poduzetničke mreže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promicanje poslovnih modela socijalne ekonomije u ruralnim područjima u okviru europskog akcijskog plana za socijalnu ekonomiju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poticanje maloprodajnih i lokalnih lanaca opskrbe u ruralnim područjima, npr. poboljšanjem pov</w:t>
            </w:r>
            <w:r>
              <w:rPr>
                <w:noProof/>
              </w:rPr>
              <w:t>ezanosti lokalnih proizvođača i maloprodaje te stvaranjem lokalnih prehrambenih centara</w:t>
            </w:r>
          </w:p>
          <w:p w:rsidR="0071580C" w:rsidRDefault="004A744C">
            <w:pPr>
              <w:ind w:left="170" w:right="113"/>
              <w:rPr>
                <w:noProof/>
              </w:rPr>
            </w:pPr>
            <w:r>
              <w:rPr>
                <w:noProof/>
              </w:rPr>
              <w:t>stvaranje i podupiranje inovativnih okruženja u ruralnim područjima obrazovanjem i poticanjem budućih poduzetnika da razviju društvene ili poslovne modele i rješenja ko</w:t>
            </w:r>
            <w:r>
              <w:rPr>
                <w:noProof/>
              </w:rPr>
              <w:t xml:space="preserve">jima bi se zadovoljile potrebe lokalnih zajednica, uz pomoć, stručno znanje i pružanje usluga zajednica znanja i inovacija Europskog instituta za inovacije i tehnologiju.  </w:t>
            </w:r>
          </w:p>
        </w:tc>
      </w:tr>
      <w:tr w:rsidR="0071580C">
        <w:trPr>
          <w:trHeight w:val="984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lastRenderedPageBreak/>
              <w:t>Daljnje poticanje država članica da povećaju prilike za obrazovanje, osposobljavan</w:t>
            </w:r>
            <w:r>
              <w:rPr>
                <w:noProof/>
              </w:rPr>
              <w:t xml:space="preserve">je i zapošljavanje mladih u ruralnim i udaljenim područjima u okviru pojačane Garancije za mlade i europskog prostora obrazovanja 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  <w:p w:rsidR="0071580C" w:rsidRDefault="0071580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val="en-GB" w:eastAsia="en-GB"/>
              </w:rPr>
            </w:pP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Pojačana Garancija za mlade obveza je država članica EU-a da osiguraju da sve osobe mlađe od 30 godina dobiju kvalite</w:t>
            </w:r>
            <w:r>
              <w:rPr>
                <w:noProof/>
              </w:rPr>
              <w:t>tnu ponudu za posao, nastavak obrazovanja, pripravništvo ili naukovanje. U okviru te obveze države članice trebale bi odgovoriti na potrebe mladih u ruralnim i udaljenim područjima. Posebna pozornost posvetit će se osiguravanju radnih mjesta i drugih prili</w:t>
            </w:r>
            <w:r>
              <w:rPr>
                <w:noProof/>
              </w:rPr>
              <w:t xml:space="preserve">ka. Komisija prati provedbu pojačanog programa Garancije za mlade, uključujući napredak u položaju mladih u ruralnim područjima. </w:t>
            </w:r>
          </w:p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U Komunikaciji Komisije o uspostavi europskog prostora obrazovanja do 2025. iznesena je vizija Komisije i predviđena je važna inicijativa za poticanje kvalitete i uključivosti nacionalnih sustava obrazovanja i osposobljavanja, što će utjecati na ruralna i </w:t>
            </w:r>
            <w:r>
              <w:rPr>
                <w:noProof/>
              </w:rPr>
              <w:t xml:space="preserve">udaljena područja. </w:t>
            </w:r>
          </w:p>
        </w:tc>
      </w:tr>
      <w:tr w:rsidR="0071580C">
        <w:trPr>
          <w:trHeight w:val="205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>Promicanje razvoja održivog biogospodarstva, među ostalim u okviru strategije EU-a za šume i inicijative za sekvestraciju ugljika u poljoprivredi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Komisija će predložiti novu strategiju EU-a za šume s nizom mjera, uključujući sadn</w:t>
            </w:r>
            <w:r>
              <w:rPr>
                <w:noProof/>
              </w:rPr>
              <w:t>ju tri milijarde stabala do 2030. Time će se omogućiti otvaranje radnih mjesta i rast zahvaljujući aktivnostima obnove šuma te pružiti potpora poljoprivrednicima i ruralnim zajednicama u prilagodbi klimatskim promjenama, zaštiti usjeva od učestalijih nepov</w:t>
            </w:r>
            <w:r>
              <w:rPr>
                <w:noProof/>
              </w:rPr>
              <w:t>oljnih klimatskih prilika (poplave, suše, toplinski valovi itd.) i diversifikaciji njihovih prihoda. Promicat će se i mreža ruralnih područja i općina bogatih šumama kako bi se osiguralo njihovo sudjelovanje i zastupljenost u ključnim inicijativama te kako</w:t>
            </w:r>
            <w:r>
              <w:rPr>
                <w:noProof/>
              </w:rPr>
              <w:t xml:space="preserve"> bi se omogućile posebne procjene realnosti potreba karakterističnih za šumska područja u cijelom EU-u.</w:t>
            </w:r>
          </w:p>
        </w:tc>
      </w:tr>
      <w:tr w:rsidR="0071580C">
        <w:trPr>
          <w:trHeight w:val="1195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bCs/>
                <w:noProof/>
                <w:szCs w:val="24"/>
              </w:rPr>
            </w:pPr>
            <w:r>
              <w:rPr>
                <w:noProof/>
              </w:rPr>
              <w:t>Isticanje uloge organizacija proizvođača u ruralnom razvoju i jačanje skupine proizvođača koji upotrebljavaju oznake zemljopisnog podrijetla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Organizacije proizvođača mogu ojačati socijalnu strukturu u ruralnim područjima tako što će svojim članovima dati osjećaj pripadnosti i povećati razinu društvenog kapitala i povjerenja u zajednicama u kojima se nalaze. Mogu pridonijeti povećanju životnog s</w:t>
            </w:r>
            <w:r>
              <w:rPr>
                <w:noProof/>
              </w:rPr>
              <w:t xml:space="preserve">tandarda u ruralnim područjima osiguravanjem radnih mjesta i izvora prihoda. Organizacije proizvođača ne zapošljavaju samo izravno, nego i neizravno pomažu proizvođačima da zarađuju za život od poljoprivrede. </w:t>
            </w:r>
          </w:p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Komisija će se osvrnuti na ulogu organizacija </w:t>
            </w:r>
            <w:r>
              <w:rPr>
                <w:noProof/>
              </w:rPr>
              <w:t>proizvođača i njihov doprinos ruralnom razvoju na budućim događanjima kako bi se njihov doprinos istaknuo i učinio vidljivim.</w:t>
            </w:r>
          </w:p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Komisija će isto tako poduprijeti skupine proizvođača koji upotrebljavaju oznake zemljopisnog </w:t>
            </w:r>
            <w:r>
              <w:rPr>
                <w:noProof/>
              </w:rPr>
              <w:lastRenderedPageBreak/>
              <w:t>podrijetla dodatnim alatima za daljn</w:t>
            </w:r>
            <w:r>
              <w:rPr>
                <w:noProof/>
              </w:rPr>
              <w:t>je jačanje njihova položaja u lancu opskrbe hranom kako bi i dalje ostvarivali pravedan povrat za svoje proizvode.</w:t>
            </w:r>
          </w:p>
        </w:tc>
      </w:tr>
      <w:tr w:rsidR="0071580C">
        <w:trPr>
          <w:trHeight w:val="465"/>
        </w:trPr>
        <w:tc>
          <w:tcPr>
            <w:tcW w:w="5000" w:type="pct"/>
            <w:gridSpan w:val="3"/>
            <w:shd w:val="clear" w:color="000000" w:fill="ED7D31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 w:val="32"/>
                <w:szCs w:val="24"/>
              </w:rPr>
            </w:pPr>
            <w:r>
              <w:rPr>
                <w:b/>
                <w:bCs/>
                <w:noProof/>
                <w:sz w:val="32"/>
                <w:szCs w:val="24"/>
              </w:rPr>
              <w:lastRenderedPageBreak/>
              <w:t>Provedba akcijskog plana za ruralna područja i upravljanje</w:t>
            </w:r>
          </w:p>
        </w:tc>
      </w:tr>
      <w:tr w:rsidR="0071580C">
        <w:trPr>
          <w:trHeight w:val="208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Procjena učinka na ruralna područja, posebno u slučaju važnijih zakonodavnih prijedloga Komisije koji utječu na ruralna područja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Mehanizam za procjenu učinka važnijih zakonodavnih akata i inicijativa na ruralna područja </w:t>
            </w:r>
          </w:p>
        </w:tc>
      </w:tr>
      <w:tr w:rsidR="0071580C">
        <w:trPr>
          <w:trHeight w:val="1410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Uspostava opservatorija za ruralna područja kako bi se objedinili svi podaci o ruralnim područjima koje je prikupila Komisija, uključujući službene statistike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Opservatorij će se osnovati u okviru istraživačke skupine Europske komisije posebno zaduže</w:t>
            </w:r>
            <w:r>
              <w:rPr>
                <w:noProof/>
              </w:rPr>
              <w:t>ne za poboljšanje i centralizaciju prikupljanja i analize podataka koji se odnose na ruralna područja, tako da bude komplementaran i u sinergiji s postojećim relevantnim inicijativama kao što su Centar znanja za teritorijalne politike i Centar znanja o mig</w:t>
            </w:r>
            <w:r>
              <w:rPr>
                <w:noProof/>
              </w:rPr>
              <w:t xml:space="preserve">racijama i demografiji te s praćenjem i prikupljanjem podataka u okviru raznih instrumenata iz Akcijskog plana za provedbu europskog stupa socijalnih prava. Opservatorij će podupirati i širenje podataka o ruralnim područjima. </w:t>
            </w:r>
          </w:p>
        </w:tc>
      </w:tr>
      <w:tr w:rsidR="0071580C">
        <w:trPr>
          <w:trHeight w:val="330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Povećanje dostupnosti statističkih podataka o ruralnim područjima: </w:t>
            </w:r>
            <w:r>
              <w:rPr>
                <w:noProof/>
              </w:rPr>
              <w:br/>
              <w:t xml:space="preserve">1. stavljanjem na raspolaganje novih detaljnih podataka koji su prikupljeni u okviru popisa stanovništva i stanova 2021. u EU-u i koji se dijele u okviru Statističkog atlasa </w:t>
            </w:r>
            <w:r>
              <w:rPr>
                <w:noProof/>
              </w:rPr>
              <w:lastRenderedPageBreak/>
              <w:t xml:space="preserve">popisâ 2021.; </w:t>
            </w:r>
          </w:p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2. daljnjim povećanjem dostupnosti i kvalitete službenih statističkih podataka o ruralnim područjima putem modernizacije pravnog okvira za demografsku statistiku;</w:t>
            </w:r>
          </w:p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3. razvojem paneuropskih geoprostornih skupova podataka;</w:t>
            </w:r>
          </w:p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4. promicanjem stupnja urbanizacije</w:t>
            </w:r>
            <w:r>
              <w:rPr>
                <w:noProof/>
              </w:rPr>
              <w:t xml:space="preserve"> kao temeljnog pitanja.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2021.</w:t>
            </w:r>
          </w:p>
        </w:tc>
        <w:tc>
          <w:tcPr>
            <w:tcW w:w="3544" w:type="pct"/>
          </w:tcPr>
          <w:p w:rsidR="0071580C" w:rsidRDefault="004A744C">
            <w:pPr>
              <w:spacing w:before="120"/>
              <w:ind w:left="170" w:right="113"/>
              <w:jc w:val="left"/>
              <w:rPr>
                <w:noProof/>
              </w:rPr>
            </w:pPr>
            <w:r>
              <w:rPr>
                <w:noProof/>
              </w:rPr>
              <w:t xml:space="preserve">Komisija će i dalje raditi na jačanju prikupljanja i pružanja statističkih podataka o ruralnim područjima.  </w:t>
            </w:r>
            <w:r>
              <w:rPr>
                <w:noProof/>
              </w:rPr>
              <w:br/>
              <w:t>1. Iako će se i dalje objavljivati demografski statistički podaci na razini NUTS3 u skladu s Uredbom (EZ) br. 1260/12</w:t>
            </w:r>
            <w:r>
              <w:rPr>
                <w:noProof/>
              </w:rPr>
              <w:t xml:space="preserve">30, popis stanovništva i stanova 2021. sadržavat će detaljnije regionalne informacije, uključujući nikad prije prikupljene georeferencirane podatke o stanovništvu na kvadratnoj mreži od 1 km iz svih država članica. </w:t>
            </w:r>
          </w:p>
          <w:p w:rsidR="0071580C" w:rsidRDefault="004A744C">
            <w:pPr>
              <w:spacing w:before="120"/>
              <w:ind w:left="170" w:right="113"/>
              <w:jc w:val="left"/>
              <w:rPr>
                <w:noProof/>
              </w:rPr>
            </w:pPr>
            <w:r>
              <w:rPr>
                <w:noProof/>
              </w:rPr>
              <w:t>2. Po završetku tekuće evaluacije i proc</w:t>
            </w:r>
            <w:r>
              <w:rPr>
                <w:noProof/>
              </w:rPr>
              <w:t xml:space="preserve">jene učinka europske statistike o stanovništvu Komisija će predložiti novu okvirnu uredbu kojom bi se integrirali popis stanovništva, demografija i migracijska statistika i proširili zahtjevi u pogledu podataka tako da obuhvaćaju njihove </w:t>
            </w:r>
            <w:r>
              <w:rPr>
                <w:noProof/>
              </w:rPr>
              <w:lastRenderedPageBreak/>
              <w:t>zemljopisne pojedi</w:t>
            </w:r>
            <w:r>
              <w:rPr>
                <w:noProof/>
              </w:rPr>
              <w:t>nosti kako bi se poboljšao rezultat statistike relevantne za ruralna područja.</w:t>
            </w:r>
          </w:p>
          <w:p w:rsidR="0071580C" w:rsidRDefault="004A744C">
            <w:pPr>
              <w:spacing w:before="120"/>
              <w:ind w:left="170" w:right="113"/>
              <w:jc w:val="left"/>
              <w:rPr>
                <w:noProof/>
              </w:rPr>
            </w:pPr>
            <w:r>
              <w:rPr>
                <w:noProof/>
              </w:rPr>
              <w:t>3. Europska komisija uspostavit će usklađeni pristup upotrebi geoprostornih informacijskih sustava, u okviru kojeg će razviti skupove paneuropskih geoprostornih podataka (na pri</w:t>
            </w:r>
            <w:r>
              <w:rPr>
                <w:noProof/>
              </w:rPr>
              <w:t>mjer o javnom prijevozu, obrazovanju, zdravstvenoj skrbi itd.) i omogućiti izradu georeferenciranih statistika i povezanih pokazatelja (kao što je pristupačnost škola, bolnica itd.).</w:t>
            </w:r>
          </w:p>
        </w:tc>
      </w:tr>
      <w:tr w:rsidR="0071580C">
        <w:trPr>
          <w:trHeight w:val="1410"/>
        </w:trPr>
        <w:tc>
          <w:tcPr>
            <w:tcW w:w="1051" w:type="pct"/>
            <w:shd w:val="clear" w:color="000000" w:fill="9BC2E6"/>
            <w:vAlign w:val="center"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Rad na definiciji funkcionalnih ruralnih područja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 xml:space="preserve">Europska komisija i dalje će s dionicima voditi rasprave kako bi definirala funkcionalna ruralna područja. </w:t>
            </w:r>
          </w:p>
        </w:tc>
      </w:tr>
      <w:tr w:rsidR="0071580C">
        <w:trPr>
          <w:trHeight w:val="1410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 xml:space="preserve">Predlaganje pakta za ruralna područja nacionalnim, regionalnim i lokalnim tijelima u kojem će se obvezati na ispunjavanje posebnih potreba ruralnih područja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2021.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Nacionalnim, regionalnim i lokalnim tijelima i dionicima predlaže se pakt za ruralna područj</w:t>
            </w:r>
            <w:r>
              <w:rPr>
                <w:noProof/>
              </w:rPr>
              <w:t>a. Tim će se paktom nastojati ispuniti neispunjene potrebe ruralnih područja, s posebnim naglaskom na udaljenim i rijetko naseljenim područjima koja se često suočavaju s najviše problema.</w:t>
            </w:r>
          </w:p>
        </w:tc>
      </w:tr>
      <w:tr w:rsidR="0071580C">
        <w:trPr>
          <w:trHeight w:val="2685"/>
        </w:trPr>
        <w:tc>
          <w:tcPr>
            <w:tcW w:w="1051" w:type="pct"/>
            <w:shd w:val="clear" w:color="000000" w:fill="9BC2E6"/>
            <w:vAlign w:val="center"/>
            <w:hideMark/>
          </w:tcPr>
          <w:p w:rsidR="0071580C" w:rsidRDefault="004A744C">
            <w:pPr>
              <w:spacing w:before="120" w:after="120" w:line="240" w:lineRule="auto"/>
              <w:jc w:val="left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Objava priručnika o kombiniranju fondova EU-a za revitalizaciju </w:t>
            </w:r>
            <w:r>
              <w:rPr>
                <w:noProof/>
              </w:rPr>
              <w:t>ruralnih područja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1580C" w:rsidRDefault="004A744C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</w:rPr>
            </w:pPr>
            <w:r>
              <w:rPr>
                <w:noProof/>
              </w:rPr>
              <w:t>2022.</w:t>
            </w:r>
          </w:p>
        </w:tc>
        <w:tc>
          <w:tcPr>
            <w:tcW w:w="3544" w:type="pct"/>
            <w:vAlign w:val="center"/>
          </w:tcPr>
          <w:p w:rsidR="0071580C" w:rsidRDefault="004A744C">
            <w:pPr>
              <w:spacing w:before="120"/>
              <w:ind w:left="170" w:right="113"/>
              <w:rPr>
                <w:noProof/>
              </w:rPr>
            </w:pPr>
            <w:r>
              <w:rPr>
                <w:noProof/>
              </w:rPr>
              <w:t>Vodič u kojem se navode operativna i praktična rješenja za ruralne dionike kako bi se u potpunosti iskoristile mogućnosti koje se nude u okviru fondova EU-a nakon 2020. Sadržavat će i praktične primjere inovativnih ulaganja kojima s</w:t>
            </w:r>
            <w:r>
              <w:rPr>
                <w:noProof/>
              </w:rPr>
              <w:t>e kombiniraju izvori financiranja i dobiva veća vrijednost za potporu. Predviđene su poveznice s metodološkom potporom integriranim teritorijalnim strategijama u okviru kohezijske politike.</w:t>
            </w:r>
          </w:p>
        </w:tc>
      </w:tr>
    </w:tbl>
    <w:p w:rsidR="0071580C" w:rsidRDefault="0071580C">
      <w:pPr>
        <w:rPr>
          <w:noProof/>
        </w:rPr>
      </w:pPr>
    </w:p>
    <w:sectPr w:rsidR="007158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0C" w:rsidRDefault="004A744C">
      <w:pPr>
        <w:spacing w:after="0" w:line="240" w:lineRule="auto"/>
      </w:pPr>
      <w:r>
        <w:separator/>
      </w:r>
    </w:p>
  </w:endnote>
  <w:endnote w:type="continuationSeparator" w:id="0">
    <w:p w:rsidR="0071580C" w:rsidRDefault="004A744C">
      <w:pPr>
        <w:spacing w:after="0" w:line="240" w:lineRule="auto"/>
      </w:pPr>
      <w:r>
        <w:continuationSeparator/>
      </w:r>
    </w:p>
  </w:endnote>
  <w:endnote w:type="continuationNotice" w:id="1">
    <w:p w:rsidR="0071580C" w:rsidRDefault="007158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4A744C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HR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721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0C" w:rsidRDefault="004A744C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1580C" w:rsidRDefault="0071580C">
    <w:pPr>
      <w:pStyle w:val="Podnoj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0C" w:rsidRDefault="004A744C">
      <w:pPr>
        <w:spacing w:after="0" w:line="240" w:lineRule="auto"/>
      </w:pPr>
      <w:r>
        <w:separator/>
      </w:r>
    </w:p>
  </w:footnote>
  <w:footnote w:type="continuationSeparator" w:id="0">
    <w:p w:rsidR="0071580C" w:rsidRDefault="004A744C">
      <w:pPr>
        <w:spacing w:after="0" w:line="240" w:lineRule="auto"/>
      </w:pPr>
      <w:r>
        <w:continuationSeparator/>
      </w:r>
    </w:p>
  </w:footnote>
  <w:footnote w:type="continuationNotice" w:id="1">
    <w:p w:rsidR="0071580C" w:rsidRDefault="007158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Zaglavlj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C" w:rsidRDefault="0071580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5C28"/>
    <w:multiLevelType w:val="hybridMultilevel"/>
    <w:tmpl w:val="F23814EE"/>
    <w:lvl w:ilvl="0" w:tplc="C89C9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51A6"/>
    <w:multiLevelType w:val="hybridMultilevel"/>
    <w:tmpl w:val="08DE6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E3228D"/>
    <w:multiLevelType w:val="hybridMultilevel"/>
    <w:tmpl w:val="5D6A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9393D"/>
    <w:multiLevelType w:val="hybridMultilevel"/>
    <w:tmpl w:val="BC20B964"/>
    <w:lvl w:ilvl="0" w:tplc="4CCECB3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26379"/>
    <w:multiLevelType w:val="hybridMultilevel"/>
    <w:tmpl w:val="ABA8E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F3254"/>
    <w:multiLevelType w:val="hybridMultilevel"/>
    <w:tmpl w:val="1E94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ED2C6D6-ED4E-47FF-8968-E9B8F1E45F98"/>
    <w:docVar w:name="LW_COVERPAGE_TYPE" w:val="1"/>
    <w:docVar w:name="LW_CROSSREFERENCE" w:val="{SWD(2021) 166 final} - {SWD(2021) 167 final}"/>
    <w:docVar w:name="LW_DocType" w:val="NORMAL"/>
    <w:docVar w:name="LW_EMISSION" w:val="30.6.2021."/>
    <w:docVar w:name="LW_EMISSION_ISODATE" w:val="2021-06-30"/>
    <w:docVar w:name="LW_EMISSION_LOCATION" w:val="BRX"/>
    <w:docVar w:name="LW_EMISSION_PREFIX" w:val="Bruxelles, "/>
    <w:docVar w:name="LW_EMISSION_SUFFIX" w:val="&lt;EMPTY&gt;"/>
    <w:docVar w:name="LW_ID_DOCTYPE_NONLW" w:val="CP-039"/>
    <w:docVar w:name="LW_LANGUE" w:val="HR"/>
    <w:docVar w:name="LW_LEVEL_OF_SENSITIVITY" w:val="Standard treatment"/>
    <w:docVar w:name="LW_NOM.INST" w:val="EUROPSKA KOMISIJA"/>
    <w:docVar w:name="LW_NOM.INST_JOINTDOC" w:val="&lt;EMPTY&gt;"/>
    <w:docVar w:name="LW_OBJETACTEPRINCIPAL.CP" w:val="Dugoro\u269?na vizija za ruralna podru\u269?ja EU-a \u8211? Do 2040. ostvariti ja\u269?a, povezana, otporna i prosperitetna ruralna podru\u269?ja"/>
    <w:docVar w:name="LW_PART_NBR" w:val="1"/>
    <w:docVar w:name="LW_PART_NBR_TOTAL" w:val="1"/>
    <w:docVar w:name="LW_REF.INST.NEW" w:val="COM"/>
    <w:docVar w:name="LW_REF.INST.NEW_ADOPTED" w:val="final"/>
    <w:docVar w:name="LW_REF.INST.NEW_TEXT" w:val="(2021) 3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ILOG_x000b_"/>
    <w:docVar w:name="LW_TYPEACTEPRINCIPAL.CP" w:val="Komunikaciji Komisije Europskom parlamentu, Vije\u263?u, Europskom gospodarskom i socijalnom odboru i Odboru regija"/>
    <w:docVar w:name="LwApiVersions" w:val="LW4CoDe 1.23.0.0; LW 8.0, Build 20210114"/>
  </w:docVars>
  <w:rsids>
    <w:rsidRoot w:val="0071580C"/>
    <w:rsid w:val="004A744C"/>
    <w:rsid w:val="007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pPr>
      <w:keepNext/>
      <w:keepLines/>
      <w:spacing w:before="40" w:after="2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autoRedefine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color w:val="2E74B5" w:themeColor="accent1" w:themeShade="BF"/>
      <w:sz w:val="26"/>
      <w:szCs w:val="26"/>
      <w:lang w:val="hr-HR"/>
    </w:rPr>
  </w:style>
  <w:style w:type="paragraph" w:customStyle="1" w:styleId="Text3">
    <w:name w:val="Text 3"/>
    <w:basedOn w:val="Normal"/>
    <w:uiPriority w:val="90"/>
    <w:qFormat/>
    <w:pPr>
      <w:spacing w:after="240" w:line="240" w:lineRule="auto"/>
      <w:ind w:left="1916"/>
    </w:pPr>
    <w:rPr>
      <w:rFonts w:eastAsia="Times New Roman" w:cs="Times New Roman"/>
      <w:szCs w:val="20"/>
      <w:lang w:eastAsia="en-GB"/>
    </w:rPr>
  </w:style>
  <w:style w:type="paragraph" w:styleId="Odlomakpopisa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,L,lp1"/>
    <w:basedOn w:val="Normal"/>
    <w:link w:val="OdlomakpopisaChar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lomakpopisaChar">
    <w:name w:val="Odlomak popisa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Zadanifontodlomka"/>
    <w:link w:val="Odlomakpopisa"/>
    <w:uiPriority w:val="34"/>
    <w:qFormat/>
    <w:locked/>
    <w:rPr>
      <w:rFonts w:ascii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Times New Roman" w:hAnsi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hAnsi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  <w:lang w:val="hr-HR"/>
    </w:rPr>
  </w:style>
  <w:style w:type="character" w:customStyle="1" w:styleId="Marker">
    <w:name w:val="Marker"/>
    <w:basedOn w:val="Zadanifontodlomk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</w:pPr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/>
      <w:lang w:val="hr-H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</w:style>
  <w:style w:type="character" w:customStyle="1" w:styleId="FooterCoverPageChar">
    <w:name w:val="Footer Cover Page Char"/>
    <w:basedOn w:val="Zadanifontodlomka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Zadanifontodlomka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</w:pPr>
  </w:style>
  <w:style w:type="character" w:customStyle="1" w:styleId="HeaderCoverPageChar">
    <w:name w:val="Header Cover Page Char"/>
    <w:basedOn w:val="Zadanifontodlomka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Zadanifontodlomka"/>
    <w:link w:val="HeaderSensitivity"/>
    <w:rPr>
      <w:rFonts w:ascii="Times New Roman" w:hAnsi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sz w:val="28"/>
    </w:rPr>
  </w:style>
  <w:style w:type="character" w:customStyle="1" w:styleId="HeaderSensitivityRightChar">
    <w:name w:val="Header Sensitivity Right Char"/>
    <w:basedOn w:val="Zadanifontodlomka"/>
    <w:link w:val="HeaderSensitivityRight"/>
    <w:rPr>
      <w:rFonts w:ascii="Times New Roman" w:hAnsi="Times New Roman"/>
      <w:sz w:val="28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hAnsi="Times New Roman"/>
    </w:rPr>
  </w:style>
  <w:style w:type="paragraph" w:styleId="StandardWeb">
    <w:name w:val="Normal (Web)"/>
    <w:basedOn w:val="Normal"/>
    <w:uiPriority w:val="99"/>
    <w:unhideWhenUsed/>
    <w:pPr>
      <w:spacing w:after="0" w:line="240" w:lineRule="auto"/>
    </w:pPr>
    <w:rPr>
      <w:rFonts w:cs="Times New Roman"/>
      <w:szCs w:val="24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cs="Times New Roman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pPr>
      <w:keepNext/>
      <w:keepLines/>
      <w:spacing w:before="40" w:after="2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autoRedefine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color w:val="2E74B5" w:themeColor="accent1" w:themeShade="BF"/>
      <w:sz w:val="26"/>
      <w:szCs w:val="26"/>
      <w:lang w:val="hr-HR"/>
    </w:rPr>
  </w:style>
  <w:style w:type="paragraph" w:customStyle="1" w:styleId="Text3">
    <w:name w:val="Text 3"/>
    <w:basedOn w:val="Normal"/>
    <w:uiPriority w:val="90"/>
    <w:qFormat/>
    <w:pPr>
      <w:spacing w:after="240" w:line="240" w:lineRule="auto"/>
      <w:ind w:left="1916"/>
    </w:pPr>
    <w:rPr>
      <w:rFonts w:eastAsia="Times New Roman" w:cs="Times New Roman"/>
      <w:szCs w:val="20"/>
      <w:lang w:eastAsia="en-GB"/>
    </w:rPr>
  </w:style>
  <w:style w:type="paragraph" w:styleId="Odlomakpopisa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,L,lp1"/>
    <w:basedOn w:val="Normal"/>
    <w:link w:val="OdlomakpopisaChar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OdlomakpopisaChar">
    <w:name w:val="Odlomak popisa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Zadanifontodlomka"/>
    <w:link w:val="Odlomakpopisa"/>
    <w:uiPriority w:val="34"/>
    <w:qFormat/>
    <w:locked/>
    <w:rPr>
      <w:rFonts w:ascii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Times New Roman" w:hAnsi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hAnsi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  <w:lang w:val="hr-HR"/>
    </w:rPr>
  </w:style>
  <w:style w:type="character" w:customStyle="1" w:styleId="Marker">
    <w:name w:val="Marker"/>
    <w:basedOn w:val="Zadanifontodlomk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</w:pPr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/>
      <w:lang w:val="hr-H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jc w:val="left"/>
    </w:pPr>
  </w:style>
  <w:style w:type="character" w:customStyle="1" w:styleId="FooterCoverPageChar">
    <w:name w:val="Footer Cover Page Char"/>
    <w:basedOn w:val="Zadanifontodlomka"/>
    <w:link w:val="FooterCoverPage"/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Zadanifontodlomka"/>
    <w:link w:val="FooterSensitivity"/>
    <w:rPr>
      <w:rFonts w:ascii="Times New Roman" w:hAnsi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</w:pPr>
  </w:style>
  <w:style w:type="character" w:customStyle="1" w:styleId="HeaderCoverPageChar">
    <w:name w:val="Header Cover Page Char"/>
    <w:basedOn w:val="Zadanifontodlomka"/>
    <w:link w:val="HeaderCoverPage"/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Zadanifontodlomka"/>
    <w:link w:val="HeaderSensitivity"/>
    <w:rPr>
      <w:rFonts w:ascii="Times New Roman" w:hAnsi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sz w:val="28"/>
    </w:rPr>
  </w:style>
  <w:style w:type="character" w:customStyle="1" w:styleId="HeaderSensitivityRightChar">
    <w:name w:val="Header Sensitivity Right Char"/>
    <w:basedOn w:val="Zadanifontodlomka"/>
    <w:link w:val="HeaderSensitivityRight"/>
    <w:rPr>
      <w:rFonts w:ascii="Times New Roman" w:hAnsi="Times New Roman"/>
      <w:sz w:val="28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hAnsi="Times New Roman"/>
    </w:rPr>
  </w:style>
  <w:style w:type="paragraph" w:styleId="StandardWeb">
    <w:name w:val="Normal (Web)"/>
    <w:basedOn w:val="Normal"/>
    <w:uiPriority w:val="99"/>
    <w:unhideWhenUsed/>
    <w:pPr>
      <w:spacing w:after="0" w:line="240" w:lineRule="auto"/>
    </w:pPr>
    <w:rPr>
      <w:rFonts w:cs="Times New Roman"/>
      <w:szCs w:val="24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</w:pPr>
    <w:rPr>
      <w:rFonts w:cs="Times New Roman"/>
    </w:rPr>
  </w:style>
  <w:style w:type="paragraph" w:customStyle="1" w:styleId="SecurityMarking">
    <w:name w:val="SecurityMarking"/>
    <w:basedOn w:val="Normal"/>
    <w:pPr>
      <w:spacing w:after="0" w:line="276" w:lineRule="auto"/>
      <w:ind w:left="5103"/>
      <w:jc w:val="left"/>
    </w:pPr>
    <w:rPr>
      <w:rFonts w:cs="Times New Roman"/>
      <w:sz w:val="28"/>
    </w:rPr>
  </w:style>
  <w:style w:type="paragraph" w:customStyle="1" w:styleId="DateMarking">
    <w:name w:val="DateMarking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  <w:style w:type="paragraph" w:customStyle="1" w:styleId="ReleasableTo">
    <w:name w:val="ReleasableTo"/>
    <w:basedOn w:val="Normal"/>
    <w:pPr>
      <w:spacing w:after="0" w:line="276" w:lineRule="auto"/>
      <w:ind w:left="5103"/>
      <w:jc w:val="left"/>
    </w:pPr>
    <w:rPr>
      <w:rFonts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6CA5-42A5-465E-8049-49B26CC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3325</Words>
  <Characters>18958</Characters>
  <Application>Microsoft Office Word</Application>
  <DocSecurity>4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2021-11-04T15:37:00Z</dcterms:created>
  <dcterms:modified xsi:type="dcterms:W3CDTF">2021-11-04T15:37:00Z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7.0.1, Build 20200226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0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CPTemplateID">
    <vt:lpwstr>CP-039</vt:lpwstr>
  </property>
</Properties>
</file>