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821" w:rsidRPr="003E7929" w:rsidRDefault="00695821" w:rsidP="00695821">
      <w:pPr>
        <w:jc w:val="center"/>
        <w:rPr>
          <w:rFonts w:ascii="Times New Roman" w:hAnsi="Times New Roman" w:cs="Times New Roman"/>
          <w:b/>
          <w:sz w:val="24"/>
          <w:szCs w:val="24"/>
          <w:lang w:val="hr-HR"/>
        </w:rPr>
      </w:pPr>
      <w:r w:rsidRPr="003E7929">
        <w:rPr>
          <w:rFonts w:ascii="Times New Roman" w:hAnsi="Times New Roman" w:cs="Times New Roman"/>
          <w:b/>
          <w:sz w:val="24"/>
          <w:szCs w:val="24"/>
          <w:lang w:val="hr-HR"/>
        </w:rPr>
        <w:t>VLADA REPUBLIKE HRVATSKE</w:t>
      </w: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Default="00695821" w:rsidP="00695821">
      <w:pPr>
        <w:rPr>
          <w:lang w:val="hr-HR"/>
        </w:rPr>
      </w:pPr>
    </w:p>
    <w:p w:rsidR="003E7929" w:rsidRDefault="003E7929" w:rsidP="00695821">
      <w:pPr>
        <w:rPr>
          <w:lang w:val="hr-HR"/>
        </w:rPr>
      </w:pPr>
    </w:p>
    <w:p w:rsidR="003E7929" w:rsidRDefault="003E7929" w:rsidP="00695821">
      <w:pPr>
        <w:rPr>
          <w:lang w:val="hr-HR"/>
        </w:rPr>
      </w:pPr>
    </w:p>
    <w:p w:rsidR="003E7929" w:rsidRDefault="003E7929" w:rsidP="00695821">
      <w:pPr>
        <w:rPr>
          <w:lang w:val="hr-HR"/>
        </w:rPr>
      </w:pPr>
    </w:p>
    <w:p w:rsidR="003E7929" w:rsidRPr="00F70B2A" w:rsidRDefault="003E7929" w:rsidP="00695821">
      <w:pPr>
        <w:rPr>
          <w:lang w:val="hr-HR"/>
        </w:rPr>
      </w:pPr>
    </w:p>
    <w:p w:rsidR="00695821" w:rsidRPr="00F70B2A" w:rsidRDefault="00695821" w:rsidP="00695821">
      <w:pPr>
        <w:rPr>
          <w:lang w:val="hr-HR"/>
        </w:rPr>
      </w:pPr>
    </w:p>
    <w:p w:rsidR="00695821" w:rsidRPr="003E7929" w:rsidRDefault="00695821" w:rsidP="00695821">
      <w:pPr>
        <w:rPr>
          <w:rFonts w:ascii="Times New Roman" w:hAnsi="Times New Roman" w:cs="Times New Roman"/>
          <w:b/>
          <w:sz w:val="24"/>
          <w:szCs w:val="24"/>
          <w:lang w:val="hr-HR"/>
        </w:rPr>
      </w:pPr>
    </w:p>
    <w:p w:rsidR="00695821" w:rsidRDefault="00695821" w:rsidP="003E7929">
      <w:pPr>
        <w:pStyle w:val="Title"/>
        <w:pBdr>
          <w:bottom w:val="single" w:sz="8" w:space="8" w:color="4F81BD" w:themeColor="accent1"/>
        </w:pBdr>
        <w:jc w:val="center"/>
        <w:rPr>
          <w:rFonts w:ascii="Times New Roman" w:hAnsi="Times New Roman" w:cs="Times New Roman"/>
          <w:b/>
          <w:sz w:val="24"/>
          <w:szCs w:val="24"/>
          <w:lang w:val="hr-HR"/>
        </w:rPr>
      </w:pPr>
      <w:r w:rsidRPr="003E7929">
        <w:rPr>
          <w:rFonts w:ascii="Times New Roman" w:hAnsi="Times New Roman" w:cs="Times New Roman"/>
          <w:b/>
          <w:sz w:val="24"/>
          <w:szCs w:val="24"/>
          <w:lang w:val="hr-HR"/>
        </w:rPr>
        <w:t>OBRAZLOŽENJE DRŽAVNOG PRORAČUNA I FINANCIJSKIH PLANOVA IZ</w:t>
      </w:r>
      <w:r w:rsidR="00155FA2" w:rsidRPr="003E7929">
        <w:rPr>
          <w:rFonts w:ascii="Times New Roman" w:hAnsi="Times New Roman" w:cs="Times New Roman"/>
          <w:b/>
          <w:sz w:val="24"/>
          <w:szCs w:val="24"/>
          <w:lang w:val="hr-HR"/>
        </w:rPr>
        <w:t>VANPRORAČUNSKIH KORISNIKA ZA 2020</w:t>
      </w:r>
      <w:r w:rsidRPr="003E7929">
        <w:rPr>
          <w:rFonts w:ascii="Times New Roman" w:hAnsi="Times New Roman" w:cs="Times New Roman"/>
          <w:b/>
          <w:sz w:val="24"/>
          <w:szCs w:val="24"/>
          <w:lang w:val="hr-HR"/>
        </w:rPr>
        <w:t>. I</w:t>
      </w:r>
      <w:r w:rsidR="00BD3F20" w:rsidRPr="003E7929">
        <w:rPr>
          <w:rFonts w:ascii="Times New Roman" w:hAnsi="Times New Roman" w:cs="Times New Roman"/>
          <w:b/>
          <w:sz w:val="24"/>
          <w:szCs w:val="24"/>
          <w:lang w:val="hr-HR"/>
        </w:rPr>
        <w:t xml:space="preserve"> </w:t>
      </w:r>
      <w:r w:rsidR="00582827" w:rsidRPr="003E7929">
        <w:rPr>
          <w:rFonts w:ascii="Times New Roman" w:hAnsi="Times New Roman" w:cs="Times New Roman"/>
          <w:b/>
          <w:sz w:val="24"/>
          <w:szCs w:val="24"/>
          <w:lang w:val="hr-HR"/>
        </w:rPr>
        <w:t>PROJEKCIJE ZA 20</w:t>
      </w:r>
      <w:r w:rsidR="00BE094B" w:rsidRPr="003E7929">
        <w:rPr>
          <w:rFonts w:ascii="Times New Roman" w:hAnsi="Times New Roman" w:cs="Times New Roman"/>
          <w:b/>
          <w:sz w:val="24"/>
          <w:szCs w:val="24"/>
          <w:lang w:val="hr-HR"/>
        </w:rPr>
        <w:t>2</w:t>
      </w:r>
      <w:r w:rsidR="00155FA2" w:rsidRPr="003E7929">
        <w:rPr>
          <w:rFonts w:ascii="Times New Roman" w:hAnsi="Times New Roman" w:cs="Times New Roman"/>
          <w:b/>
          <w:sz w:val="24"/>
          <w:szCs w:val="24"/>
          <w:lang w:val="hr-HR"/>
        </w:rPr>
        <w:t>1</w:t>
      </w:r>
      <w:r w:rsidR="00BE094B" w:rsidRPr="003E7929">
        <w:rPr>
          <w:rFonts w:ascii="Times New Roman" w:hAnsi="Times New Roman" w:cs="Times New Roman"/>
          <w:b/>
          <w:sz w:val="24"/>
          <w:szCs w:val="24"/>
          <w:lang w:val="hr-HR"/>
        </w:rPr>
        <w:t>. I 202</w:t>
      </w:r>
      <w:r w:rsidR="00155FA2" w:rsidRPr="003E7929">
        <w:rPr>
          <w:rFonts w:ascii="Times New Roman" w:hAnsi="Times New Roman" w:cs="Times New Roman"/>
          <w:b/>
          <w:sz w:val="24"/>
          <w:szCs w:val="24"/>
          <w:lang w:val="hr-HR"/>
        </w:rPr>
        <w:t>2</w:t>
      </w:r>
      <w:r w:rsidRPr="003E7929">
        <w:rPr>
          <w:rFonts w:ascii="Times New Roman" w:hAnsi="Times New Roman" w:cs="Times New Roman"/>
          <w:b/>
          <w:sz w:val="24"/>
          <w:szCs w:val="24"/>
          <w:lang w:val="hr-HR"/>
        </w:rPr>
        <w:t>. GODINU</w:t>
      </w:r>
    </w:p>
    <w:p w:rsidR="003E7929" w:rsidRPr="003E7929" w:rsidRDefault="003E7929" w:rsidP="003E7929">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Default="00695821" w:rsidP="00695821">
      <w:pPr>
        <w:rPr>
          <w:lang w:val="hr-HR"/>
        </w:rPr>
      </w:pPr>
    </w:p>
    <w:p w:rsidR="003E7929" w:rsidRDefault="003E7929" w:rsidP="00695821">
      <w:pPr>
        <w:rPr>
          <w:lang w:val="hr-HR"/>
        </w:rPr>
      </w:pPr>
    </w:p>
    <w:p w:rsidR="00695821" w:rsidRPr="003E7929" w:rsidRDefault="00695821" w:rsidP="00695821">
      <w:pPr>
        <w:rPr>
          <w:rFonts w:ascii="Times New Roman" w:hAnsi="Times New Roman" w:cs="Times New Roman"/>
          <w:b/>
          <w:sz w:val="24"/>
          <w:szCs w:val="24"/>
          <w:lang w:val="hr-HR"/>
        </w:rPr>
      </w:pPr>
      <w:bookmarkStart w:id="0" w:name="_GoBack"/>
      <w:bookmarkEnd w:id="0"/>
    </w:p>
    <w:p w:rsidR="00695821" w:rsidRPr="003E7929" w:rsidRDefault="00695821" w:rsidP="00695821">
      <w:pPr>
        <w:jc w:val="center"/>
        <w:rPr>
          <w:rFonts w:ascii="Times New Roman" w:hAnsi="Times New Roman" w:cs="Times New Roman"/>
          <w:b/>
          <w:sz w:val="24"/>
          <w:szCs w:val="24"/>
          <w:lang w:val="hr-HR"/>
        </w:rPr>
        <w:sectPr w:rsidR="00695821" w:rsidRPr="003E7929" w:rsidSect="00927736">
          <w:footerReference w:type="default" r:id="rId8"/>
          <w:pgSz w:w="11906" w:h="16838"/>
          <w:pgMar w:top="1417" w:right="1417" w:bottom="1417" w:left="1417" w:header="708" w:footer="708" w:gutter="0"/>
          <w:cols w:space="708"/>
          <w:titlePg/>
          <w:docGrid w:linePitch="360"/>
        </w:sectPr>
      </w:pPr>
      <w:r w:rsidRPr="003E7929">
        <w:rPr>
          <w:rFonts w:ascii="Times New Roman" w:hAnsi="Times New Roman" w:cs="Times New Roman"/>
          <w:b/>
          <w:sz w:val="24"/>
          <w:szCs w:val="24"/>
          <w:lang w:val="hr-HR"/>
        </w:rPr>
        <w:t xml:space="preserve">Zagreb, </w:t>
      </w:r>
      <w:r w:rsidR="00155FA2" w:rsidRPr="003E7929">
        <w:rPr>
          <w:rFonts w:ascii="Times New Roman" w:hAnsi="Times New Roman" w:cs="Times New Roman"/>
          <w:b/>
          <w:sz w:val="24"/>
          <w:szCs w:val="24"/>
          <w:lang w:val="hr-HR"/>
        </w:rPr>
        <w:t>listopad</w:t>
      </w:r>
      <w:r w:rsidRPr="003E7929">
        <w:rPr>
          <w:rFonts w:ascii="Times New Roman" w:hAnsi="Times New Roman" w:cs="Times New Roman"/>
          <w:b/>
          <w:sz w:val="24"/>
          <w:szCs w:val="24"/>
          <w:lang w:val="hr-HR"/>
        </w:rPr>
        <w:t xml:space="preserve"> 201</w:t>
      </w:r>
      <w:r w:rsidR="00155FA2" w:rsidRPr="003E7929">
        <w:rPr>
          <w:rFonts w:ascii="Times New Roman" w:hAnsi="Times New Roman" w:cs="Times New Roman"/>
          <w:b/>
          <w:sz w:val="24"/>
          <w:szCs w:val="24"/>
          <w:lang w:val="hr-HR"/>
        </w:rPr>
        <w:t>9</w:t>
      </w:r>
      <w:r w:rsidRPr="003E7929">
        <w:rPr>
          <w:rFonts w:ascii="Times New Roman" w:hAnsi="Times New Roman" w:cs="Times New Roman"/>
          <w:b/>
          <w:sz w:val="24"/>
          <w:szCs w:val="24"/>
          <w:lang w:val="hr-HR"/>
        </w:rPr>
        <w:t>.</w:t>
      </w:r>
    </w:p>
    <w:p w:rsidR="00695821" w:rsidRPr="00F70B2A" w:rsidRDefault="00695821" w:rsidP="00695821">
      <w:pPr>
        <w:rPr>
          <w:rFonts w:asciiTheme="majorHAnsi" w:hAnsiTheme="majorHAnsi"/>
          <w:b/>
          <w:color w:val="365F91" w:themeColor="accent1" w:themeShade="BF"/>
          <w:sz w:val="28"/>
          <w:lang w:val="hr-HR"/>
        </w:rPr>
      </w:pPr>
      <w:r w:rsidRPr="00F70B2A">
        <w:rPr>
          <w:rFonts w:asciiTheme="majorHAnsi" w:hAnsiTheme="majorHAnsi"/>
          <w:b/>
          <w:color w:val="365F91" w:themeColor="accent1" w:themeShade="BF"/>
          <w:sz w:val="28"/>
          <w:lang w:val="hr-HR"/>
        </w:rPr>
        <w:lastRenderedPageBreak/>
        <w:t>SADRŽAJ</w:t>
      </w:r>
    </w:p>
    <w:sdt>
      <w:sdtPr>
        <w:rPr>
          <w:rFonts w:asciiTheme="minorHAnsi" w:eastAsiaTheme="minorHAnsi" w:hAnsiTheme="minorHAnsi" w:cstheme="minorBidi"/>
          <w:b w:val="0"/>
          <w:bCs w:val="0"/>
          <w:color w:val="auto"/>
          <w:sz w:val="22"/>
          <w:szCs w:val="22"/>
          <w:lang w:val="hr-HR" w:eastAsia="en-US"/>
        </w:rPr>
        <w:id w:val="-814332695"/>
        <w:docPartObj>
          <w:docPartGallery w:val="Table of Contents"/>
          <w:docPartUnique/>
        </w:docPartObj>
      </w:sdtPr>
      <w:sdtEndPr/>
      <w:sdtContent>
        <w:p w:rsidR="00C93283" w:rsidRPr="00F70B2A" w:rsidRDefault="00C93283">
          <w:pPr>
            <w:pStyle w:val="TOCHeading"/>
            <w:rPr>
              <w:lang w:val="hr-HR"/>
            </w:rPr>
          </w:pPr>
        </w:p>
        <w:p w:rsidR="006A5CEF" w:rsidRDefault="00C93283">
          <w:pPr>
            <w:pStyle w:val="TOC1"/>
            <w:tabs>
              <w:tab w:val="left" w:pos="440"/>
              <w:tab w:val="right" w:leader="dot" w:pos="9062"/>
            </w:tabs>
            <w:rPr>
              <w:rFonts w:eastAsiaTheme="minorEastAsia"/>
              <w:noProof/>
              <w:lang w:val="hr-HR" w:eastAsia="hr-HR"/>
            </w:rPr>
          </w:pPr>
          <w:r w:rsidRPr="00F70B2A">
            <w:rPr>
              <w:lang w:val="hr-HR"/>
            </w:rPr>
            <w:fldChar w:fldCharType="begin"/>
          </w:r>
          <w:r w:rsidRPr="00F70B2A">
            <w:rPr>
              <w:lang w:val="hr-HR"/>
            </w:rPr>
            <w:instrText xml:space="preserve"> TOC \o "1-3" \h \z \u </w:instrText>
          </w:r>
          <w:r w:rsidRPr="00F70B2A">
            <w:rPr>
              <w:lang w:val="hr-HR"/>
            </w:rPr>
            <w:fldChar w:fldCharType="separate"/>
          </w:r>
          <w:hyperlink w:anchor="_Toc23376935" w:history="1">
            <w:r w:rsidR="006A5CEF" w:rsidRPr="00C22D7A">
              <w:rPr>
                <w:rStyle w:val="Hyperlink"/>
                <w:noProof/>
                <w:lang w:val="hr-HR"/>
              </w:rPr>
              <w:t>1.</w:t>
            </w:r>
            <w:r w:rsidR="006A5CEF">
              <w:rPr>
                <w:rFonts w:eastAsiaTheme="minorEastAsia"/>
                <w:noProof/>
                <w:lang w:val="hr-HR" w:eastAsia="hr-HR"/>
              </w:rPr>
              <w:tab/>
            </w:r>
            <w:r w:rsidR="006A5CEF" w:rsidRPr="00C22D7A">
              <w:rPr>
                <w:rStyle w:val="Hyperlink"/>
                <w:noProof/>
                <w:lang w:val="hr-HR"/>
              </w:rPr>
              <w:t>UVOD</w:t>
            </w:r>
            <w:r w:rsidR="006A5CEF">
              <w:rPr>
                <w:noProof/>
                <w:webHidden/>
              </w:rPr>
              <w:tab/>
            </w:r>
            <w:r w:rsidR="006A5CEF">
              <w:rPr>
                <w:noProof/>
                <w:webHidden/>
              </w:rPr>
              <w:fldChar w:fldCharType="begin"/>
            </w:r>
            <w:r w:rsidR="006A5CEF">
              <w:rPr>
                <w:noProof/>
                <w:webHidden/>
              </w:rPr>
              <w:instrText xml:space="preserve"> PAGEREF _Toc23376935 \h </w:instrText>
            </w:r>
            <w:r w:rsidR="006A5CEF">
              <w:rPr>
                <w:noProof/>
                <w:webHidden/>
              </w:rPr>
            </w:r>
            <w:r w:rsidR="006A5CEF">
              <w:rPr>
                <w:noProof/>
                <w:webHidden/>
              </w:rPr>
              <w:fldChar w:fldCharType="separate"/>
            </w:r>
            <w:r w:rsidR="003E7929">
              <w:rPr>
                <w:noProof/>
                <w:webHidden/>
              </w:rPr>
              <w:t>3</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36" w:history="1">
            <w:r w:rsidR="006A5CEF" w:rsidRPr="00C22D7A">
              <w:rPr>
                <w:rStyle w:val="Hyperlink"/>
                <w:noProof/>
                <w:lang w:val="hr-HR"/>
              </w:rPr>
              <w:t>2.</w:t>
            </w:r>
            <w:r w:rsidR="006A5CEF">
              <w:rPr>
                <w:rFonts w:eastAsiaTheme="minorEastAsia"/>
                <w:noProof/>
                <w:lang w:val="hr-HR" w:eastAsia="hr-HR"/>
              </w:rPr>
              <w:tab/>
            </w:r>
            <w:r w:rsidR="006A5CEF" w:rsidRPr="00C22D7A">
              <w:rPr>
                <w:rStyle w:val="Hyperlink"/>
                <w:noProof/>
                <w:lang w:val="hr-HR"/>
              </w:rPr>
              <w:t>MAKROEKONOMSKI OKVIR</w:t>
            </w:r>
            <w:r w:rsidR="006A5CEF">
              <w:rPr>
                <w:noProof/>
                <w:webHidden/>
              </w:rPr>
              <w:tab/>
            </w:r>
            <w:r w:rsidR="006A5CEF">
              <w:rPr>
                <w:noProof/>
                <w:webHidden/>
              </w:rPr>
              <w:fldChar w:fldCharType="begin"/>
            </w:r>
            <w:r w:rsidR="006A5CEF">
              <w:rPr>
                <w:noProof/>
                <w:webHidden/>
              </w:rPr>
              <w:instrText xml:space="preserve"> PAGEREF _Toc23376936 \h </w:instrText>
            </w:r>
            <w:r w:rsidR="006A5CEF">
              <w:rPr>
                <w:noProof/>
                <w:webHidden/>
              </w:rPr>
            </w:r>
            <w:r w:rsidR="006A5CEF">
              <w:rPr>
                <w:noProof/>
                <w:webHidden/>
              </w:rPr>
              <w:fldChar w:fldCharType="separate"/>
            </w:r>
            <w:r>
              <w:rPr>
                <w:noProof/>
                <w:webHidden/>
              </w:rPr>
              <w:t>5</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37" w:history="1">
            <w:r w:rsidR="006A5CEF" w:rsidRPr="00C22D7A">
              <w:rPr>
                <w:rStyle w:val="Hyperlink"/>
                <w:noProof/>
                <w:lang w:val="hr-HR"/>
              </w:rPr>
              <w:t>2.</w:t>
            </w:r>
            <w:r w:rsidR="006A5CEF">
              <w:rPr>
                <w:rFonts w:eastAsiaTheme="minorEastAsia"/>
                <w:noProof/>
                <w:lang w:val="hr-HR" w:eastAsia="hr-HR"/>
              </w:rPr>
              <w:tab/>
            </w:r>
            <w:r w:rsidR="006A5CEF" w:rsidRPr="00C22D7A">
              <w:rPr>
                <w:rStyle w:val="Hyperlink"/>
                <w:noProof/>
                <w:lang w:val="hr-HR"/>
              </w:rPr>
              <w:t>PRIHODI DRŽAVNOG PRORAČUNA</w:t>
            </w:r>
            <w:r w:rsidR="006A5CEF">
              <w:rPr>
                <w:noProof/>
                <w:webHidden/>
              </w:rPr>
              <w:tab/>
            </w:r>
            <w:r w:rsidR="006A5CEF">
              <w:rPr>
                <w:noProof/>
                <w:webHidden/>
              </w:rPr>
              <w:fldChar w:fldCharType="begin"/>
            </w:r>
            <w:r w:rsidR="006A5CEF">
              <w:rPr>
                <w:noProof/>
                <w:webHidden/>
              </w:rPr>
              <w:instrText xml:space="preserve"> PAGEREF _Toc23376937 \h </w:instrText>
            </w:r>
            <w:r w:rsidR="006A5CEF">
              <w:rPr>
                <w:noProof/>
                <w:webHidden/>
              </w:rPr>
            </w:r>
            <w:r w:rsidR="006A5CEF">
              <w:rPr>
                <w:noProof/>
                <w:webHidden/>
              </w:rPr>
              <w:fldChar w:fldCharType="separate"/>
            </w:r>
            <w:r>
              <w:rPr>
                <w:noProof/>
                <w:webHidden/>
              </w:rPr>
              <w:t>9</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38" w:history="1">
            <w:r w:rsidR="006A5CEF" w:rsidRPr="00C22D7A">
              <w:rPr>
                <w:rStyle w:val="Hyperlink"/>
                <w:noProof/>
                <w:lang w:val="hr-HR"/>
              </w:rPr>
              <w:t>3.</w:t>
            </w:r>
            <w:r w:rsidR="006A5CEF">
              <w:rPr>
                <w:rFonts w:eastAsiaTheme="minorEastAsia"/>
                <w:noProof/>
                <w:lang w:val="hr-HR" w:eastAsia="hr-HR"/>
              </w:rPr>
              <w:tab/>
            </w:r>
            <w:r w:rsidR="006A5CEF" w:rsidRPr="00C22D7A">
              <w:rPr>
                <w:rStyle w:val="Hyperlink"/>
                <w:noProof/>
                <w:lang w:val="hr-HR"/>
              </w:rPr>
              <w:t>RASHODI DRŽAVNOG PRORAČUNA</w:t>
            </w:r>
            <w:r w:rsidR="006A5CEF">
              <w:rPr>
                <w:noProof/>
                <w:webHidden/>
              </w:rPr>
              <w:tab/>
            </w:r>
            <w:r w:rsidR="006A5CEF">
              <w:rPr>
                <w:noProof/>
                <w:webHidden/>
              </w:rPr>
              <w:fldChar w:fldCharType="begin"/>
            </w:r>
            <w:r w:rsidR="006A5CEF">
              <w:rPr>
                <w:noProof/>
                <w:webHidden/>
              </w:rPr>
              <w:instrText xml:space="preserve"> PAGEREF _Toc23376938 \h </w:instrText>
            </w:r>
            <w:r w:rsidR="006A5CEF">
              <w:rPr>
                <w:noProof/>
                <w:webHidden/>
              </w:rPr>
            </w:r>
            <w:r w:rsidR="006A5CEF">
              <w:rPr>
                <w:noProof/>
                <w:webHidden/>
              </w:rPr>
              <w:fldChar w:fldCharType="separate"/>
            </w:r>
            <w:r>
              <w:rPr>
                <w:noProof/>
                <w:webHidden/>
              </w:rPr>
              <w:t>14</w:t>
            </w:r>
            <w:r w:rsidR="006A5CEF">
              <w:rPr>
                <w:noProof/>
                <w:webHidden/>
              </w:rPr>
              <w:fldChar w:fldCharType="end"/>
            </w:r>
          </w:hyperlink>
        </w:p>
        <w:p w:rsidR="006A5CEF" w:rsidRDefault="003E7929">
          <w:pPr>
            <w:pStyle w:val="TOC2"/>
            <w:tabs>
              <w:tab w:val="left" w:pos="880"/>
              <w:tab w:val="right" w:leader="dot" w:pos="9062"/>
            </w:tabs>
            <w:rPr>
              <w:rFonts w:eastAsiaTheme="minorEastAsia"/>
              <w:noProof/>
              <w:lang w:val="hr-HR" w:eastAsia="hr-HR"/>
            </w:rPr>
          </w:pPr>
          <w:hyperlink w:anchor="_Toc23376939" w:history="1">
            <w:r w:rsidR="006A5CEF" w:rsidRPr="00C22D7A">
              <w:rPr>
                <w:rStyle w:val="Hyperlink"/>
                <w:noProof/>
                <w:lang w:val="hr-HR"/>
              </w:rPr>
              <w:t>4.1.</w:t>
            </w:r>
            <w:r w:rsidR="006A5CEF">
              <w:rPr>
                <w:rFonts w:eastAsiaTheme="minorEastAsia"/>
                <w:noProof/>
                <w:lang w:val="hr-HR" w:eastAsia="hr-HR"/>
              </w:rPr>
              <w:tab/>
            </w:r>
            <w:r w:rsidR="006A5CEF" w:rsidRPr="00C22D7A">
              <w:rPr>
                <w:rStyle w:val="Hyperlink"/>
                <w:noProof/>
                <w:lang w:val="hr-HR"/>
              </w:rPr>
              <w:t>Obrazloženje rashoda po izvorima financiranja</w:t>
            </w:r>
            <w:r w:rsidR="006A5CEF">
              <w:rPr>
                <w:noProof/>
                <w:webHidden/>
              </w:rPr>
              <w:tab/>
            </w:r>
            <w:r w:rsidR="006A5CEF">
              <w:rPr>
                <w:noProof/>
                <w:webHidden/>
              </w:rPr>
              <w:fldChar w:fldCharType="begin"/>
            </w:r>
            <w:r w:rsidR="006A5CEF">
              <w:rPr>
                <w:noProof/>
                <w:webHidden/>
              </w:rPr>
              <w:instrText xml:space="preserve"> PAGEREF _Toc23376939 \h </w:instrText>
            </w:r>
            <w:r w:rsidR="006A5CEF">
              <w:rPr>
                <w:noProof/>
                <w:webHidden/>
              </w:rPr>
            </w:r>
            <w:r w:rsidR="006A5CEF">
              <w:rPr>
                <w:noProof/>
                <w:webHidden/>
              </w:rPr>
              <w:fldChar w:fldCharType="separate"/>
            </w:r>
            <w:r>
              <w:rPr>
                <w:noProof/>
                <w:webHidden/>
              </w:rPr>
              <w:t>15</w:t>
            </w:r>
            <w:r w:rsidR="006A5CEF">
              <w:rPr>
                <w:noProof/>
                <w:webHidden/>
              </w:rPr>
              <w:fldChar w:fldCharType="end"/>
            </w:r>
          </w:hyperlink>
        </w:p>
        <w:p w:rsidR="006A5CEF" w:rsidRDefault="003E7929">
          <w:pPr>
            <w:pStyle w:val="TOC2"/>
            <w:tabs>
              <w:tab w:val="left" w:pos="880"/>
              <w:tab w:val="right" w:leader="dot" w:pos="9062"/>
            </w:tabs>
            <w:rPr>
              <w:rFonts w:eastAsiaTheme="minorEastAsia"/>
              <w:noProof/>
              <w:lang w:val="hr-HR" w:eastAsia="hr-HR"/>
            </w:rPr>
          </w:pPr>
          <w:hyperlink w:anchor="_Toc23376940" w:history="1">
            <w:r w:rsidR="006A5CEF" w:rsidRPr="00C22D7A">
              <w:rPr>
                <w:rStyle w:val="Hyperlink"/>
                <w:noProof/>
                <w:lang w:val="hr-HR"/>
              </w:rPr>
              <w:t>4.2.</w:t>
            </w:r>
            <w:r w:rsidR="006A5CEF">
              <w:rPr>
                <w:rFonts w:eastAsiaTheme="minorEastAsia"/>
                <w:noProof/>
                <w:lang w:val="hr-HR" w:eastAsia="hr-HR"/>
              </w:rPr>
              <w:tab/>
            </w:r>
            <w:r w:rsidR="006A5CEF" w:rsidRPr="00C22D7A">
              <w:rPr>
                <w:rStyle w:val="Hyperlink"/>
                <w:noProof/>
                <w:lang w:val="hr-HR"/>
              </w:rPr>
              <w:t>Obrazloženje rashoda po ekonomskoj klasifikaciji</w:t>
            </w:r>
            <w:r w:rsidR="006A5CEF">
              <w:rPr>
                <w:noProof/>
                <w:webHidden/>
              </w:rPr>
              <w:tab/>
            </w:r>
            <w:r w:rsidR="006A5CEF">
              <w:rPr>
                <w:noProof/>
                <w:webHidden/>
              </w:rPr>
              <w:fldChar w:fldCharType="begin"/>
            </w:r>
            <w:r w:rsidR="006A5CEF">
              <w:rPr>
                <w:noProof/>
                <w:webHidden/>
              </w:rPr>
              <w:instrText xml:space="preserve"> PAGEREF _Toc23376940 \h </w:instrText>
            </w:r>
            <w:r w:rsidR="006A5CEF">
              <w:rPr>
                <w:noProof/>
                <w:webHidden/>
              </w:rPr>
            </w:r>
            <w:r w:rsidR="006A5CEF">
              <w:rPr>
                <w:noProof/>
                <w:webHidden/>
              </w:rPr>
              <w:fldChar w:fldCharType="separate"/>
            </w:r>
            <w:r>
              <w:rPr>
                <w:noProof/>
                <w:webHidden/>
              </w:rPr>
              <w:t>18</w:t>
            </w:r>
            <w:r w:rsidR="006A5CEF">
              <w:rPr>
                <w:noProof/>
                <w:webHidden/>
              </w:rPr>
              <w:fldChar w:fldCharType="end"/>
            </w:r>
          </w:hyperlink>
        </w:p>
        <w:p w:rsidR="006A5CEF" w:rsidRDefault="003E7929">
          <w:pPr>
            <w:pStyle w:val="TOC2"/>
            <w:tabs>
              <w:tab w:val="left" w:pos="880"/>
              <w:tab w:val="right" w:leader="dot" w:pos="9062"/>
            </w:tabs>
            <w:rPr>
              <w:rFonts w:eastAsiaTheme="minorEastAsia"/>
              <w:noProof/>
              <w:lang w:val="hr-HR" w:eastAsia="hr-HR"/>
            </w:rPr>
          </w:pPr>
          <w:hyperlink w:anchor="_Toc23376941" w:history="1">
            <w:r w:rsidR="006A5CEF" w:rsidRPr="00C22D7A">
              <w:rPr>
                <w:rStyle w:val="Hyperlink"/>
                <w:noProof/>
                <w:lang w:val="hr-HR"/>
              </w:rPr>
              <w:t>4.3.</w:t>
            </w:r>
            <w:r w:rsidR="006A5CEF">
              <w:rPr>
                <w:rFonts w:eastAsiaTheme="minorEastAsia"/>
                <w:noProof/>
                <w:lang w:val="hr-HR" w:eastAsia="hr-HR"/>
              </w:rPr>
              <w:tab/>
            </w:r>
            <w:r w:rsidR="006A5CEF" w:rsidRPr="00C22D7A">
              <w:rPr>
                <w:rStyle w:val="Hyperlink"/>
                <w:noProof/>
                <w:lang w:val="hr-HR"/>
              </w:rPr>
              <w:t>Obrazloženje rashoda po funkcijskoj klasifikaciji</w:t>
            </w:r>
            <w:r w:rsidR="006A5CEF">
              <w:rPr>
                <w:noProof/>
                <w:webHidden/>
              </w:rPr>
              <w:tab/>
            </w:r>
            <w:r w:rsidR="006A5CEF">
              <w:rPr>
                <w:noProof/>
                <w:webHidden/>
              </w:rPr>
              <w:fldChar w:fldCharType="begin"/>
            </w:r>
            <w:r w:rsidR="006A5CEF">
              <w:rPr>
                <w:noProof/>
                <w:webHidden/>
              </w:rPr>
              <w:instrText xml:space="preserve"> PAGEREF _Toc23376941 \h </w:instrText>
            </w:r>
            <w:r w:rsidR="006A5CEF">
              <w:rPr>
                <w:noProof/>
                <w:webHidden/>
              </w:rPr>
            </w:r>
            <w:r w:rsidR="006A5CEF">
              <w:rPr>
                <w:noProof/>
                <w:webHidden/>
              </w:rPr>
              <w:fldChar w:fldCharType="separate"/>
            </w:r>
            <w:r>
              <w:rPr>
                <w:noProof/>
                <w:webHidden/>
              </w:rPr>
              <w:t>23</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42" w:history="1">
            <w:r w:rsidR="006A5CEF" w:rsidRPr="00C22D7A">
              <w:rPr>
                <w:rStyle w:val="Hyperlink"/>
                <w:noProof/>
                <w:lang w:val="hr-HR"/>
              </w:rPr>
              <w:t>4.</w:t>
            </w:r>
            <w:r w:rsidR="006A5CEF">
              <w:rPr>
                <w:rFonts w:eastAsiaTheme="minorEastAsia"/>
                <w:noProof/>
                <w:lang w:val="hr-HR" w:eastAsia="hr-HR"/>
              </w:rPr>
              <w:tab/>
            </w:r>
            <w:r w:rsidR="006A5CEF" w:rsidRPr="00C22D7A">
              <w:rPr>
                <w:rStyle w:val="Hyperlink"/>
                <w:noProof/>
                <w:lang w:val="hr-HR"/>
              </w:rPr>
              <w:t>UKUPNI MANJAK/VIŠAK DRŽAVNOG PRORAČUNA</w:t>
            </w:r>
            <w:r w:rsidR="006A5CEF">
              <w:rPr>
                <w:noProof/>
                <w:webHidden/>
              </w:rPr>
              <w:tab/>
            </w:r>
            <w:r w:rsidR="006A5CEF">
              <w:rPr>
                <w:noProof/>
                <w:webHidden/>
              </w:rPr>
              <w:fldChar w:fldCharType="begin"/>
            </w:r>
            <w:r w:rsidR="006A5CEF">
              <w:rPr>
                <w:noProof/>
                <w:webHidden/>
              </w:rPr>
              <w:instrText xml:space="preserve"> PAGEREF _Toc23376942 \h </w:instrText>
            </w:r>
            <w:r w:rsidR="006A5CEF">
              <w:rPr>
                <w:noProof/>
                <w:webHidden/>
              </w:rPr>
            </w:r>
            <w:r w:rsidR="006A5CEF">
              <w:rPr>
                <w:noProof/>
                <w:webHidden/>
              </w:rPr>
              <w:fldChar w:fldCharType="separate"/>
            </w:r>
            <w:r>
              <w:rPr>
                <w:noProof/>
                <w:webHidden/>
              </w:rPr>
              <w:t>24</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43" w:history="1">
            <w:r w:rsidR="006A5CEF" w:rsidRPr="00C22D7A">
              <w:rPr>
                <w:rStyle w:val="Hyperlink"/>
                <w:noProof/>
                <w:lang w:val="hr-HR"/>
              </w:rPr>
              <w:t>5.</w:t>
            </w:r>
            <w:r w:rsidR="006A5CEF">
              <w:rPr>
                <w:rFonts w:eastAsiaTheme="minorEastAsia"/>
                <w:noProof/>
                <w:lang w:val="hr-HR" w:eastAsia="hr-HR"/>
              </w:rPr>
              <w:tab/>
            </w:r>
            <w:r w:rsidR="006A5CEF" w:rsidRPr="00C22D7A">
              <w:rPr>
                <w:rStyle w:val="Hyperlink"/>
                <w:noProof/>
                <w:lang w:val="hr-HR"/>
              </w:rPr>
              <w:t>RAČUN FINANCIRANJA DRŽAVNOG PRORAČUNA</w:t>
            </w:r>
            <w:r w:rsidR="006A5CEF">
              <w:rPr>
                <w:noProof/>
                <w:webHidden/>
              </w:rPr>
              <w:tab/>
            </w:r>
            <w:r w:rsidR="006A5CEF">
              <w:rPr>
                <w:noProof/>
                <w:webHidden/>
              </w:rPr>
              <w:fldChar w:fldCharType="begin"/>
            </w:r>
            <w:r w:rsidR="006A5CEF">
              <w:rPr>
                <w:noProof/>
                <w:webHidden/>
              </w:rPr>
              <w:instrText xml:space="preserve"> PAGEREF _Toc23376943 \h </w:instrText>
            </w:r>
            <w:r w:rsidR="006A5CEF">
              <w:rPr>
                <w:noProof/>
                <w:webHidden/>
              </w:rPr>
            </w:r>
            <w:r w:rsidR="006A5CEF">
              <w:rPr>
                <w:noProof/>
                <w:webHidden/>
              </w:rPr>
              <w:fldChar w:fldCharType="separate"/>
            </w:r>
            <w:r>
              <w:rPr>
                <w:noProof/>
                <w:webHidden/>
              </w:rPr>
              <w:t>25</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44" w:history="1">
            <w:r w:rsidR="006A5CEF" w:rsidRPr="00C22D7A">
              <w:rPr>
                <w:rStyle w:val="Hyperlink"/>
                <w:noProof/>
                <w:lang w:val="hr-HR"/>
              </w:rPr>
              <w:t>6.</w:t>
            </w:r>
            <w:r w:rsidR="006A5CEF">
              <w:rPr>
                <w:rFonts w:eastAsiaTheme="minorEastAsia"/>
                <w:noProof/>
                <w:lang w:val="hr-HR" w:eastAsia="hr-HR"/>
              </w:rPr>
              <w:tab/>
            </w:r>
            <w:r w:rsidR="006A5CEF" w:rsidRPr="00C22D7A">
              <w:rPr>
                <w:rStyle w:val="Hyperlink"/>
                <w:noProof/>
                <w:lang w:val="hr-HR"/>
              </w:rPr>
              <w:t>STANJE DOSPJELIH NEPODMIRENIH OBVEZA PRORAČUNSKIH I IZVANPRORAČUNSKIH KORISNIKA DRŽAVNOG PRORAČUNA</w:t>
            </w:r>
            <w:r w:rsidR="006A5CEF">
              <w:rPr>
                <w:noProof/>
                <w:webHidden/>
              </w:rPr>
              <w:tab/>
            </w:r>
            <w:r w:rsidR="006A5CEF">
              <w:rPr>
                <w:noProof/>
                <w:webHidden/>
              </w:rPr>
              <w:fldChar w:fldCharType="begin"/>
            </w:r>
            <w:r w:rsidR="006A5CEF">
              <w:rPr>
                <w:noProof/>
                <w:webHidden/>
              </w:rPr>
              <w:instrText xml:space="preserve"> PAGEREF _Toc23376944 \h </w:instrText>
            </w:r>
            <w:r w:rsidR="006A5CEF">
              <w:rPr>
                <w:noProof/>
                <w:webHidden/>
              </w:rPr>
            </w:r>
            <w:r w:rsidR="006A5CEF">
              <w:rPr>
                <w:noProof/>
                <w:webHidden/>
              </w:rPr>
              <w:fldChar w:fldCharType="separate"/>
            </w:r>
            <w:r>
              <w:rPr>
                <w:noProof/>
                <w:webHidden/>
              </w:rPr>
              <w:t>27</w:t>
            </w:r>
            <w:r w:rsidR="006A5CEF">
              <w:rPr>
                <w:noProof/>
                <w:webHidden/>
              </w:rPr>
              <w:fldChar w:fldCharType="end"/>
            </w:r>
          </w:hyperlink>
        </w:p>
        <w:p w:rsidR="006A5CEF" w:rsidRDefault="003E7929">
          <w:pPr>
            <w:pStyle w:val="TOC1"/>
            <w:tabs>
              <w:tab w:val="left" w:pos="440"/>
              <w:tab w:val="right" w:leader="dot" w:pos="9062"/>
            </w:tabs>
            <w:rPr>
              <w:rFonts w:eastAsiaTheme="minorEastAsia"/>
              <w:noProof/>
              <w:lang w:val="hr-HR" w:eastAsia="hr-HR"/>
            </w:rPr>
          </w:pPr>
          <w:hyperlink w:anchor="_Toc23376945" w:history="1">
            <w:r w:rsidR="006A5CEF" w:rsidRPr="00C22D7A">
              <w:rPr>
                <w:rStyle w:val="Hyperlink"/>
                <w:noProof/>
                <w:lang w:val="hr-HR"/>
              </w:rPr>
              <w:t>7.</w:t>
            </w:r>
            <w:r w:rsidR="006A5CEF">
              <w:rPr>
                <w:rFonts w:eastAsiaTheme="minorEastAsia"/>
                <w:noProof/>
                <w:lang w:val="hr-HR" w:eastAsia="hr-HR"/>
              </w:rPr>
              <w:tab/>
            </w:r>
            <w:r w:rsidR="006A5CEF" w:rsidRPr="00C22D7A">
              <w:rPr>
                <w:rStyle w:val="Hyperlink"/>
                <w:noProof/>
                <w:lang w:val="hr-HR"/>
              </w:rPr>
              <w:t>PROCJENA UKUPNOG MANJKA/VIŠKA OPĆE DRŽAVE</w:t>
            </w:r>
            <w:r w:rsidR="006A5CEF">
              <w:rPr>
                <w:noProof/>
                <w:webHidden/>
              </w:rPr>
              <w:tab/>
            </w:r>
            <w:r w:rsidR="006A5CEF">
              <w:rPr>
                <w:noProof/>
                <w:webHidden/>
              </w:rPr>
              <w:fldChar w:fldCharType="begin"/>
            </w:r>
            <w:r w:rsidR="006A5CEF">
              <w:rPr>
                <w:noProof/>
                <w:webHidden/>
              </w:rPr>
              <w:instrText xml:space="preserve"> PAGEREF _Toc23376945 \h </w:instrText>
            </w:r>
            <w:r w:rsidR="006A5CEF">
              <w:rPr>
                <w:noProof/>
                <w:webHidden/>
              </w:rPr>
            </w:r>
            <w:r w:rsidR="006A5CEF">
              <w:rPr>
                <w:noProof/>
                <w:webHidden/>
              </w:rPr>
              <w:fldChar w:fldCharType="separate"/>
            </w:r>
            <w:r>
              <w:rPr>
                <w:noProof/>
                <w:webHidden/>
              </w:rPr>
              <w:t>29</w:t>
            </w:r>
            <w:r w:rsidR="006A5CEF">
              <w:rPr>
                <w:noProof/>
                <w:webHidden/>
              </w:rPr>
              <w:fldChar w:fldCharType="end"/>
            </w:r>
          </w:hyperlink>
        </w:p>
        <w:p w:rsidR="00C93283" w:rsidRPr="00F70B2A" w:rsidRDefault="00C93283">
          <w:pPr>
            <w:rPr>
              <w:lang w:val="hr-HR"/>
            </w:rPr>
          </w:pPr>
          <w:r w:rsidRPr="00F70B2A">
            <w:rPr>
              <w:b/>
              <w:bCs/>
              <w:lang w:val="hr-HR"/>
            </w:rPr>
            <w:fldChar w:fldCharType="end"/>
          </w:r>
        </w:p>
      </w:sdtContent>
    </w:sdt>
    <w:p w:rsidR="00695821" w:rsidRPr="00F70B2A" w:rsidRDefault="00695821" w:rsidP="00695821">
      <w:pPr>
        <w:rPr>
          <w:lang w:val="hr-HR"/>
        </w:rPr>
      </w:pPr>
    </w:p>
    <w:p w:rsidR="00680042" w:rsidRPr="00F70B2A" w:rsidRDefault="00680042" w:rsidP="00695821">
      <w:pPr>
        <w:rPr>
          <w:lang w:val="hr-HR"/>
        </w:rPr>
      </w:pPr>
    </w:p>
    <w:p w:rsidR="00695821" w:rsidRPr="00F70B2A" w:rsidRDefault="00695821" w:rsidP="00695821">
      <w:pPr>
        <w:rPr>
          <w:lang w:val="hr-HR"/>
        </w:rPr>
      </w:pPr>
      <w:r w:rsidRPr="00F70B2A">
        <w:rPr>
          <w:lang w:val="hr-HR"/>
        </w:rPr>
        <w:br w:type="page"/>
      </w:r>
    </w:p>
    <w:p w:rsidR="00695821" w:rsidRPr="00F70B2A" w:rsidRDefault="00695821" w:rsidP="00695821">
      <w:pPr>
        <w:pStyle w:val="Heading1"/>
        <w:numPr>
          <w:ilvl w:val="0"/>
          <w:numId w:val="2"/>
        </w:numPr>
        <w:rPr>
          <w:lang w:val="hr-HR"/>
        </w:rPr>
      </w:pPr>
      <w:bookmarkStart w:id="1" w:name="_Toc23376935"/>
      <w:r w:rsidRPr="00F70B2A">
        <w:rPr>
          <w:lang w:val="hr-HR"/>
        </w:rPr>
        <w:lastRenderedPageBreak/>
        <w:t>UVOD</w:t>
      </w:r>
      <w:bookmarkEnd w:id="1"/>
    </w:p>
    <w:p w:rsidR="00695821" w:rsidRDefault="00695821" w:rsidP="00DD59A5">
      <w:pPr>
        <w:spacing w:before="240"/>
        <w:rPr>
          <w:lang w:val="hr-HR"/>
        </w:rPr>
      </w:pPr>
    </w:p>
    <w:p w:rsidR="000E5C14" w:rsidRDefault="000E5C14" w:rsidP="00E30E0F">
      <w:pPr>
        <w:spacing w:before="240"/>
        <w:jc w:val="both"/>
        <w:rPr>
          <w:lang w:val="hr-HR"/>
        </w:rPr>
      </w:pPr>
      <w:r w:rsidRPr="000E5C14">
        <w:rPr>
          <w:lang w:val="hr-HR"/>
        </w:rPr>
        <w:t>Okvir makroekonomske politike RH određen je pozitivnim kretanjima ekonomske aktivnosti, temeljenim na rastu osobne potrošnje, investicija uz snažniju apsorpciju sredstava iz EU fondova te izvoza roba i usluga. U 2019. predviđa se realni rast BDP-a od 2,8%, u 2020. od 2,5%, a u 2021. i 2022. godini od 2,4%. U čitavom projekcijskom razdoblju predviđa se stabilna inflacija ispod 1,5%. Očekuje se i nastavak povoljnih kretanja na tržištu rada pri čemu će anketna stopa nezaposlenosti bilježiti daljnje smanjenje prema 6,3% u 2022. godini.</w:t>
      </w:r>
    </w:p>
    <w:p w:rsidR="001C074C" w:rsidRPr="00BD554A" w:rsidRDefault="000E5C14" w:rsidP="00E30E0F">
      <w:pPr>
        <w:spacing w:before="240"/>
        <w:jc w:val="both"/>
        <w:rPr>
          <w:lang w:val="hr-HR"/>
        </w:rPr>
      </w:pPr>
      <w:r w:rsidRPr="000E5C14">
        <w:rPr>
          <w:lang w:val="hr-HR"/>
        </w:rPr>
        <w:t>F</w:t>
      </w:r>
      <w:r w:rsidR="001C074C" w:rsidRPr="000E5C14">
        <w:rPr>
          <w:lang w:val="hr-HR"/>
        </w:rPr>
        <w:t xml:space="preserve">iskalnu politiku u promatranom srednjoročnom razdoblju karakterizirat će </w:t>
      </w:r>
      <w:r w:rsidRPr="000E5C14">
        <w:rPr>
          <w:lang w:val="hr-HR"/>
        </w:rPr>
        <w:t xml:space="preserve">daljnji </w:t>
      </w:r>
      <w:r w:rsidR="001C074C" w:rsidRPr="000E5C14">
        <w:rPr>
          <w:lang w:val="hr-HR"/>
        </w:rPr>
        <w:t>napori u cilju jačanja fiskalne održivosti i ekonomskog rasta uz adekvatnu skrb za standard svih građana. Na prihodnoj strani proračuna, važnu ulogu ima</w:t>
      </w:r>
      <w:r w:rsidRPr="000E5C14">
        <w:rPr>
          <w:lang w:val="hr-HR"/>
        </w:rPr>
        <w:t xml:space="preserve">t će četvrti krug porezne reforme koja je započela </w:t>
      </w:r>
      <w:r w:rsidR="001C074C" w:rsidRPr="000E5C14">
        <w:rPr>
          <w:lang w:val="hr-HR"/>
        </w:rPr>
        <w:t xml:space="preserve">1. siječnja 2017. te je nastavljena u 2018. i 2019. godini s ciljem smanjenja ukupnog poreznog i administrativnog opterećenja, stvaranja stabilnijeg i jednostavnijeg poreznog sustava koji će pružiti veću sigurnost za sve porezne obveznike. Četvrti krug poreznog rasterećenja predviđa se od početka 2020. godine s ukupnim rasterećenjem od </w:t>
      </w:r>
      <w:r w:rsidRPr="000E5C14">
        <w:rPr>
          <w:lang w:val="hr-HR"/>
        </w:rPr>
        <w:t>2,3</w:t>
      </w:r>
      <w:r w:rsidR="001C074C" w:rsidRPr="000E5C14">
        <w:rPr>
          <w:lang w:val="hr-HR"/>
        </w:rPr>
        <w:t xml:space="preserve"> milijard</w:t>
      </w:r>
      <w:r w:rsidRPr="000E5C14">
        <w:rPr>
          <w:lang w:val="hr-HR"/>
        </w:rPr>
        <w:t>e</w:t>
      </w:r>
      <w:r w:rsidR="001C074C" w:rsidRPr="000E5C14">
        <w:rPr>
          <w:lang w:val="hr-HR"/>
        </w:rPr>
        <w:t xml:space="preserve"> kuna, a </w:t>
      </w:r>
      <w:r w:rsidRPr="000E5C14">
        <w:rPr>
          <w:lang w:val="hr-HR"/>
        </w:rPr>
        <w:t>najznačajnije izmjene odnose se na promjene u oporezivanju porezom na dodanu vrijednost odnosno na zadržavanje opće stop</w:t>
      </w:r>
      <w:r>
        <w:rPr>
          <w:lang w:val="hr-HR"/>
        </w:rPr>
        <w:t>e</w:t>
      </w:r>
      <w:r w:rsidRPr="000E5C14">
        <w:rPr>
          <w:lang w:val="hr-HR"/>
        </w:rPr>
        <w:t xml:space="preserve"> PDV-a od 25% </w:t>
      </w:r>
      <w:r>
        <w:rPr>
          <w:lang w:val="hr-HR"/>
        </w:rPr>
        <w:t>uz istovremeno</w:t>
      </w:r>
      <w:r w:rsidRPr="000E5C14">
        <w:rPr>
          <w:lang w:val="hr-HR"/>
        </w:rPr>
        <w:t xml:space="preserve"> smanjenje stope na 13% za pripremu i usluživanje jela i slastica u ugostiteljstvu. Osim toga, predviđene su i izmjene u sustavu oporezivanja dobiti gdje se povećava iznos ostvarenih prihoda s 3 na 7,5 milijuna kuna za plaćanje poreza na dobit po stopi od 12%. Time će dodatnih 10.000 malih i srednjih poduzetnika odnosno ukupno 93% obveznika poreza na dobit biti u primjeni stope od 12%. Izmjenama u sustavu posebnih poreza i trošarina predviđa se povrat dijela plaćene trošarine na dizelsko gorivo koje se koristi za pogon u željezničkom prometu robe i putnika te potpuno oslobođenje od plaćanja trošarine na električnu energiju u željezničkom prometu robe i putnika. </w:t>
      </w:r>
      <w:r>
        <w:rPr>
          <w:lang w:val="hr-HR"/>
        </w:rPr>
        <w:t>S druge strane</w:t>
      </w:r>
      <w:r w:rsidRPr="000E5C14">
        <w:rPr>
          <w:lang w:val="hr-HR"/>
        </w:rPr>
        <w:t>, provest će se i promjen</w:t>
      </w:r>
      <w:r>
        <w:rPr>
          <w:lang w:val="hr-HR"/>
        </w:rPr>
        <w:t>e</w:t>
      </w:r>
      <w:r w:rsidRPr="000E5C14">
        <w:rPr>
          <w:lang w:val="hr-HR"/>
        </w:rPr>
        <w:t xml:space="preserve"> u modelu oporezivanja bezalkoholnih pića te daljnje korekcije iznosa trošarina na alkohol i duhan.</w:t>
      </w:r>
      <w:r>
        <w:rPr>
          <w:lang w:val="hr-HR"/>
        </w:rPr>
        <w:t xml:space="preserve"> U</w:t>
      </w:r>
      <w:r w:rsidRPr="000E5C14">
        <w:rPr>
          <w:lang w:val="hr-HR"/>
        </w:rPr>
        <w:t xml:space="preserve"> sustavu poreza na dohodak predviđa se porezno rasterećenje mladih osoba do 30 godina smanjenjem porezne obveze za 100% do 25 godina starosti, a za 50% od 26 do 30 godina starosti. Uz to, povećava se i osnovni osobni odbitak koji će od </w:t>
      </w:r>
      <w:r>
        <w:rPr>
          <w:lang w:val="hr-HR"/>
        </w:rPr>
        <w:t xml:space="preserve">               </w:t>
      </w:r>
      <w:r w:rsidRPr="000E5C14">
        <w:rPr>
          <w:lang w:val="hr-HR"/>
        </w:rPr>
        <w:t xml:space="preserve">1. siječnja 2020. iznositi 4.000 kuna, čime se povećava raspoloživi </w:t>
      </w:r>
      <w:r w:rsidRPr="00BD554A">
        <w:rPr>
          <w:lang w:val="hr-HR"/>
        </w:rPr>
        <w:t xml:space="preserve">dohodak stanovništva. </w:t>
      </w:r>
      <w:r w:rsidR="001C074C" w:rsidRPr="00BD554A">
        <w:rPr>
          <w:lang w:val="hr-HR"/>
        </w:rPr>
        <w:t>U isto vrijeme, značajan učinak na prihode proračuna imat će i povlačenje sredstava iz EU fondova, koja će biti usmjerena na različite razvojne infrastrukturne projekte te aktivnosti istraživanja i inovacija, čime će se ojačati razvojni potencijal čitave zemlje.</w:t>
      </w:r>
    </w:p>
    <w:p w:rsidR="00926FAA" w:rsidRPr="00926FAA" w:rsidRDefault="00926FAA" w:rsidP="00926FAA">
      <w:pPr>
        <w:spacing w:before="240"/>
        <w:jc w:val="both"/>
        <w:rPr>
          <w:lang w:val="hr-HR"/>
        </w:rPr>
      </w:pPr>
      <w:r w:rsidRPr="00C64161">
        <w:rPr>
          <w:lang w:val="hr-HR"/>
        </w:rPr>
        <w:t xml:space="preserve">Na rashodnoj strani proračuna osigurana su sredstva za daljnju provedbu mjera populacijske politike koja je temelj gospodarskog, regionalnog, ruralnog i ukupnog razvitka. Kao jednu od značajnijih izdvajamo povećanje naknada za vrijeme korištenja roditeljskog dopusta s ciljem poboljšanja materijalnog statusa obitelji s novorođenom djecom. Nastavlja se sa reformom sustava obrazovanja i osposobljavanja u cilju poboljšanja njegove kvalitete i relevantnosti za tržište rada za mlade i odrasle. Kroz proračun su vidljivi i iskoraci na poboljšanju standarda, zaposlenosti i plaća građana. Osigurana su i sredstva za daljnje povećanje plaća svih državnih i javnih službenika i namještenika. Planirana su i povećana izdvajanja za mirovine koja su rezultat indeksacije po općim i posebnim propisima te očekivanog priljeva novih umirovljenika. Prijenosom poslova ureda državne uprave na županije od siječnja 2020. godine građanima će se ponuditi efikasniji i dostupniji sustav javne uprave. Riječ je o reformskoj mjeri ove Vlade koja vodi daljnjoj decentralizaciji radi zadovoljenja javnih potreba </w:t>
      </w:r>
      <w:r w:rsidRPr="00C64161">
        <w:rPr>
          <w:lang w:val="hr-HR"/>
        </w:rPr>
        <w:lastRenderedPageBreak/>
        <w:t>stanovnika u skladu s njihovim sklonostima i potrebama za javnim dobrima i uslugama, kao i poticanja lokalnog i regionalnog razvoja.</w:t>
      </w:r>
    </w:p>
    <w:p w:rsidR="001C074C" w:rsidRPr="001C074C" w:rsidRDefault="00926FAA" w:rsidP="00926FAA">
      <w:pPr>
        <w:spacing w:before="240"/>
        <w:jc w:val="both"/>
        <w:rPr>
          <w:highlight w:val="yellow"/>
          <w:lang w:val="hr-HR"/>
        </w:rPr>
      </w:pPr>
      <w:r w:rsidRPr="00926FAA">
        <w:rPr>
          <w:lang w:val="hr-HR"/>
        </w:rPr>
        <w:t xml:space="preserve">U prvoj polovici 2020. godine RH će po prvi puta predsjedati Vijećem </w:t>
      </w:r>
      <w:r>
        <w:rPr>
          <w:lang w:val="hr-HR"/>
        </w:rPr>
        <w:t>EU</w:t>
      </w:r>
      <w:r w:rsidRPr="00926FAA">
        <w:rPr>
          <w:lang w:val="hr-HR"/>
        </w:rPr>
        <w:t xml:space="preserve">. Predsjedanje Vijećem </w:t>
      </w:r>
      <w:r>
        <w:rPr>
          <w:lang w:val="hr-HR"/>
        </w:rPr>
        <w:t>EU</w:t>
      </w:r>
      <w:r w:rsidRPr="00926FAA">
        <w:rPr>
          <w:lang w:val="hr-HR"/>
        </w:rPr>
        <w:t xml:space="preserve"> je za svaku državu članicu iznimno važna uloga, koja donosi brojne izazove, ali i prilike, kako za državu članicu, tako i za njezinu državnu upravu. Predsjedanje Vijećem </w:t>
      </w:r>
      <w:r>
        <w:rPr>
          <w:lang w:val="hr-HR"/>
        </w:rPr>
        <w:t>EU</w:t>
      </w:r>
      <w:r w:rsidRPr="00926FAA">
        <w:rPr>
          <w:lang w:val="hr-HR"/>
        </w:rPr>
        <w:t xml:space="preserve"> iznimna je prilika da se kroz održavanje brojnih događanja članicama EU približi kultura, umjetnost, povijest, znanost, prirodne ljepote, kao i općenito nacionalni identitet RH. Također, prilika je to za RH, da definirajući svoj program i smjer predsjedanja Vijećem </w:t>
      </w:r>
      <w:r>
        <w:rPr>
          <w:lang w:val="hr-HR"/>
        </w:rPr>
        <w:t>EU</w:t>
      </w:r>
      <w:r w:rsidRPr="00926FAA">
        <w:rPr>
          <w:lang w:val="hr-HR"/>
        </w:rPr>
        <w:t>, pridonese razvoju i nadogradnji europskih politika te tako dodatno potvrdi svoju predanost europskim vrijednostima. Kako poslovi vezani za pripremu i provedbu odluka povezanih s predsjedanjem imaju prioritet u radu svih tijela državne uprave, osiguravaju se i sredstva upravo za navedene namjene.</w:t>
      </w:r>
    </w:p>
    <w:p w:rsidR="001C074C" w:rsidRDefault="001C074C" w:rsidP="00E30E0F">
      <w:pPr>
        <w:spacing w:before="240"/>
        <w:jc w:val="both"/>
        <w:rPr>
          <w:lang w:val="hr-HR"/>
        </w:rPr>
      </w:pPr>
      <w:r w:rsidRPr="00787E2C">
        <w:rPr>
          <w:lang w:val="hr-HR"/>
        </w:rPr>
        <w:t>Opisani smjer fiskalnih kretanja kako na prihodnoj tako i na rashodnoj strani proračuna rezultirat će viškom općeg proračuna prema metodologiji ESA 2010 u iznosu od 0,2% BDP-a u 2020. godini. U 2021. ponovno se predviđa višak od 0,4% BDP-a, dok će pozitivan fiskalni saldo u 2022. iznositi 0,8% BDP-a. Planira se i daljnje smanjenje udjela javnog duga u BDP-u i to za dodatnih 1</w:t>
      </w:r>
      <w:r w:rsidR="00787E2C" w:rsidRPr="00787E2C">
        <w:rPr>
          <w:lang w:val="hr-HR"/>
        </w:rPr>
        <w:t>3</w:t>
      </w:r>
      <w:r w:rsidRPr="00787E2C">
        <w:rPr>
          <w:lang w:val="hr-HR"/>
        </w:rPr>
        <w:t>,</w:t>
      </w:r>
      <w:r w:rsidR="00787E2C" w:rsidRPr="00787E2C">
        <w:rPr>
          <w:lang w:val="hr-HR"/>
        </w:rPr>
        <w:t>2</w:t>
      </w:r>
      <w:r w:rsidRPr="00787E2C">
        <w:rPr>
          <w:lang w:val="hr-HR"/>
        </w:rPr>
        <w:t xml:space="preserve"> postotn</w:t>
      </w:r>
      <w:r w:rsidR="00787E2C" w:rsidRPr="00787E2C">
        <w:rPr>
          <w:lang w:val="hr-HR"/>
        </w:rPr>
        <w:t>a</w:t>
      </w:r>
      <w:r w:rsidRPr="00787E2C">
        <w:rPr>
          <w:lang w:val="hr-HR"/>
        </w:rPr>
        <w:t xml:space="preserve"> bod</w:t>
      </w:r>
      <w:r w:rsidR="00787E2C" w:rsidRPr="00787E2C">
        <w:rPr>
          <w:lang w:val="hr-HR"/>
        </w:rPr>
        <w:t>a</w:t>
      </w:r>
      <w:r w:rsidRPr="00787E2C">
        <w:rPr>
          <w:lang w:val="hr-HR"/>
        </w:rPr>
        <w:t xml:space="preserve"> do 2022. godine</w:t>
      </w:r>
      <w:r w:rsidR="00787E2C">
        <w:rPr>
          <w:lang w:val="hr-HR"/>
        </w:rPr>
        <w:t xml:space="preserve"> odnosno s 74,8% BDP-a u 2018. na 61,6% BDP-a u 2022. godini</w:t>
      </w:r>
      <w:r w:rsidRPr="00787E2C">
        <w:rPr>
          <w:lang w:val="hr-HR"/>
        </w:rPr>
        <w:t xml:space="preserve">. K tome, fiskalne projekcije predstavljene u ovom dokumentu ukazuju da RH ispunjava srednjoročni proračunski cilj od -1% BDP-a u čitavom projekcijskom razdoblju. Ovime se ujedno i ispunjavaju fiskalna pravila sukladno odredbama </w:t>
      </w:r>
      <w:r w:rsidR="00787E2C" w:rsidRPr="00787E2C">
        <w:rPr>
          <w:lang w:val="hr-HR"/>
        </w:rPr>
        <w:t xml:space="preserve">Zakona o fiskalnoj odgovornosti i odredbama </w:t>
      </w:r>
      <w:r w:rsidRPr="00787E2C">
        <w:rPr>
          <w:lang w:val="hr-HR"/>
        </w:rPr>
        <w:t>Preventivnog mehanizma Pakta o stabilnosti i rastu, a čime se osigurava održivo kretanje salda pror</w:t>
      </w:r>
      <w:r w:rsidR="00787E2C">
        <w:rPr>
          <w:lang w:val="hr-HR"/>
        </w:rPr>
        <w:t>ačuna opće države i javnog duga,</w:t>
      </w:r>
      <w:r w:rsidR="00787E2C" w:rsidRPr="00787E2C">
        <w:t xml:space="preserve"> </w:t>
      </w:r>
      <w:r w:rsidR="00787E2C" w:rsidRPr="00787E2C">
        <w:rPr>
          <w:lang w:val="hr-HR"/>
        </w:rPr>
        <w:t xml:space="preserve">a ujedno i fiskalni kriterij koji su preduvjet za ulazak u </w:t>
      </w:r>
      <w:r w:rsidR="00BA4A10">
        <w:rPr>
          <w:lang w:val="hr-HR"/>
        </w:rPr>
        <w:t xml:space="preserve">tečajni </w:t>
      </w:r>
      <w:r w:rsidR="00BA4A10" w:rsidRPr="00787E2C">
        <w:rPr>
          <w:lang w:val="hr-HR"/>
        </w:rPr>
        <w:t xml:space="preserve">mehanizam </w:t>
      </w:r>
      <w:r w:rsidR="00787E2C" w:rsidRPr="00787E2C">
        <w:rPr>
          <w:lang w:val="hr-HR"/>
        </w:rPr>
        <w:t>ERM II</w:t>
      </w:r>
      <w:r w:rsidR="00787E2C">
        <w:rPr>
          <w:lang w:val="hr-HR"/>
        </w:rPr>
        <w:t>.</w:t>
      </w:r>
    </w:p>
    <w:p w:rsidR="001C074C" w:rsidRDefault="001C074C" w:rsidP="00DD59A5">
      <w:pPr>
        <w:spacing w:before="240"/>
        <w:rPr>
          <w:lang w:val="hr-HR"/>
        </w:rPr>
      </w:pPr>
    </w:p>
    <w:p w:rsidR="001C074C" w:rsidRDefault="001C074C" w:rsidP="00DD59A5">
      <w:pPr>
        <w:spacing w:before="240"/>
        <w:rPr>
          <w:lang w:val="hr-HR"/>
        </w:rPr>
      </w:pPr>
    </w:p>
    <w:p w:rsidR="001C074C" w:rsidRDefault="001C074C" w:rsidP="00DD59A5">
      <w:pPr>
        <w:spacing w:before="240"/>
        <w:rPr>
          <w:lang w:val="hr-HR"/>
        </w:rPr>
      </w:pPr>
    </w:p>
    <w:p w:rsidR="001C074C" w:rsidRPr="00F70B2A" w:rsidRDefault="001C074C" w:rsidP="00DD59A5">
      <w:pPr>
        <w:spacing w:before="240"/>
        <w:rPr>
          <w:lang w:val="hr-HR"/>
        </w:rPr>
      </w:pPr>
    </w:p>
    <w:p w:rsidR="00D27552" w:rsidRPr="00F70B2A" w:rsidRDefault="00D27552" w:rsidP="00533F79">
      <w:pPr>
        <w:jc w:val="both"/>
        <w:rPr>
          <w:lang w:val="hr-HR"/>
        </w:rPr>
      </w:pPr>
      <w:r w:rsidRPr="00F70B2A">
        <w:rPr>
          <w:lang w:val="hr-HR"/>
        </w:rPr>
        <w:br w:type="page"/>
      </w:r>
    </w:p>
    <w:p w:rsidR="00695821" w:rsidRPr="00F70B2A" w:rsidRDefault="00695821" w:rsidP="00695821">
      <w:pPr>
        <w:pStyle w:val="Heading1"/>
        <w:numPr>
          <w:ilvl w:val="0"/>
          <w:numId w:val="2"/>
        </w:numPr>
        <w:rPr>
          <w:lang w:val="hr-HR"/>
        </w:rPr>
      </w:pPr>
      <w:bookmarkStart w:id="2" w:name="_Toc23376936"/>
      <w:r w:rsidRPr="00F70B2A">
        <w:rPr>
          <w:lang w:val="hr-HR"/>
        </w:rPr>
        <w:lastRenderedPageBreak/>
        <w:t>MAKROEKONOMSKI OKVIR</w:t>
      </w:r>
      <w:bookmarkEnd w:id="2"/>
    </w:p>
    <w:p w:rsidR="00695821" w:rsidRPr="00F70B2A" w:rsidRDefault="00695821" w:rsidP="00695821">
      <w:pPr>
        <w:rPr>
          <w:lang w:val="hr-HR"/>
        </w:rPr>
      </w:pPr>
    </w:p>
    <w:p w:rsidR="00BF15C5" w:rsidRPr="006A5CEF" w:rsidRDefault="006A5CEF" w:rsidP="006A5CEF">
      <w:pPr>
        <w:spacing w:before="240"/>
        <w:jc w:val="both"/>
        <w:rPr>
          <w:lang w:val="hr-HR"/>
        </w:rPr>
      </w:pPr>
      <w:bookmarkStart w:id="3" w:name="_Toc444156383"/>
      <w:bookmarkStart w:id="4" w:name="_Toc445241790"/>
      <w:r w:rsidRPr="006A5CEF">
        <w:rPr>
          <w:lang w:val="hr-HR"/>
        </w:rPr>
        <w:t>Makroekonomski okvir iz ovog dokumenta sastavljen je u listopadu 2019. godine. Pretpostavke o makroekonomskim kretanjima u međunarodnom okruženju preuzete su iz posljednjih projekcija relevantnih međunarodnih institucija</w:t>
      </w:r>
      <w:r>
        <w:rPr>
          <w:rStyle w:val="FootnoteReference"/>
          <w:lang w:val="hr-HR"/>
        </w:rPr>
        <w:footnoteReference w:id="1"/>
      </w:r>
      <w:r w:rsidRPr="006A5CEF">
        <w:rPr>
          <w:lang w:val="hr-HR"/>
        </w:rPr>
        <w:t>. Iako se u međunarodnom okruženju u narednom razdoblju i dalje očekuju povoljna kretanja, projekcije navedenih institucija zabilježile su negativne korekcije, i to već treći uzastopni put u 2019. godini. Očekivanja rasta BDP-a EU i eurozone, kao i rasta svjetskog gospodarstva, blago su korigirana naniže u 2019. i 2020. godini u usporedbi s prethodnim projekcijama. Projekcija rasta svjetske trgovine također je korigirana naniže u svim projekcijskim godinama te se predviđa da će njezina stopa u 2019. zabilježiti snažno smanjenje i ostati tek neznatno pozitivna, uz blago ubrzavajuću dinamiku u narednim godinama. Očekuje se da će prosječni tečaj eura prema američkom dolaru u idućem razdoblju biti stabilan te iznositi 1,12 USD/EUR. Što se tiče cjenovnih kretanja, predviđa se kako će inflacija u eurozoni usporavati u 2019. i 2020. te u srednjem roku ostati razmjerno niska, a cijene nafte bilježit će smanjenje u čitavom promatranom razdoblju.</w:t>
      </w:r>
    </w:p>
    <w:p w:rsidR="00BF15C5" w:rsidRPr="006A5CEF" w:rsidRDefault="006A5CEF" w:rsidP="006A5CEF">
      <w:pPr>
        <w:spacing w:before="240"/>
        <w:jc w:val="both"/>
        <w:rPr>
          <w:lang w:val="hr-HR"/>
        </w:rPr>
      </w:pPr>
      <w:r w:rsidRPr="006A5CEF">
        <w:rPr>
          <w:lang w:val="hr-HR"/>
        </w:rPr>
        <w:t>U domaćem gospodarstvu u srednjoročnom razdoblju očekuje se nastavak rasta ekonomske aktivnosti. Tako se u 2019. predviđa realni rast BDP-a od 2,8%, u 2020. 2,5% te 2,4% u 2021. i 2022. godini. Kroz čitavo projekcijsko razdoblje gospodarski rast će se temeljiti na doprinosu domaće potražnje, uz blago pozitivan doprinos zaliha u 2019., dok će doprinos neto inozemne potražnje biti negativan te će se u apsolutom iznosu smanjivati prema kraju projekcijskog razdoblja. U usporedbi s posljednjim makroekonomskim projekcijama Vlade RH iz srpnja 2019. godine, u ovom makroekonomskom okviru zadržana je identična projekcija rasta BDP-a u svim g</w:t>
      </w:r>
      <w:r>
        <w:rPr>
          <w:lang w:val="hr-HR"/>
        </w:rPr>
        <w:t>odinama projekcijskog razdoblja</w:t>
      </w:r>
      <w:r>
        <w:rPr>
          <w:rStyle w:val="FootnoteReference"/>
          <w:lang w:val="hr-HR"/>
        </w:rPr>
        <w:footnoteReference w:id="2"/>
      </w:r>
      <w:r w:rsidRPr="006A5CEF">
        <w:rPr>
          <w:lang w:val="hr-HR"/>
        </w:rPr>
        <w:t>. Međutim, do određenih promjena došlo je u strukturi BDP-a s rashodne strane. Pri tome se, u strukturi konačne potražnje u 2019. ističu negativne korekcije kod doprinosa izvoza roba (–0,3 postotna boda) te osobne potrošnje (–0,2 postotna boda ), a oboje prvenstveno kao odraz nepovoljnijih ostvarenja te kretanja relevantnih visokofrekventnih serija, u odnosu na prijašnja očekivanja. Prvenstveno kao rezultat opisane korekcije konačne potražnje umanjen je i očekivan rast uvoza roba i usluga,što je dovelo do smanjenja negativnog doprinosa uvoza rastu BDP-a (od 0,3 postotna boda) u odnosu na prethodnu projekciju. Neznatne pozitivne korekcije u 2019. zabilježili su doprinosi bruto investicija u fiksni kapital, izvoza usluga te državne potrošnje. U 2020. i narednim godinama blago su povećani doprinosi bruto investicija u fiksni kapital (0,2 postotna boda u 2020. te 0,1 postotni bod u 2021. i 2022.), a blago su smanjeni doprinosi izvoza roba (–0,1 postotni bodi u svim godinama), dok su sve ostale promjene u strukturi BDP-a od 2020. do 2022. godine bile tek neznatne.</w:t>
      </w:r>
    </w:p>
    <w:p w:rsidR="006A5CEF" w:rsidRDefault="006A5CEF" w:rsidP="00456F59">
      <w:pPr>
        <w:spacing w:before="240" w:after="0" w:line="240" w:lineRule="auto"/>
        <w:jc w:val="both"/>
        <w:rPr>
          <w:i/>
          <w:highlight w:val="yellow"/>
          <w:lang w:val="hr-HR"/>
        </w:rPr>
      </w:pPr>
    </w:p>
    <w:p w:rsidR="006A5CEF" w:rsidRDefault="006A5CEF" w:rsidP="00456F59">
      <w:pPr>
        <w:spacing w:before="240" w:after="0" w:line="240" w:lineRule="auto"/>
        <w:jc w:val="both"/>
        <w:rPr>
          <w:i/>
          <w:highlight w:val="yellow"/>
          <w:lang w:val="hr-HR"/>
        </w:rPr>
      </w:pPr>
    </w:p>
    <w:p w:rsidR="006A5CEF" w:rsidRDefault="006A5CEF" w:rsidP="00456F59">
      <w:pPr>
        <w:spacing w:before="240" w:after="0" w:line="240" w:lineRule="auto"/>
        <w:jc w:val="both"/>
        <w:rPr>
          <w:i/>
          <w:highlight w:val="yellow"/>
          <w:lang w:val="hr-HR"/>
        </w:rPr>
      </w:pPr>
    </w:p>
    <w:p w:rsidR="006A5CEF" w:rsidRPr="00F70B2A" w:rsidRDefault="00BF15C5" w:rsidP="006A5CEF">
      <w:pPr>
        <w:spacing w:before="240" w:after="120" w:line="240" w:lineRule="auto"/>
        <w:jc w:val="both"/>
        <w:rPr>
          <w:i/>
          <w:lang w:val="hr-HR"/>
        </w:rPr>
      </w:pPr>
      <w:r w:rsidRPr="006A5CEF">
        <w:rPr>
          <w:i/>
          <w:lang w:val="hr-HR"/>
        </w:rPr>
        <w:lastRenderedPageBreak/>
        <w:t xml:space="preserve">Tablica </w:t>
      </w:r>
      <w:r w:rsidRPr="006A5CEF">
        <w:rPr>
          <w:i/>
          <w:lang w:val="hr-HR"/>
        </w:rPr>
        <w:fldChar w:fldCharType="begin"/>
      </w:r>
      <w:r w:rsidRPr="006A5CEF">
        <w:rPr>
          <w:i/>
          <w:lang w:val="hr-HR"/>
        </w:rPr>
        <w:instrText xml:space="preserve"> SEQ Tablica \* ARABIC </w:instrText>
      </w:r>
      <w:r w:rsidRPr="006A5CEF">
        <w:rPr>
          <w:i/>
          <w:lang w:val="hr-HR"/>
        </w:rPr>
        <w:fldChar w:fldCharType="separate"/>
      </w:r>
      <w:r w:rsidR="003E7929">
        <w:rPr>
          <w:i/>
          <w:noProof/>
          <w:lang w:val="hr-HR"/>
        </w:rPr>
        <w:t>1</w:t>
      </w:r>
      <w:r w:rsidRPr="006A5CEF">
        <w:rPr>
          <w:i/>
          <w:lang w:val="hr-HR"/>
        </w:rPr>
        <w:fldChar w:fldCharType="end"/>
      </w:r>
      <w:r w:rsidRPr="006A5CEF">
        <w:rPr>
          <w:i/>
          <w:lang w:val="hr-HR"/>
        </w:rPr>
        <w:t xml:space="preserve">. Projekcije makroekonomskih pokazatelja </w:t>
      </w:r>
      <w:r w:rsidR="001F479B" w:rsidRPr="006A5CEF">
        <w:rPr>
          <w:i/>
          <w:lang w:val="hr-HR"/>
        </w:rPr>
        <w:t>RH</w:t>
      </w:r>
    </w:p>
    <w:p w:rsidR="006A5CEF" w:rsidRDefault="006A5CEF" w:rsidP="00456F59">
      <w:pPr>
        <w:spacing w:line="240" w:lineRule="auto"/>
        <w:rPr>
          <w:i/>
          <w:sz w:val="20"/>
          <w:lang w:val="hr-HR"/>
        </w:rPr>
      </w:pPr>
      <w:r w:rsidRPr="006A5CEF">
        <w:rPr>
          <w:noProof/>
          <w:lang w:val="hr-HR" w:eastAsia="hr-HR"/>
        </w:rPr>
        <w:drawing>
          <wp:inline distT="0" distB="0" distL="0" distR="0" wp14:anchorId="39C8C6B6" wp14:editId="667C179F">
            <wp:extent cx="5760720" cy="600161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6001610"/>
                    </a:xfrm>
                    <a:prstGeom prst="rect">
                      <a:avLst/>
                    </a:prstGeom>
                    <a:noFill/>
                    <a:ln>
                      <a:noFill/>
                    </a:ln>
                  </pic:spPr>
                </pic:pic>
              </a:graphicData>
            </a:graphic>
          </wp:inline>
        </w:drawing>
      </w:r>
    </w:p>
    <w:p w:rsidR="0029489C" w:rsidRDefault="00BF15C5" w:rsidP="00456F59">
      <w:pPr>
        <w:spacing w:line="240" w:lineRule="auto"/>
        <w:rPr>
          <w:i/>
          <w:sz w:val="20"/>
          <w:lang w:val="hr-HR"/>
        </w:rPr>
      </w:pPr>
      <w:r w:rsidRPr="00F70B2A">
        <w:rPr>
          <w:i/>
          <w:sz w:val="20"/>
          <w:lang w:val="hr-HR"/>
        </w:rPr>
        <w:t xml:space="preserve">Izvor: Državni zavod za statistiku, Ministarstvo financija </w:t>
      </w:r>
    </w:p>
    <w:p w:rsidR="006A5CEF" w:rsidRPr="006A5CEF" w:rsidRDefault="006A5CEF" w:rsidP="006A5CEF">
      <w:pPr>
        <w:spacing w:before="240"/>
        <w:jc w:val="both"/>
        <w:rPr>
          <w:lang w:val="hr-HR"/>
        </w:rPr>
      </w:pPr>
      <w:r w:rsidRPr="006A5CEF">
        <w:rPr>
          <w:lang w:val="hr-HR"/>
        </w:rPr>
        <w:t xml:space="preserve">Osobna potrošnja najviše će pridonositi rastu domaće potražnje, ali i ukupnom gospodarskom rastu u srednjoročnom razdoblju. Njena dinamika rezultat je nastavka rasta zaposlenosti i plaća, ali po usporavajućim stopama, u uvjetima nastavka visoke razine potrošačkog povjerenja, zadržavanja niskih kamatnih stopa te niske inflacije. Pozitivan utjecaj na rast plaća u promatranom razdoblju očekuje se i od povećanja koeficijenata na plaće zdravstvenih djelatnika od rujna 2019., zatim podizanja osnovice za plaće zaposlenika u državnim i javnim službama u 2020. (u tri navrata po 2%), ali i od nastavka poreznog rasterećenja. Pri tome će najveći zbirni učinak navedenih administrativnih mjera povećanja plaća javnih zaposlenika na rast agregatnih bruto plaća biti u 2019., u iznosu od oko 1 postotni bod, te u2020. u iznosu od preko 1,5 postotnih bodova, dok se učinak u 2021. godini procjenjuje na oko 0,4 postotna boda. Pod utjecajem povoljnih općih gospodarskih kretanja, ubrzanja kapitalnih priljeva iz EU fondova, zadržavanja povoljnih uvjeta financiranja te očekivanog daljnjeg </w:t>
      </w:r>
      <w:r w:rsidRPr="006A5CEF">
        <w:rPr>
          <w:lang w:val="hr-HR"/>
        </w:rPr>
        <w:lastRenderedPageBreak/>
        <w:t>oporavka građevinskog sektora, u narednom razdoblju očekuje se snažan rast investicijske aktivnosti. Međutim, u 2020. i preostalim godinama projekcijskog razdoblja investicije će ipak bilježiti slabije stope rasta u odnosu na 2019. kada su velikim dijelom bile generirane iznimno snažnim ubrzanjem priljeva kapitalnih fondova EU, prije svega u sektoru opće države. Uzevši u obzir projekcije proračunskih kategorija na razini opće države, tijekom srednjoročnog razdoblja očekuje se umjeren doprinos državne potrošnje gospodarskom rastu, prvenstveno pod utjecajem rasta intermedijarne potrošnje opće države. Prije svega uslijed korekcija očekivanog kretanja inozemne potražnje za domaćim robama u odnosu na prethodne projekcije, ispravljena je naniže dinamika rasta izvoza roba do kraja projekcijskog razdoblja. Pri tome, u skladu s očekivanjima iz međunarodnog okruženja, rast izvoza roba ubrzavat će prema kraju razdoblja. Kroz čitavo projekcijsko razdoblje, izuzev 2019. godine, doprinos izvoza roba nadmašivat će doprinos izvoza usluga, na koji će djelovati slabljenje konjunkture, poglavito u glavnim emitivnim tržištima, zatim nepovoljan učinak zaoštravanja konkurencije u turističkoj djelatnosti, ali i problemi povezani s određenim unutarnjim ograničenjima turističke ponude. Budući da je dinamika konačne potražnje u razdoblju 2020. - 2022. ostala gotovo nepromijenjena u odnosu na prethodne projekcije, realni rast uvoza roba i usluga također se nije znatnije mijenjao, izuzev blagog ispravka naniže dinamike uvoza usluga. Kao rezultat opisane korekcije naniže izvoza roba i usluga, negativan doprinos neto inozemne potražnje u razdoblju 2020. - 2022. bit će nešto viši u odnosu na projekcije iz srpnja (u apsolutnom iznosu od 0,1 postotni bod u sve tri godine).</w:t>
      </w:r>
    </w:p>
    <w:p w:rsidR="006A5CEF" w:rsidRPr="006A5CEF" w:rsidRDefault="006A5CEF" w:rsidP="006A5CEF">
      <w:pPr>
        <w:spacing w:before="240"/>
        <w:jc w:val="both"/>
        <w:rPr>
          <w:lang w:val="hr-HR"/>
        </w:rPr>
      </w:pPr>
      <w:r w:rsidRPr="006A5CEF">
        <w:rPr>
          <w:lang w:val="hr-HR"/>
        </w:rPr>
        <w:t xml:space="preserve">U 2020. godini očekuje se ubrzanje stope inflacije potrošačkih cijena prvenstveno kao posljedica povećanja doprinosa cijena hrane pod utjecajem iščezavanja negativnog učinka smanjenja stope PDV-a na prehrambene proizvode i lijekove iz 2019. Također, nešto snažniji doprinos rastu potrošačkih cijena doći će i od potrošačkih cijena bez hrane i energije, dok se kod cijena energije očekuje neznatan pad uslijed očekivanog smanjenja cijena nafte na svjetskim tržištima. U ostatku projekcijskog razdoblja predviđa se tek neznatno ubrzanje inflacije na 1,4% u 2021. i 2022. godini, uslijed blagog povećanja inflacije u eurozoni, nastavka rasta potrošnje kućanstava, iako usporavajućom dinamikom, te kontinuiranog rasta jediničnog troška rada, u uvjetima stagnacije cijena sirovina na svjetskom tržištu. U čitavom projekcijskom razdoblju, očekuje se nešto brži rast deflatora BDP-a u odnosu na inflaciju potrošačkih cijena, pri čemu će se njihova razlika smanjivati prema kraju projekcijskog razdoblja, prvenstveno prateći dinamiku promjene uvjeta razmjene. Pri tome se najznačajnije promjene u odnosu na prethodnu projekciju odnose na blagu korekciju naviše deflatora izvoza roba i usluga u 2019., prvenstveno kao rezultat snažnijih ostvarenja u drugom tromjesečju, te znatnu korekciju naviše deflatora državne potrošnje u 2020. (koja je u najvećoj mjeri uvjetovala i ispravak naviše deflatora BDP-a u 2020. za 0,5 postotnih bodova), uslijed administrativnih mjera povećanja plaća javnih zaposlenika. </w:t>
      </w:r>
    </w:p>
    <w:p w:rsidR="006A5CEF" w:rsidRPr="006A5CEF" w:rsidRDefault="006A5CEF" w:rsidP="006A5CEF">
      <w:pPr>
        <w:spacing w:before="240"/>
        <w:jc w:val="both"/>
        <w:rPr>
          <w:lang w:val="hr-HR"/>
        </w:rPr>
      </w:pPr>
      <w:r w:rsidRPr="006A5CEF">
        <w:rPr>
          <w:lang w:val="hr-HR"/>
        </w:rPr>
        <w:t xml:space="preserve">U skladu s rastom gospodarske aktivnosti, u srednjoročnom razdoblju očekuje se umjeren rast zaposlenosti, koji će biti nešto izraženiji tijekom 2019. uslijed snažne potražnje za radom, te će usporavati prema kraju projekcijskog razdoblja. Izraženije smanjenje stope anketne nezaposlenosti nastavit će se još u 2019. i 2020. godini nakon čega će nastupiti njezina stabilizacija. Za ostvarenje opisanih kretanja ključna je pretpostavka o nastavku usporavanja odljeva radno sposobnog stanovništva te daljnjoj planiranoj imigraciji kroz sustav kvota. Usporavanje rasta bruto plaća u 2019. rezultat je primjetne promjene trenda počevši od kraja 2018. dok je snažan rast plaća u 2020. godini pod znatnim utjecajem opisanih administrativnih mjera. Utjecaj neravnoteža ponude i potražnje za </w:t>
      </w:r>
      <w:r w:rsidRPr="006A5CEF">
        <w:rPr>
          <w:lang w:val="hr-HR"/>
        </w:rPr>
        <w:lastRenderedPageBreak/>
        <w:t>radom u pojedinim djelatnostima, koji je bio osobito izražen proteklih godina, jenjavat će prema kraju promatranog razdoblja. Uslijed bržeg rasta bruto naknada po zaposleniku od rasta produktivnosti rada, kroz čitavo srednjoročno razdoblje predviđa se umjereni rast jediničnog troška rada, uz njegov snažniji rast u 2020. pod utjecajem dinamičnog rasta plaća.</w:t>
      </w:r>
    </w:p>
    <w:p w:rsidR="006A5CEF" w:rsidRPr="006A5CEF" w:rsidRDefault="006A5CEF" w:rsidP="006A5CEF">
      <w:pPr>
        <w:spacing w:before="240"/>
        <w:jc w:val="both"/>
        <w:rPr>
          <w:lang w:val="hr-HR"/>
        </w:rPr>
      </w:pPr>
      <w:r w:rsidRPr="006A5CEF">
        <w:rPr>
          <w:lang w:val="hr-HR"/>
        </w:rPr>
        <w:t>Projekcija gospodarskog rasta izložena je prevladavajuće negativnim rizicima, pri čemu oni prvenstveno proizlaze iz vanjskog okruženja, a odnose se na sporiji rast glavnih hrvatskih vanjskotrgovinskih partnera, u uvjetima jačanja protekcionističkih politika, geopolitičkih napetosti, kao i dalje visoke razine neizvjesnosti glede izlaska Ujedinjenog Kraljevstva iz EU-a. Što se tiče domaćih rizika, iako prigušeniji nego u prethodnim projekcijama, rizici vezani uz srednjoročna ograničenja na strani ponude i nadalje ostaju prisutni, što se prvenstveno odnosi na nedostatke povezane s veličinom i strukturom radne snage. Glavni rizici koji bi mogli uzrokovati drugačije ostvarenje stope inflacije od prognozirane vezani su uz kretanje cijena nafte na svjetskom tržištu te promjene u administrativno reguliranim cijenama.</w:t>
      </w:r>
    </w:p>
    <w:bookmarkEnd w:id="3"/>
    <w:bookmarkEnd w:id="4"/>
    <w:p w:rsidR="00695821" w:rsidRPr="00F70B2A" w:rsidRDefault="00695821" w:rsidP="00283E07">
      <w:pPr>
        <w:jc w:val="both"/>
        <w:rPr>
          <w:lang w:val="hr-HR"/>
        </w:rPr>
      </w:pPr>
      <w:r w:rsidRPr="00F70B2A">
        <w:rPr>
          <w:lang w:val="hr-HR"/>
        </w:rPr>
        <w:t xml:space="preserve"> </w:t>
      </w:r>
      <w:r w:rsidRPr="00F70B2A">
        <w:rPr>
          <w:lang w:val="hr-HR"/>
        </w:rPr>
        <w:br w:type="page"/>
      </w:r>
    </w:p>
    <w:p w:rsidR="00A65DDC" w:rsidRPr="00F70B2A" w:rsidRDefault="00695821" w:rsidP="0029489C">
      <w:pPr>
        <w:pStyle w:val="Heading1"/>
        <w:numPr>
          <w:ilvl w:val="0"/>
          <w:numId w:val="17"/>
        </w:numPr>
        <w:rPr>
          <w:lang w:val="hr-HR"/>
        </w:rPr>
      </w:pPr>
      <w:bookmarkStart w:id="5" w:name="_Toc23376937"/>
      <w:r w:rsidRPr="00F70B2A">
        <w:rPr>
          <w:lang w:val="hr-HR"/>
        </w:rPr>
        <w:lastRenderedPageBreak/>
        <w:t>PRIHODI DRŽAVNOG PRORAČUNA</w:t>
      </w:r>
      <w:bookmarkEnd w:id="5"/>
      <w:r w:rsidRPr="00F70B2A">
        <w:rPr>
          <w:lang w:val="hr-HR"/>
        </w:rPr>
        <w:t xml:space="preserve"> </w:t>
      </w:r>
    </w:p>
    <w:p w:rsidR="00A65DDC" w:rsidRPr="00F70B2A" w:rsidRDefault="00A65DDC" w:rsidP="000738DE">
      <w:pPr>
        <w:spacing w:before="240"/>
        <w:rPr>
          <w:lang w:val="hr-HR"/>
        </w:rPr>
      </w:pPr>
    </w:p>
    <w:p w:rsidR="00A061E8" w:rsidRPr="00F70B2A" w:rsidRDefault="00A061E8" w:rsidP="00A061E8">
      <w:pPr>
        <w:spacing w:after="120"/>
        <w:jc w:val="both"/>
        <w:rPr>
          <w:lang w:val="hr-HR"/>
        </w:rPr>
      </w:pPr>
      <w:bookmarkStart w:id="6" w:name="_Toc445241791"/>
      <w:r w:rsidRPr="00F70B2A">
        <w:rPr>
          <w:lang w:val="hr-HR"/>
        </w:rPr>
        <w:t xml:space="preserve">Projekcija prihoda državnog proračuna u razdoblju 2020. – 2022. temelji se na očekivanom rastu gospodarske aktivnosti, </w:t>
      </w:r>
      <w:r w:rsidRPr="00F70B2A">
        <w:rPr>
          <w:rFonts w:ascii="Calibri" w:hAnsi="Calibri"/>
          <w:lang w:val="hr-HR"/>
        </w:rPr>
        <w:t>uzimajući u obzir fiskalne učinke provedenog poreznog rasterećenja u 2019., a koje svoj cjelogodišnji učinak imaju u 2020. kao i učinke najavljenih poreznih izmjena od 1. siječnja 2020. godine.</w:t>
      </w:r>
      <w:r w:rsidRPr="00F70B2A">
        <w:rPr>
          <w:lang w:val="hr-HR"/>
        </w:rPr>
        <w:t xml:space="preserve"> </w:t>
      </w:r>
    </w:p>
    <w:p w:rsidR="00A061E8" w:rsidRPr="00F70B2A" w:rsidRDefault="00A061E8" w:rsidP="00A061E8">
      <w:pPr>
        <w:jc w:val="both"/>
        <w:rPr>
          <w:rFonts w:ascii="Calibri" w:hAnsi="Calibri"/>
          <w:lang w:val="hr-HR"/>
        </w:rPr>
      </w:pPr>
      <w:r w:rsidRPr="00F70B2A">
        <w:rPr>
          <w:lang w:val="hr-HR"/>
        </w:rPr>
        <w:t>Najznačajnije izmjene s fiskalnim učinkom na prihode državnog proračuna odnose se na promjene u oporezivanju porezom na dodanu vrijednost</w:t>
      </w:r>
      <w:r w:rsidR="008536D4">
        <w:rPr>
          <w:lang w:val="hr-HR"/>
        </w:rPr>
        <w:t>,</w:t>
      </w:r>
      <w:r w:rsidRPr="00F70B2A">
        <w:rPr>
          <w:lang w:val="hr-HR"/>
        </w:rPr>
        <w:t xml:space="preserve"> </w:t>
      </w:r>
      <w:r w:rsidR="006E649F">
        <w:rPr>
          <w:lang w:val="hr-HR"/>
        </w:rPr>
        <w:t>o</w:t>
      </w:r>
      <w:r w:rsidR="008536D4">
        <w:rPr>
          <w:lang w:val="hr-HR"/>
        </w:rPr>
        <w:t>dnosno na zadržavanje opće stope</w:t>
      </w:r>
      <w:r w:rsidR="006E649F">
        <w:rPr>
          <w:lang w:val="hr-HR"/>
        </w:rPr>
        <w:t xml:space="preserve"> PDV-a od 25% te na</w:t>
      </w:r>
      <w:r w:rsidRPr="00F70B2A">
        <w:rPr>
          <w:lang w:val="hr-HR"/>
        </w:rPr>
        <w:t xml:space="preserve"> smanjenje </w:t>
      </w:r>
      <w:r w:rsidR="006E649F">
        <w:rPr>
          <w:lang w:val="hr-HR"/>
        </w:rPr>
        <w:t xml:space="preserve">stope </w:t>
      </w:r>
      <w:r w:rsidRPr="00F70B2A">
        <w:rPr>
          <w:lang w:val="hr-HR"/>
        </w:rPr>
        <w:t xml:space="preserve">PDV-a </w:t>
      </w:r>
      <w:r w:rsidR="006E649F" w:rsidRPr="00F70B2A">
        <w:rPr>
          <w:lang w:val="hr-HR"/>
        </w:rPr>
        <w:t>s 25% na 13%</w:t>
      </w:r>
      <w:r w:rsidR="006E649F">
        <w:rPr>
          <w:lang w:val="hr-HR"/>
        </w:rPr>
        <w:t xml:space="preserve"> </w:t>
      </w:r>
      <w:r w:rsidRPr="00F70B2A">
        <w:rPr>
          <w:lang w:val="hr-HR"/>
        </w:rPr>
        <w:t xml:space="preserve">za pripremu i usluživanje </w:t>
      </w:r>
      <w:r w:rsidR="0046251A">
        <w:rPr>
          <w:lang w:val="hr-HR"/>
        </w:rPr>
        <w:t>jela i slastica</w:t>
      </w:r>
      <w:r w:rsidRPr="00F70B2A">
        <w:rPr>
          <w:lang w:val="hr-HR"/>
        </w:rPr>
        <w:t xml:space="preserve"> u ugostiteljstvu. Osim toga, novim krugom porezne reforme predviđene su i izmjene u sustavu oporezivanja dobiti gdje se povećava iznos </w:t>
      </w:r>
      <w:r w:rsidR="006E649F">
        <w:rPr>
          <w:lang w:val="hr-HR"/>
        </w:rPr>
        <w:t xml:space="preserve">ostvarenih </w:t>
      </w:r>
      <w:r w:rsidRPr="00F70B2A">
        <w:rPr>
          <w:lang w:val="hr-HR"/>
        </w:rPr>
        <w:t xml:space="preserve">prihoda s 3 na 7,5 milijuna kuna </w:t>
      </w:r>
      <w:r w:rsidR="006E649F">
        <w:rPr>
          <w:lang w:val="hr-HR"/>
        </w:rPr>
        <w:t>za plaćanje poreza</w:t>
      </w:r>
      <w:r w:rsidRPr="00F70B2A">
        <w:rPr>
          <w:lang w:val="hr-HR"/>
        </w:rPr>
        <w:t xml:space="preserve"> na dobit </w:t>
      </w:r>
      <w:r w:rsidR="006E649F">
        <w:rPr>
          <w:lang w:val="hr-HR"/>
        </w:rPr>
        <w:t xml:space="preserve">po stopi </w:t>
      </w:r>
      <w:r w:rsidRPr="00F70B2A">
        <w:rPr>
          <w:lang w:val="hr-HR"/>
        </w:rPr>
        <w:t xml:space="preserve">od 12%. Time će dodatnih 10.000 </w:t>
      </w:r>
      <w:r w:rsidR="00AA6B2D">
        <w:rPr>
          <w:lang w:val="hr-HR"/>
        </w:rPr>
        <w:t>malih i srednjih poduzetnika</w:t>
      </w:r>
      <w:r w:rsidRPr="00F70B2A">
        <w:rPr>
          <w:lang w:val="hr-HR"/>
        </w:rPr>
        <w:t xml:space="preserve"> odnosno ukupno 93% obveznika poreza na dobit biti u primjeni stope od 12%. Izmjenama u sustavu posebnih poreza i trošarina predviđa se </w:t>
      </w:r>
      <w:r w:rsidRPr="00F70B2A">
        <w:rPr>
          <w:rFonts w:ascii="Calibri" w:hAnsi="Calibri"/>
          <w:lang w:val="hr-HR"/>
        </w:rPr>
        <w:t xml:space="preserve">povrat dijela plaćene trošarine na dizelsko gorivo koje se koristi </w:t>
      </w:r>
      <w:r w:rsidR="00AA6B2D">
        <w:rPr>
          <w:rFonts w:ascii="Calibri" w:hAnsi="Calibri"/>
          <w:lang w:val="hr-HR"/>
        </w:rPr>
        <w:t xml:space="preserve">za pogon </w:t>
      </w:r>
      <w:r w:rsidRPr="00F70B2A">
        <w:rPr>
          <w:rFonts w:ascii="Calibri" w:hAnsi="Calibri"/>
          <w:lang w:val="hr-HR"/>
        </w:rPr>
        <w:t xml:space="preserve">u željezničkom </w:t>
      </w:r>
      <w:r w:rsidR="00191121">
        <w:rPr>
          <w:rFonts w:ascii="Calibri" w:hAnsi="Calibri"/>
          <w:lang w:val="hr-HR"/>
        </w:rPr>
        <w:t>prometu</w:t>
      </w:r>
      <w:r w:rsidR="00AA6B2D">
        <w:rPr>
          <w:rFonts w:ascii="Calibri" w:hAnsi="Calibri"/>
          <w:lang w:val="hr-HR"/>
        </w:rPr>
        <w:t xml:space="preserve"> </w:t>
      </w:r>
      <w:r w:rsidRPr="00F70B2A">
        <w:rPr>
          <w:rFonts w:ascii="Calibri" w:hAnsi="Calibri"/>
          <w:lang w:val="hr-HR"/>
        </w:rPr>
        <w:t xml:space="preserve">robe i putnika te potpuno oslobođenje od plaćanja trošarine na električnu energiju u željezničkom </w:t>
      </w:r>
      <w:r w:rsidR="00191121">
        <w:rPr>
          <w:rFonts w:ascii="Calibri" w:hAnsi="Calibri"/>
          <w:lang w:val="hr-HR"/>
        </w:rPr>
        <w:t>prometu</w:t>
      </w:r>
      <w:r w:rsidRPr="00F70B2A">
        <w:rPr>
          <w:rFonts w:ascii="Calibri" w:hAnsi="Calibri"/>
          <w:lang w:val="hr-HR"/>
        </w:rPr>
        <w:t xml:space="preserve"> robe i putnika. Također, u sustavu poreza na dohodak </w:t>
      </w:r>
      <w:r w:rsidR="00AA6B2D">
        <w:rPr>
          <w:rFonts w:ascii="Calibri" w:hAnsi="Calibri"/>
          <w:lang w:val="hr-HR"/>
        </w:rPr>
        <w:t xml:space="preserve">predviđa se porezno rasterećenje mladih osoba do 30 godina smanjenjem porezne obveze za 100% do 25 godina starosti, a za 50% od 26 do 30 godina starosti. Uz to, </w:t>
      </w:r>
      <w:r w:rsidRPr="00F70B2A">
        <w:rPr>
          <w:rFonts w:ascii="Calibri" w:hAnsi="Calibri"/>
          <w:lang w:val="hr-HR"/>
        </w:rPr>
        <w:t xml:space="preserve">povećava se </w:t>
      </w:r>
      <w:r w:rsidR="00AA6B2D">
        <w:rPr>
          <w:rFonts w:ascii="Calibri" w:hAnsi="Calibri"/>
          <w:lang w:val="hr-HR"/>
        </w:rPr>
        <w:t xml:space="preserve">i </w:t>
      </w:r>
      <w:r w:rsidRPr="00F70B2A">
        <w:rPr>
          <w:rFonts w:ascii="Calibri" w:hAnsi="Calibri"/>
          <w:lang w:val="hr-HR"/>
        </w:rPr>
        <w:t>osnovni osobni odbitak koji će od 1. siječnja 2020. iznositi 4.000 kuna</w:t>
      </w:r>
      <w:r w:rsidR="00AA6B2D">
        <w:rPr>
          <w:rFonts w:ascii="Calibri" w:hAnsi="Calibri"/>
          <w:lang w:val="hr-HR"/>
        </w:rPr>
        <w:t>, čime se</w:t>
      </w:r>
      <w:r w:rsidRPr="00F70B2A">
        <w:rPr>
          <w:rFonts w:ascii="Calibri" w:hAnsi="Calibri"/>
          <w:lang w:val="hr-HR"/>
        </w:rPr>
        <w:t xml:space="preserve"> povećava </w:t>
      </w:r>
      <w:r w:rsidR="00AA6B2D">
        <w:rPr>
          <w:rFonts w:ascii="Calibri" w:hAnsi="Calibri"/>
          <w:lang w:val="hr-HR"/>
        </w:rPr>
        <w:t>r</w:t>
      </w:r>
      <w:r w:rsidRPr="00F70B2A">
        <w:rPr>
          <w:rFonts w:ascii="Calibri" w:hAnsi="Calibri"/>
          <w:lang w:val="hr-HR"/>
        </w:rPr>
        <w:t xml:space="preserve">aspoloživi dohodak stanovništva. Uz navedeno, provest će se i promjena </w:t>
      </w:r>
      <w:r w:rsidR="00191121">
        <w:rPr>
          <w:rFonts w:ascii="Calibri" w:hAnsi="Calibri"/>
          <w:lang w:val="hr-HR"/>
        </w:rPr>
        <w:t xml:space="preserve">u modelu </w:t>
      </w:r>
      <w:r w:rsidRPr="00F70B2A">
        <w:rPr>
          <w:rFonts w:ascii="Calibri" w:hAnsi="Calibri"/>
          <w:lang w:val="hr-HR"/>
        </w:rPr>
        <w:t xml:space="preserve">oporezivanja bezalkoholnih pića po </w:t>
      </w:r>
      <w:r w:rsidR="00191121" w:rsidRPr="00191121">
        <w:rPr>
          <w:rFonts w:ascii="Calibri" w:hAnsi="Calibri"/>
          <w:lang w:val="hr-HR"/>
        </w:rPr>
        <w:t xml:space="preserve">volumenu i sadržaju šećera te taurina i </w:t>
      </w:r>
      <w:r w:rsidR="002B4FEB">
        <w:rPr>
          <w:rFonts w:ascii="Calibri" w:hAnsi="Calibri"/>
          <w:lang w:val="hr-HR"/>
        </w:rPr>
        <w:t xml:space="preserve"> </w:t>
      </w:r>
      <w:r w:rsidR="00191121" w:rsidRPr="00191121">
        <w:rPr>
          <w:rFonts w:ascii="Calibri" w:hAnsi="Calibri"/>
          <w:lang w:val="hr-HR"/>
        </w:rPr>
        <w:t xml:space="preserve">metil-ksanina (za energetska pića) umjesto dosadašnjeg linearnog količinskog oporezivanja po hektolitru </w:t>
      </w:r>
      <w:r w:rsidRPr="00F70B2A">
        <w:rPr>
          <w:rFonts w:ascii="Calibri" w:hAnsi="Calibri"/>
          <w:lang w:val="hr-HR"/>
        </w:rPr>
        <w:t>te daljnje korekcije iznosa trošarina na alkohol i duhan.</w:t>
      </w:r>
    </w:p>
    <w:p w:rsidR="00A061E8" w:rsidRPr="00F70B2A" w:rsidRDefault="00A061E8" w:rsidP="00A061E8">
      <w:pPr>
        <w:spacing w:after="120"/>
        <w:jc w:val="both"/>
        <w:rPr>
          <w:lang w:val="hr-HR"/>
        </w:rPr>
      </w:pPr>
      <w:r w:rsidRPr="00F70B2A">
        <w:rPr>
          <w:lang w:val="hr-HR"/>
        </w:rPr>
        <w:t>Značajan učinak na prihode državnog proračuna u razdoblju 2020.</w:t>
      </w:r>
      <w:r w:rsidR="004E0BEF" w:rsidRPr="00F70B2A">
        <w:rPr>
          <w:lang w:val="hr-HR"/>
        </w:rPr>
        <w:t xml:space="preserve"> </w:t>
      </w:r>
      <w:r w:rsidRPr="00F70B2A">
        <w:rPr>
          <w:lang w:val="hr-HR"/>
        </w:rPr>
        <w:t>-</w:t>
      </w:r>
      <w:r w:rsidR="004E0BEF" w:rsidRPr="00F70B2A">
        <w:rPr>
          <w:lang w:val="hr-HR"/>
        </w:rPr>
        <w:t xml:space="preserve"> </w:t>
      </w:r>
      <w:r w:rsidRPr="00F70B2A">
        <w:rPr>
          <w:lang w:val="hr-HR"/>
        </w:rPr>
        <w:t xml:space="preserve">2022. imat će i povlačenje sredstava iz EU fondova gdje se očekuje nastavak </w:t>
      </w:r>
      <w:r w:rsidR="009563CD">
        <w:rPr>
          <w:lang w:val="hr-HR"/>
        </w:rPr>
        <w:t>ubrzanja apsorpcije sredstava iz EU fondova</w:t>
      </w:r>
      <w:r w:rsidRPr="00F70B2A">
        <w:rPr>
          <w:lang w:val="hr-HR"/>
        </w:rPr>
        <w:t>.</w:t>
      </w:r>
    </w:p>
    <w:p w:rsidR="00A061E8" w:rsidRPr="00F70B2A" w:rsidRDefault="00A061E8" w:rsidP="00A061E8">
      <w:pPr>
        <w:spacing w:after="120"/>
        <w:jc w:val="both"/>
        <w:rPr>
          <w:lang w:val="hr-HR"/>
        </w:rPr>
      </w:pPr>
      <w:r w:rsidRPr="000857E3">
        <w:rPr>
          <w:lang w:val="hr-HR"/>
        </w:rPr>
        <w:t>Sukladno navedenom, ukupni prihodi u 2020. godini planirani su u iznosu od 145,1 milijardu kuna, dok su za 2021. projicirani u iznosu od 148,8 milijardi kuna. Daljnjim rastom gospodarske aktivnosti prema kraju razdoblja ukupni prihodi proračuna za 2022. godinu projicira</w:t>
      </w:r>
      <w:r w:rsidR="009563CD" w:rsidRPr="000857E3">
        <w:rPr>
          <w:lang w:val="hr-HR"/>
        </w:rPr>
        <w:t>ni s</w:t>
      </w:r>
      <w:r w:rsidRPr="000857E3">
        <w:rPr>
          <w:lang w:val="hr-HR"/>
        </w:rPr>
        <w:t xml:space="preserve">u </w:t>
      </w:r>
      <w:r w:rsidR="009563CD" w:rsidRPr="000857E3">
        <w:rPr>
          <w:lang w:val="hr-HR"/>
        </w:rPr>
        <w:t xml:space="preserve">u </w:t>
      </w:r>
      <w:r w:rsidRPr="000857E3">
        <w:rPr>
          <w:lang w:val="hr-HR"/>
        </w:rPr>
        <w:t>iznosu od 152,5 milijardi kuna.</w:t>
      </w:r>
    </w:p>
    <w:p w:rsidR="00A061E8" w:rsidRPr="00F70B2A" w:rsidRDefault="00A061E8" w:rsidP="00A061E8">
      <w:pPr>
        <w:spacing w:after="120"/>
        <w:jc w:val="both"/>
        <w:rPr>
          <w:lang w:val="hr-HR"/>
        </w:rPr>
      </w:pPr>
    </w:p>
    <w:p w:rsidR="00A061E8" w:rsidRPr="00F70B2A" w:rsidRDefault="00A061E8" w:rsidP="00A061E8">
      <w:pPr>
        <w:jc w:val="both"/>
        <w:rPr>
          <w:b/>
          <w:i/>
          <w:lang w:val="hr-HR"/>
        </w:rPr>
      </w:pPr>
      <w:r w:rsidRPr="00F70B2A">
        <w:rPr>
          <w:b/>
          <w:i/>
          <w:lang w:val="hr-HR"/>
        </w:rPr>
        <w:t>Porezni prihodi</w:t>
      </w:r>
    </w:p>
    <w:p w:rsidR="00A061E8" w:rsidRPr="00F70B2A" w:rsidRDefault="00A061E8" w:rsidP="00A061E8">
      <w:pPr>
        <w:spacing w:after="120"/>
        <w:jc w:val="both"/>
        <w:rPr>
          <w:lang w:val="hr-HR"/>
        </w:rPr>
      </w:pPr>
      <w:r w:rsidRPr="00F70B2A">
        <w:rPr>
          <w:lang w:val="hr-HR"/>
        </w:rPr>
        <w:t xml:space="preserve">Porezni prihodi za razdoblje 2020. – 2022. projicirani su na temelju makroekonomskih pretpostavki, uzimajući u obzir prethodno spomenute izmjene u poreznom zakonodavstvu. </w:t>
      </w:r>
      <w:bookmarkStart w:id="7" w:name="_Toc119810574"/>
      <w:bookmarkStart w:id="8" w:name="_Toc119828133"/>
    </w:p>
    <w:p w:rsidR="00A061E8" w:rsidRPr="00F70B2A" w:rsidRDefault="00A061E8" w:rsidP="00A061E8">
      <w:pPr>
        <w:spacing w:after="120"/>
        <w:jc w:val="both"/>
        <w:rPr>
          <w:lang w:val="hr-HR"/>
        </w:rPr>
      </w:pPr>
      <w:r w:rsidRPr="00F70B2A">
        <w:rPr>
          <w:lang w:val="hr-HR"/>
        </w:rPr>
        <w:t xml:space="preserve">U skladu s </w:t>
      </w:r>
      <w:r w:rsidRPr="00423C96">
        <w:rPr>
          <w:lang w:val="hr-HR"/>
        </w:rPr>
        <w:t xml:space="preserve">navedenim, porezni prihodi u 2020. godini </w:t>
      </w:r>
      <w:r w:rsidR="000857E3" w:rsidRPr="00423C96">
        <w:rPr>
          <w:lang w:val="hr-HR"/>
        </w:rPr>
        <w:t>planirani</w:t>
      </w:r>
      <w:r w:rsidRPr="00423C96">
        <w:rPr>
          <w:lang w:val="hr-HR"/>
        </w:rPr>
        <w:t xml:space="preserve"> su u iznosu od </w:t>
      </w:r>
      <w:r w:rsidR="000857E3" w:rsidRPr="00423C96">
        <w:rPr>
          <w:lang w:val="hr-HR"/>
        </w:rPr>
        <w:t>84,1</w:t>
      </w:r>
      <w:r w:rsidRPr="00423C96">
        <w:rPr>
          <w:lang w:val="hr-HR"/>
        </w:rPr>
        <w:t xml:space="preserve"> milijard</w:t>
      </w:r>
      <w:r w:rsidR="000857E3" w:rsidRPr="00423C96">
        <w:rPr>
          <w:lang w:val="hr-HR"/>
        </w:rPr>
        <w:t>u</w:t>
      </w:r>
      <w:r w:rsidRPr="00423C96">
        <w:rPr>
          <w:lang w:val="hr-HR"/>
        </w:rPr>
        <w:t xml:space="preserve"> kuna. U narednim godinama</w:t>
      </w:r>
      <w:r w:rsidR="00423C96" w:rsidRPr="00423C96">
        <w:rPr>
          <w:lang w:val="hr-HR"/>
        </w:rPr>
        <w:t xml:space="preserve"> </w:t>
      </w:r>
      <w:r w:rsidRPr="00423C96">
        <w:rPr>
          <w:lang w:val="hr-HR"/>
        </w:rPr>
        <w:t>očekuje se daljnji rast prihoda od poreza te su oni za 2021. projicirani u iznosu od 86,7 milijardi kuna, odnosno uz međugodišnji rast od 3,1%, dok se u 2022. godini očekuju u iznosu od 89,5 milijardi kuna i bilježe rast od 3,2%.</w:t>
      </w:r>
      <w:r w:rsidRPr="00F70B2A">
        <w:rPr>
          <w:lang w:val="hr-HR"/>
        </w:rPr>
        <w:t xml:space="preserve"> </w:t>
      </w:r>
    </w:p>
    <w:p w:rsidR="00A061E8" w:rsidRDefault="00A061E8" w:rsidP="00A061E8">
      <w:pPr>
        <w:spacing w:after="120"/>
        <w:jc w:val="both"/>
        <w:rPr>
          <w:lang w:val="hr-HR"/>
        </w:rPr>
      </w:pPr>
    </w:p>
    <w:p w:rsidR="000D50A8" w:rsidRDefault="000D50A8" w:rsidP="00A061E8">
      <w:pPr>
        <w:spacing w:after="120"/>
        <w:jc w:val="both"/>
        <w:rPr>
          <w:lang w:val="hr-HR"/>
        </w:rPr>
      </w:pPr>
    </w:p>
    <w:p w:rsidR="000D50A8" w:rsidRPr="00F70B2A" w:rsidRDefault="000D50A8" w:rsidP="00A061E8">
      <w:pPr>
        <w:spacing w:after="120"/>
        <w:jc w:val="both"/>
        <w:rPr>
          <w:lang w:val="hr-HR"/>
        </w:rPr>
      </w:pPr>
    </w:p>
    <w:p w:rsidR="00A061E8" w:rsidRPr="00F70B2A" w:rsidRDefault="00A061E8" w:rsidP="00A061E8">
      <w:pPr>
        <w:spacing w:after="120"/>
        <w:jc w:val="both"/>
        <w:rPr>
          <w:b/>
          <w:i/>
          <w:lang w:val="hr-HR"/>
        </w:rPr>
      </w:pPr>
      <w:bookmarkStart w:id="9" w:name="_Toc119810575"/>
      <w:bookmarkStart w:id="10" w:name="_Toc119828134"/>
      <w:r w:rsidRPr="00F70B2A">
        <w:rPr>
          <w:b/>
          <w:i/>
          <w:lang w:val="hr-HR"/>
        </w:rPr>
        <w:lastRenderedPageBreak/>
        <w:t>Porez na dobit</w:t>
      </w:r>
      <w:bookmarkEnd w:id="9"/>
      <w:bookmarkEnd w:id="10"/>
    </w:p>
    <w:p w:rsidR="00A061E8" w:rsidRPr="00F70B2A" w:rsidRDefault="00A061E8" w:rsidP="00A061E8">
      <w:pPr>
        <w:jc w:val="both"/>
        <w:rPr>
          <w:lang w:val="hr-HR"/>
        </w:rPr>
      </w:pPr>
      <w:r w:rsidRPr="00F70B2A">
        <w:rPr>
          <w:lang w:val="hr-HR"/>
        </w:rPr>
        <w:t>Porez na dobit u tekućoj godini plaća se na temelju poslovanja poduzetnika prethodne godine. Plan kretanja prih</w:t>
      </w:r>
      <w:r w:rsidR="000D50A8">
        <w:rPr>
          <w:lang w:val="hr-HR"/>
        </w:rPr>
        <w:t>oda od poreza na dobit za 2020.</w:t>
      </w:r>
      <w:r w:rsidRPr="00F70B2A">
        <w:rPr>
          <w:lang w:val="hr-HR"/>
        </w:rPr>
        <w:t xml:space="preserve"> te projekcije za 2021. i 2022. godinu </w:t>
      </w:r>
      <w:r w:rsidR="000D50A8">
        <w:rPr>
          <w:lang w:val="hr-HR"/>
        </w:rPr>
        <w:t>iz</w:t>
      </w:r>
      <w:r w:rsidRPr="00F70B2A">
        <w:rPr>
          <w:lang w:val="hr-HR"/>
        </w:rPr>
        <w:t xml:space="preserve">rađene su temeljem procjene poslovanja gospodarskih subjekata i očekivanih učinaka porezne reforme. Prihod od poreza na dobit za 2020. planiran je u iznosu </w:t>
      </w:r>
      <w:r w:rsidRPr="000D50A8">
        <w:rPr>
          <w:lang w:val="hr-HR"/>
        </w:rPr>
        <w:t>od 9,3 milijarde kuna</w:t>
      </w:r>
      <w:r w:rsidRPr="00F70B2A">
        <w:rPr>
          <w:lang w:val="hr-HR"/>
        </w:rPr>
        <w:t xml:space="preserve">, dok projekcija za 2021. iznosi </w:t>
      </w:r>
      <w:r w:rsidRPr="000D50A8">
        <w:rPr>
          <w:lang w:val="hr-HR"/>
        </w:rPr>
        <w:t xml:space="preserve">9,7 milijardi kuna te 10 milijardi kuna za 2022. godinu. Porezno rasterećenje koje se provodi izmjenom Zakona o porezu na dobit </w:t>
      </w:r>
      <w:r w:rsidR="000D50A8" w:rsidRPr="000D50A8">
        <w:rPr>
          <w:lang w:val="hr-HR"/>
        </w:rPr>
        <w:t>procjenjuje se na</w:t>
      </w:r>
      <w:r w:rsidRPr="000D50A8">
        <w:rPr>
          <w:lang w:val="hr-HR"/>
        </w:rPr>
        <w:t xml:space="preserve"> 200 milijuna kuna.</w:t>
      </w:r>
      <w:r w:rsidRPr="00F70B2A">
        <w:rPr>
          <w:lang w:val="hr-HR"/>
        </w:rPr>
        <w:t xml:space="preserve"> </w:t>
      </w:r>
    </w:p>
    <w:p w:rsidR="00A061E8" w:rsidRPr="00F70B2A" w:rsidRDefault="00A061E8" w:rsidP="00A061E8">
      <w:pPr>
        <w:spacing w:after="120"/>
        <w:jc w:val="both"/>
        <w:rPr>
          <w:lang w:val="hr-HR"/>
        </w:rPr>
      </w:pPr>
    </w:p>
    <w:p w:rsidR="00A061E8" w:rsidRPr="00F70B2A" w:rsidRDefault="00A061E8" w:rsidP="00A061E8">
      <w:pPr>
        <w:spacing w:after="120"/>
        <w:jc w:val="both"/>
        <w:rPr>
          <w:b/>
          <w:i/>
          <w:lang w:val="hr-HR"/>
        </w:rPr>
      </w:pPr>
      <w:bookmarkStart w:id="11" w:name="_Toc119810577"/>
      <w:bookmarkStart w:id="12" w:name="_Toc119828136"/>
      <w:r w:rsidRPr="00F70B2A">
        <w:rPr>
          <w:b/>
          <w:i/>
          <w:lang w:val="hr-HR"/>
        </w:rPr>
        <w:t>Porez na dodanu vrijednost</w:t>
      </w:r>
      <w:bookmarkEnd w:id="11"/>
      <w:bookmarkEnd w:id="12"/>
    </w:p>
    <w:p w:rsidR="00A061E8" w:rsidRPr="00F70B2A" w:rsidRDefault="00A061E8" w:rsidP="00A061E8">
      <w:pPr>
        <w:spacing w:after="120"/>
        <w:jc w:val="both"/>
        <w:rPr>
          <w:lang w:val="hr-HR"/>
        </w:rPr>
      </w:pPr>
      <w:r w:rsidRPr="00F70B2A">
        <w:rPr>
          <w:lang w:val="hr-HR"/>
        </w:rPr>
        <w:t xml:space="preserve">Prihod od poreza na dodanu vrijednost projiciran je na temelju očekivanog kretanja nominalne osobne potrošnje u narednim godinama, </w:t>
      </w:r>
      <w:r w:rsidRPr="00F70B2A">
        <w:rPr>
          <w:rFonts w:ascii="Calibri" w:hAnsi="Calibri"/>
          <w:lang w:val="hr-HR"/>
        </w:rPr>
        <w:t>uzevši u obzir izmjene u sustavu poreza na dodanu vrijednost, uz očekivani rast raspoloživog dohotka stanovništva</w:t>
      </w:r>
      <w:r w:rsidRPr="00F70B2A">
        <w:rPr>
          <w:lang w:val="hr-HR"/>
        </w:rPr>
        <w:t xml:space="preserve">. </w:t>
      </w:r>
      <w:r w:rsidR="00CE7102">
        <w:rPr>
          <w:lang w:val="hr-HR"/>
        </w:rPr>
        <w:t xml:space="preserve">Pritom valja naglasiti da se zadržava </w:t>
      </w:r>
      <w:r w:rsidR="00CE7102" w:rsidRPr="00CE7102">
        <w:rPr>
          <w:lang w:val="hr-HR"/>
        </w:rPr>
        <w:t>opć</w:t>
      </w:r>
      <w:r w:rsidR="00CE7102">
        <w:rPr>
          <w:lang w:val="hr-HR"/>
        </w:rPr>
        <w:t>a</w:t>
      </w:r>
      <w:r w:rsidR="00CE7102" w:rsidRPr="00CE7102">
        <w:rPr>
          <w:lang w:val="hr-HR"/>
        </w:rPr>
        <w:t xml:space="preserve"> stopa PDV-a od 25%</w:t>
      </w:r>
      <w:r w:rsidR="00CE7102">
        <w:rPr>
          <w:lang w:val="hr-HR"/>
        </w:rPr>
        <w:t>, a u isto vrijeme se smanjuje</w:t>
      </w:r>
      <w:r w:rsidR="00CE7102" w:rsidRPr="00CE7102">
        <w:rPr>
          <w:lang w:val="hr-HR"/>
        </w:rPr>
        <w:t xml:space="preserve"> stop</w:t>
      </w:r>
      <w:r w:rsidR="00CE7102">
        <w:rPr>
          <w:lang w:val="hr-HR"/>
        </w:rPr>
        <w:t>a</w:t>
      </w:r>
      <w:r w:rsidR="00CE7102" w:rsidRPr="00CE7102">
        <w:rPr>
          <w:lang w:val="hr-HR"/>
        </w:rPr>
        <w:t xml:space="preserve"> na 13% za pripremu i usluživanje jela i slastica u ugostiteljstvu</w:t>
      </w:r>
      <w:r w:rsidRPr="00F70B2A">
        <w:rPr>
          <w:lang w:val="hr-HR"/>
        </w:rPr>
        <w:t xml:space="preserve">. Po ovoj osnovi očekuje se porezno rasterećenje od oko </w:t>
      </w:r>
      <w:r w:rsidRPr="00CE7102">
        <w:rPr>
          <w:lang w:val="hr-HR"/>
        </w:rPr>
        <w:t>900</w:t>
      </w:r>
      <w:r w:rsidRPr="00CE7102">
        <w:rPr>
          <w:color w:val="FF0000"/>
          <w:lang w:val="hr-HR"/>
        </w:rPr>
        <w:t xml:space="preserve"> </w:t>
      </w:r>
      <w:r w:rsidRPr="00CE7102">
        <w:rPr>
          <w:lang w:val="hr-HR"/>
        </w:rPr>
        <w:t>milijuna kuna.</w:t>
      </w:r>
      <w:r w:rsidRPr="00F70B2A">
        <w:rPr>
          <w:lang w:val="hr-HR"/>
        </w:rPr>
        <w:t xml:space="preserve">  </w:t>
      </w:r>
    </w:p>
    <w:p w:rsidR="00A061E8" w:rsidRPr="00F70B2A" w:rsidRDefault="00A061E8" w:rsidP="00A061E8">
      <w:pPr>
        <w:spacing w:after="120"/>
        <w:jc w:val="both"/>
        <w:rPr>
          <w:lang w:val="hr-HR"/>
        </w:rPr>
      </w:pPr>
      <w:r w:rsidRPr="00F70B2A">
        <w:rPr>
          <w:lang w:val="hr-HR"/>
        </w:rPr>
        <w:t xml:space="preserve">Sukladno navedenom, u 2020. planira se </w:t>
      </w:r>
      <w:r w:rsidRPr="00CE7102">
        <w:rPr>
          <w:lang w:val="hr-HR"/>
        </w:rPr>
        <w:t>ostvariti 55,9</w:t>
      </w:r>
      <w:r w:rsidRPr="00F70B2A">
        <w:rPr>
          <w:lang w:val="hr-HR"/>
        </w:rPr>
        <w:t xml:space="preserve"> milijardi kuna prihoda od PDV-a, dok projekcije za 2021. </w:t>
      </w:r>
      <w:r w:rsidRPr="00CE7102">
        <w:rPr>
          <w:lang w:val="hr-HR"/>
        </w:rPr>
        <w:t>iznose 58,1</w:t>
      </w:r>
      <w:r w:rsidR="004E0BEF" w:rsidRPr="00CE7102">
        <w:rPr>
          <w:lang w:val="hr-HR"/>
        </w:rPr>
        <w:t xml:space="preserve"> milijardu</w:t>
      </w:r>
      <w:r w:rsidRPr="00CE7102">
        <w:rPr>
          <w:lang w:val="hr-HR"/>
        </w:rPr>
        <w:t xml:space="preserve"> kuna, odnosno 60,6 milijardi kuna za</w:t>
      </w:r>
      <w:r w:rsidRPr="00F70B2A">
        <w:rPr>
          <w:lang w:val="hr-HR"/>
        </w:rPr>
        <w:t xml:space="preserve"> 2022. godinu. </w:t>
      </w:r>
    </w:p>
    <w:p w:rsidR="00A061E8" w:rsidRPr="00F70B2A" w:rsidRDefault="00A061E8" w:rsidP="00A061E8">
      <w:pPr>
        <w:spacing w:after="120"/>
        <w:jc w:val="both"/>
        <w:rPr>
          <w:lang w:val="hr-HR"/>
        </w:rPr>
      </w:pPr>
    </w:p>
    <w:p w:rsidR="00A061E8" w:rsidRPr="00F70B2A" w:rsidRDefault="00A061E8" w:rsidP="00A061E8">
      <w:pPr>
        <w:spacing w:after="120"/>
        <w:jc w:val="both"/>
        <w:rPr>
          <w:b/>
          <w:i/>
          <w:lang w:val="hr-HR"/>
        </w:rPr>
      </w:pPr>
      <w:bookmarkStart w:id="13" w:name="_Toc119810581"/>
      <w:bookmarkStart w:id="14" w:name="_Toc119828140"/>
      <w:r w:rsidRPr="00F70B2A">
        <w:rPr>
          <w:b/>
          <w:i/>
          <w:lang w:val="hr-HR"/>
        </w:rPr>
        <w:t>Posebni porezi i trošarine</w:t>
      </w:r>
      <w:bookmarkEnd w:id="13"/>
      <w:bookmarkEnd w:id="14"/>
    </w:p>
    <w:p w:rsidR="00A061E8" w:rsidRPr="00F70B2A" w:rsidRDefault="00A061E8" w:rsidP="00A061E8">
      <w:pPr>
        <w:suppressAutoHyphens/>
        <w:jc w:val="both"/>
        <w:textAlignment w:val="baseline"/>
        <w:rPr>
          <w:lang w:val="hr-HR"/>
        </w:rPr>
      </w:pPr>
      <w:r w:rsidRPr="00F70B2A">
        <w:rPr>
          <w:lang w:val="hr-HR"/>
        </w:rPr>
        <w:t xml:space="preserve">Prihod od posebnih poreza i trošarina projiciran je na temelju očekivanog kretanja potrošnje trošarinskih proizvoda, uzimajući u obzir učinke izmjena propisa u trošarinskom sustavu. </w:t>
      </w:r>
    </w:p>
    <w:p w:rsidR="00A061E8" w:rsidRPr="00F70B2A" w:rsidRDefault="00A061E8" w:rsidP="00A061E8">
      <w:pPr>
        <w:suppressAutoHyphens/>
        <w:jc w:val="both"/>
        <w:textAlignment w:val="baseline"/>
        <w:rPr>
          <w:rFonts w:ascii="Calibri" w:hAnsi="Calibri"/>
          <w:lang w:val="hr-HR"/>
        </w:rPr>
      </w:pPr>
      <w:r w:rsidRPr="00F70B2A">
        <w:rPr>
          <w:lang w:val="hr-HR"/>
        </w:rPr>
        <w:t xml:space="preserve">Izmjenama u sustavu posebnih poreza i trošarina predviđa se </w:t>
      </w:r>
      <w:r w:rsidRPr="00F70B2A">
        <w:rPr>
          <w:rFonts w:ascii="Calibri" w:hAnsi="Calibri"/>
          <w:lang w:val="hr-HR"/>
        </w:rPr>
        <w:t xml:space="preserve">povrat dijela plaćene trošarine na dizelsko gorivo koje se koristi u željezničkom prometu robe i putnika te potpuno oslobođenje od plaćanja trošarine na električnu energiju u željezničkom prometu robe i putnika. S druge strane, </w:t>
      </w:r>
      <w:r w:rsidR="00CA044B">
        <w:rPr>
          <w:rFonts w:ascii="Calibri" w:hAnsi="Calibri"/>
          <w:lang w:val="hr-HR"/>
        </w:rPr>
        <w:t xml:space="preserve">planiraju se i izmjene u sustavu trošarina na </w:t>
      </w:r>
      <w:r w:rsidRPr="00F70B2A">
        <w:rPr>
          <w:rFonts w:ascii="Calibri" w:hAnsi="Calibri"/>
          <w:lang w:val="hr-HR"/>
        </w:rPr>
        <w:t>alkohol</w:t>
      </w:r>
      <w:r w:rsidR="00CA044B">
        <w:rPr>
          <w:rFonts w:ascii="Calibri" w:hAnsi="Calibri"/>
          <w:lang w:val="hr-HR"/>
        </w:rPr>
        <w:t xml:space="preserve">, </w:t>
      </w:r>
      <w:r w:rsidRPr="00F70B2A">
        <w:rPr>
          <w:rFonts w:ascii="Calibri" w:hAnsi="Calibri"/>
          <w:lang w:val="hr-HR"/>
        </w:rPr>
        <w:t>bezalkoholna pića</w:t>
      </w:r>
      <w:r w:rsidR="00CA044B">
        <w:rPr>
          <w:rFonts w:ascii="Calibri" w:hAnsi="Calibri"/>
          <w:lang w:val="hr-HR"/>
        </w:rPr>
        <w:t>, duhan i duhanske proizvode</w:t>
      </w:r>
      <w:r w:rsidRPr="00F70B2A">
        <w:rPr>
          <w:rFonts w:ascii="Calibri" w:hAnsi="Calibri"/>
          <w:lang w:val="hr-HR"/>
        </w:rPr>
        <w:t xml:space="preserve">. </w:t>
      </w:r>
    </w:p>
    <w:p w:rsidR="00A061E8" w:rsidRPr="00F70B2A" w:rsidRDefault="00A061E8" w:rsidP="00A061E8">
      <w:pPr>
        <w:spacing w:after="120"/>
        <w:jc w:val="both"/>
        <w:rPr>
          <w:lang w:val="hr-HR"/>
        </w:rPr>
      </w:pPr>
      <w:r w:rsidRPr="00F70B2A">
        <w:rPr>
          <w:lang w:val="hr-HR"/>
        </w:rPr>
        <w:t xml:space="preserve">Sukladno navedenom, za razdoblje 2020. – 2022. godine prihod od trošarina planira se u ukupnom iznosu od oko </w:t>
      </w:r>
      <w:r w:rsidRPr="00CA044B">
        <w:rPr>
          <w:lang w:val="hr-HR"/>
        </w:rPr>
        <w:t>16,6</w:t>
      </w:r>
      <w:r w:rsidRPr="00F70B2A">
        <w:rPr>
          <w:lang w:val="hr-HR"/>
        </w:rPr>
        <w:t xml:space="preserve"> milijardi kuna godišnje.</w:t>
      </w:r>
    </w:p>
    <w:p w:rsidR="00A061E8" w:rsidRPr="00F70B2A" w:rsidRDefault="00A061E8" w:rsidP="00A061E8">
      <w:pPr>
        <w:spacing w:after="120"/>
        <w:jc w:val="both"/>
        <w:rPr>
          <w:lang w:val="hr-HR"/>
        </w:rPr>
      </w:pPr>
      <w:bookmarkStart w:id="15" w:name="_Toc119810579"/>
      <w:bookmarkStart w:id="16" w:name="_Toc119828138"/>
      <w:bookmarkStart w:id="17" w:name="_Toc119810582"/>
      <w:bookmarkStart w:id="18" w:name="_Toc119828141"/>
    </w:p>
    <w:p w:rsidR="00A061E8" w:rsidRPr="00F70B2A" w:rsidRDefault="00A061E8" w:rsidP="00A061E8">
      <w:pPr>
        <w:spacing w:after="120"/>
        <w:jc w:val="both"/>
        <w:rPr>
          <w:b/>
          <w:i/>
          <w:lang w:val="hr-HR"/>
        </w:rPr>
      </w:pPr>
      <w:r w:rsidRPr="00F70B2A">
        <w:rPr>
          <w:b/>
          <w:i/>
          <w:lang w:val="hr-HR"/>
        </w:rPr>
        <w:t>Ostali porezi na robu i usluge</w:t>
      </w:r>
    </w:p>
    <w:p w:rsidR="00A061E8" w:rsidRPr="00F70B2A" w:rsidRDefault="00A061E8" w:rsidP="00A061E8">
      <w:pPr>
        <w:spacing w:after="120"/>
        <w:jc w:val="both"/>
        <w:rPr>
          <w:lang w:val="hr-HR"/>
        </w:rPr>
      </w:pPr>
      <w:r w:rsidRPr="00F70B2A">
        <w:rPr>
          <w:lang w:val="hr-HR"/>
        </w:rPr>
        <w:t xml:space="preserve">Prihodi od ostalih poreza na robu i usluge u 2020. planirani su u iznosu </w:t>
      </w:r>
      <w:r w:rsidRPr="00C74CFB">
        <w:rPr>
          <w:lang w:val="hr-HR"/>
        </w:rPr>
        <w:t>od 439,1 milijun</w:t>
      </w:r>
      <w:r w:rsidRPr="00F70B2A">
        <w:rPr>
          <w:lang w:val="hr-HR"/>
        </w:rPr>
        <w:t xml:space="preserve"> kuna, dok procjene za 2021. </w:t>
      </w:r>
      <w:r w:rsidRPr="00C74CFB">
        <w:rPr>
          <w:lang w:val="hr-HR"/>
        </w:rPr>
        <w:t>iznose 446,9</w:t>
      </w:r>
      <w:r w:rsidRPr="00F70B2A">
        <w:rPr>
          <w:lang w:val="hr-HR"/>
        </w:rPr>
        <w:t xml:space="preserve"> milijuna kuna, odnosno </w:t>
      </w:r>
      <w:r w:rsidRPr="00C74CFB">
        <w:rPr>
          <w:lang w:val="hr-HR"/>
        </w:rPr>
        <w:t>455,4 milijuna kuna za 2022. godinu</w:t>
      </w:r>
      <w:r w:rsidRPr="00F70B2A">
        <w:rPr>
          <w:lang w:val="hr-HR"/>
        </w:rPr>
        <w:t>. Ovu skupinu poreznih prihoda čine prihodi od poreza na osiguranja od automobilske odgovornosti i kasko osiguranja.</w:t>
      </w:r>
    </w:p>
    <w:bookmarkEnd w:id="15"/>
    <w:bookmarkEnd w:id="16"/>
    <w:p w:rsidR="00A061E8" w:rsidRPr="00F70B2A" w:rsidRDefault="00A061E8" w:rsidP="00A061E8">
      <w:pPr>
        <w:spacing w:after="120"/>
        <w:jc w:val="both"/>
        <w:rPr>
          <w:lang w:val="hr-HR"/>
        </w:rPr>
      </w:pPr>
    </w:p>
    <w:p w:rsidR="00A061E8" w:rsidRPr="00F70B2A" w:rsidRDefault="00A061E8" w:rsidP="00A061E8">
      <w:pPr>
        <w:spacing w:after="120"/>
        <w:jc w:val="both"/>
        <w:rPr>
          <w:b/>
          <w:i/>
          <w:lang w:val="hr-HR"/>
        </w:rPr>
      </w:pPr>
      <w:r w:rsidRPr="00F70B2A">
        <w:rPr>
          <w:b/>
          <w:i/>
          <w:lang w:val="hr-HR"/>
        </w:rPr>
        <w:t>Porez na dobitke od igara na sreću i ostali porezi od igara na sreću te naknade za priređivanje igara na sreću</w:t>
      </w:r>
    </w:p>
    <w:p w:rsidR="00A061E8" w:rsidRPr="00F70B2A" w:rsidRDefault="00A061E8" w:rsidP="00A061E8">
      <w:pPr>
        <w:spacing w:after="120"/>
        <w:jc w:val="both"/>
        <w:rPr>
          <w:lang w:val="hr-HR"/>
        </w:rPr>
      </w:pPr>
      <w:r w:rsidRPr="00F70B2A">
        <w:rPr>
          <w:lang w:val="hr-HR"/>
        </w:rPr>
        <w:t>Ovi prihodi planirani su temeljem dinamike kretanja u proteklom razdoblju te se sličan trend očekuje i nadalje. U skladu s tim</w:t>
      </w:r>
      <w:r w:rsidR="00C74CFB">
        <w:rPr>
          <w:lang w:val="hr-HR"/>
        </w:rPr>
        <w:t>,</w:t>
      </w:r>
      <w:r w:rsidRPr="00F70B2A">
        <w:rPr>
          <w:lang w:val="hr-HR"/>
        </w:rPr>
        <w:t xml:space="preserve"> prihodi od poreza na dobitke od igara na sreću i ostali porezi od igara na sreću planirani su u iznosu od </w:t>
      </w:r>
      <w:r w:rsidRPr="00C74CFB">
        <w:rPr>
          <w:lang w:val="hr-HR"/>
        </w:rPr>
        <w:t>379,1 milijun kuna za 2020. godinu</w:t>
      </w:r>
      <w:r w:rsidRPr="00F70B2A">
        <w:rPr>
          <w:lang w:val="hr-HR"/>
        </w:rPr>
        <w:t xml:space="preserve">, dok projekcije za 2021. i 2022. </w:t>
      </w:r>
      <w:r w:rsidRPr="00F70B2A">
        <w:rPr>
          <w:lang w:val="hr-HR"/>
        </w:rPr>
        <w:lastRenderedPageBreak/>
        <w:t xml:space="preserve">godinu </w:t>
      </w:r>
      <w:r w:rsidRPr="00C74CFB">
        <w:rPr>
          <w:lang w:val="hr-HR"/>
        </w:rPr>
        <w:t>iznose 394,7 milijuna kuna, odnosno 411,2 milijuna kuna.</w:t>
      </w:r>
      <w:r w:rsidRPr="00F70B2A">
        <w:rPr>
          <w:lang w:val="hr-HR"/>
        </w:rPr>
        <w:t xml:space="preserve"> </w:t>
      </w:r>
      <w:r w:rsidRPr="00C74CFB">
        <w:rPr>
          <w:lang w:val="hr-HR"/>
        </w:rPr>
        <w:t>Prihodi od naknada za priređivanje igara na sreću za razdoblje 2020. – 2022. planiraju se u iznosu od oko 1,1 milijardu kuna godišnje.</w:t>
      </w:r>
      <w:r w:rsidRPr="00F70B2A">
        <w:rPr>
          <w:lang w:val="hr-HR"/>
        </w:rPr>
        <w:t xml:space="preserve">    </w:t>
      </w:r>
    </w:p>
    <w:p w:rsidR="00A061E8" w:rsidRPr="00F70B2A" w:rsidRDefault="00A061E8" w:rsidP="00A061E8">
      <w:pPr>
        <w:spacing w:after="120"/>
        <w:jc w:val="both"/>
        <w:rPr>
          <w:lang w:val="hr-HR"/>
        </w:rPr>
      </w:pPr>
    </w:p>
    <w:p w:rsidR="00A061E8" w:rsidRPr="00F70B2A" w:rsidRDefault="00A061E8" w:rsidP="00A061E8">
      <w:pPr>
        <w:spacing w:after="120"/>
        <w:jc w:val="both"/>
        <w:rPr>
          <w:b/>
          <w:i/>
          <w:lang w:val="hr-HR"/>
        </w:rPr>
      </w:pPr>
      <w:r w:rsidRPr="00F70B2A">
        <w:rPr>
          <w:b/>
          <w:i/>
          <w:lang w:val="hr-HR"/>
        </w:rPr>
        <w:t>Porez na međunarodn</w:t>
      </w:r>
      <w:bookmarkEnd w:id="17"/>
      <w:bookmarkEnd w:id="18"/>
      <w:r w:rsidRPr="00F70B2A">
        <w:rPr>
          <w:b/>
          <w:i/>
          <w:lang w:val="hr-HR"/>
        </w:rPr>
        <w:t>u trgovinu i transakcije</w:t>
      </w:r>
    </w:p>
    <w:p w:rsidR="00A061E8" w:rsidRPr="00F70B2A" w:rsidRDefault="00A061E8" w:rsidP="00A061E8">
      <w:pPr>
        <w:spacing w:after="120"/>
        <w:jc w:val="both"/>
        <w:rPr>
          <w:lang w:val="hr-HR"/>
        </w:rPr>
      </w:pPr>
      <w:r w:rsidRPr="00F70B2A">
        <w:rPr>
          <w:lang w:val="hr-HR"/>
        </w:rPr>
        <w:t xml:space="preserve">Prihod od poreza na međunarodnu trgovinu i transakcije za 2020. </w:t>
      </w:r>
      <w:r w:rsidRPr="00C74CFB">
        <w:rPr>
          <w:lang w:val="hr-HR"/>
        </w:rPr>
        <w:t>planiran je u iznosu od 359,9 milijuna kuna. Projekcija ovog prihoda za 2021. iznosi 365,4 milijuna kuna, dok za 2022. godinu iznosi 269,8 milijuna kuna.</w:t>
      </w:r>
      <w:r w:rsidRPr="00F70B2A">
        <w:rPr>
          <w:lang w:val="hr-HR"/>
        </w:rPr>
        <w:t xml:space="preserve"> </w:t>
      </w:r>
    </w:p>
    <w:p w:rsidR="00A061E8" w:rsidRPr="00F70B2A" w:rsidRDefault="00A061E8" w:rsidP="00A061E8">
      <w:pPr>
        <w:spacing w:after="120"/>
        <w:jc w:val="both"/>
        <w:rPr>
          <w:b/>
          <w:i/>
          <w:lang w:val="hr-HR"/>
        </w:rPr>
      </w:pPr>
    </w:p>
    <w:p w:rsidR="00A061E8" w:rsidRPr="00F70B2A" w:rsidRDefault="00A061E8" w:rsidP="00A061E8">
      <w:pPr>
        <w:spacing w:after="120"/>
        <w:jc w:val="both"/>
        <w:rPr>
          <w:b/>
          <w:i/>
          <w:lang w:val="hr-HR"/>
        </w:rPr>
      </w:pPr>
      <w:r w:rsidRPr="00F70B2A">
        <w:rPr>
          <w:b/>
          <w:i/>
          <w:lang w:val="hr-HR"/>
        </w:rPr>
        <w:t>Doprinosi</w:t>
      </w:r>
    </w:p>
    <w:p w:rsidR="00A061E8" w:rsidRPr="00F70B2A" w:rsidRDefault="00A061E8" w:rsidP="00A061E8">
      <w:pPr>
        <w:spacing w:after="120"/>
        <w:jc w:val="both"/>
        <w:rPr>
          <w:lang w:val="hr-HR"/>
        </w:rPr>
      </w:pPr>
      <w:r w:rsidRPr="00F70B2A">
        <w:rPr>
          <w:lang w:val="hr-HR"/>
        </w:rPr>
        <w:t xml:space="preserve">Projekcije prihoda po osnovi doprinosa za razdoblje 2020. - 2022. temeljene su na očekivanom kretanju nominalnih bruto plaća i zaposlenosti. Valja napomenuti </w:t>
      </w:r>
      <w:r w:rsidR="0092126E">
        <w:rPr>
          <w:lang w:val="hr-HR"/>
        </w:rPr>
        <w:t>kako se prihodi od doprinosa u državnom proračunu u cijelosti odnose na doprinose za mirovinsko osiguranje</w:t>
      </w:r>
      <w:r w:rsidRPr="00F70B2A">
        <w:rPr>
          <w:lang w:val="hr-HR"/>
        </w:rPr>
        <w:t xml:space="preserve">. </w:t>
      </w:r>
    </w:p>
    <w:p w:rsidR="00A061E8" w:rsidRPr="00F70B2A" w:rsidRDefault="00A061E8" w:rsidP="00A061E8">
      <w:pPr>
        <w:spacing w:after="120"/>
        <w:jc w:val="both"/>
        <w:rPr>
          <w:lang w:val="hr-HR"/>
        </w:rPr>
      </w:pPr>
      <w:r w:rsidRPr="0092126E">
        <w:rPr>
          <w:lang w:val="hr-HR"/>
        </w:rPr>
        <w:t xml:space="preserve">U 2020. godini u </w:t>
      </w:r>
      <w:r w:rsidR="0092126E" w:rsidRPr="0092126E">
        <w:rPr>
          <w:lang w:val="hr-HR"/>
        </w:rPr>
        <w:t>d</w:t>
      </w:r>
      <w:r w:rsidRPr="0092126E">
        <w:rPr>
          <w:lang w:val="hr-HR"/>
        </w:rPr>
        <w:t>ržavni proračun planira se prikupiti 25 milijardi kuna prihoda od doprinosa za mirovinsko osiguranje, dok projekcija za 2021. iznosi 26,2 milijarde kuna, a za 2022. godinu 27,3 milijarde kuna.</w:t>
      </w:r>
      <w:r w:rsidRPr="00F70B2A">
        <w:rPr>
          <w:lang w:val="hr-HR"/>
        </w:rPr>
        <w:t xml:space="preserve"> </w:t>
      </w:r>
    </w:p>
    <w:p w:rsidR="00A061E8" w:rsidRPr="00F70B2A" w:rsidRDefault="00A061E8" w:rsidP="00A061E8">
      <w:pPr>
        <w:spacing w:after="120"/>
        <w:jc w:val="both"/>
        <w:rPr>
          <w:b/>
          <w:i/>
          <w:lang w:val="hr-HR"/>
        </w:rPr>
      </w:pPr>
    </w:p>
    <w:p w:rsidR="00A061E8" w:rsidRPr="00F70B2A" w:rsidRDefault="00A061E8" w:rsidP="00A061E8">
      <w:pPr>
        <w:spacing w:after="120"/>
        <w:jc w:val="both"/>
        <w:rPr>
          <w:b/>
          <w:i/>
          <w:lang w:val="hr-HR"/>
        </w:rPr>
      </w:pPr>
      <w:bookmarkStart w:id="19" w:name="_Toc119810585"/>
      <w:bookmarkStart w:id="20" w:name="_Toc119828144"/>
      <w:r w:rsidRPr="00F70B2A">
        <w:rPr>
          <w:b/>
          <w:i/>
          <w:lang w:val="hr-HR"/>
        </w:rPr>
        <w:t>Prihodi od pomoći</w:t>
      </w:r>
      <w:bookmarkEnd w:id="19"/>
      <w:bookmarkEnd w:id="20"/>
      <w:r w:rsidRPr="00F70B2A">
        <w:rPr>
          <w:b/>
          <w:i/>
          <w:lang w:val="hr-HR"/>
        </w:rPr>
        <w:t xml:space="preserve"> </w:t>
      </w:r>
    </w:p>
    <w:p w:rsidR="00A061E8" w:rsidRPr="00F70B2A" w:rsidRDefault="00A061E8" w:rsidP="00A061E8">
      <w:pPr>
        <w:spacing w:after="120"/>
        <w:jc w:val="both"/>
        <w:rPr>
          <w:lang w:val="hr-HR"/>
        </w:rPr>
      </w:pPr>
      <w:r w:rsidRPr="0092126E">
        <w:rPr>
          <w:lang w:val="hr-HR"/>
        </w:rPr>
        <w:t>Prihodi od pomoći se najvećim dijelom odnose na sredstva iz EU fondova, a u razdoblju 2020.</w:t>
      </w:r>
      <w:r w:rsidR="000E73C3" w:rsidRPr="0092126E">
        <w:rPr>
          <w:lang w:val="hr-HR"/>
        </w:rPr>
        <w:t xml:space="preserve"> </w:t>
      </w:r>
      <w:r w:rsidRPr="0092126E">
        <w:rPr>
          <w:lang w:val="hr-HR"/>
        </w:rPr>
        <w:t>-</w:t>
      </w:r>
      <w:r w:rsidR="000E73C3" w:rsidRPr="0092126E">
        <w:rPr>
          <w:lang w:val="hr-HR"/>
        </w:rPr>
        <w:t xml:space="preserve"> </w:t>
      </w:r>
      <w:r w:rsidRPr="0092126E">
        <w:rPr>
          <w:lang w:val="hr-HR"/>
        </w:rPr>
        <w:t xml:space="preserve">2022. planira se </w:t>
      </w:r>
      <w:r w:rsidR="0092126E" w:rsidRPr="0092126E">
        <w:rPr>
          <w:lang w:val="hr-HR"/>
        </w:rPr>
        <w:t>daljnje ubrzanje njihova povlačenja</w:t>
      </w:r>
      <w:r w:rsidRPr="0092126E">
        <w:rPr>
          <w:lang w:val="hr-HR"/>
        </w:rPr>
        <w:t>. Sukladno navedenom, ukupno planirani prihodi od pomoći u 2020. iznose 18,8 milijardi kuna, u 2021. 18,7 milijardi kuna te 18,3 milijarde kuna u 2022. godini.</w:t>
      </w:r>
    </w:p>
    <w:p w:rsidR="00A061E8" w:rsidRPr="00F70B2A" w:rsidRDefault="00A061E8" w:rsidP="00A061E8">
      <w:pPr>
        <w:spacing w:after="120"/>
        <w:jc w:val="both"/>
        <w:rPr>
          <w:iCs/>
          <w:lang w:val="hr-HR"/>
        </w:rPr>
      </w:pPr>
    </w:p>
    <w:p w:rsidR="00A061E8" w:rsidRPr="00F70B2A" w:rsidRDefault="00A061E8" w:rsidP="00A061E8">
      <w:pPr>
        <w:spacing w:after="120"/>
        <w:jc w:val="both"/>
        <w:rPr>
          <w:b/>
          <w:i/>
          <w:lang w:val="hr-HR"/>
        </w:rPr>
      </w:pPr>
      <w:r w:rsidRPr="00F70B2A">
        <w:rPr>
          <w:b/>
          <w:i/>
          <w:lang w:val="hr-HR"/>
        </w:rPr>
        <w:t>Prihodi od imovine</w:t>
      </w:r>
    </w:p>
    <w:p w:rsidR="00A061E8" w:rsidRPr="00F70B2A" w:rsidRDefault="00A061E8" w:rsidP="00A061E8">
      <w:pPr>
        <w:spacing w:after="120"/>
        <w:jc w:val="both"/>
        <w:rPr>
          <w:lang w:val="hr-HR"/>
        </w:rPr>
      </w:pPr>
      <w:r w:rsidRPr="00F70B2A">
        <w:rPr>
          <w:lang w:val="hr-HR"/>
        </w:rPr>
        <w:t xml:space="preserve">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Najveće stavke prihoda od imovine čine prihodi od koncesija te prihodi od dobiti trgovačkih društava, kreditnih i ostalih financijskih institucija po posebnim propisima. U promatranom razdoblju planira se daljnje povlačenje </w:t>
      </w:r>
      <w:r w:rsidR="0092126E">
        <w:rPr>
          <w:lang w:val="hr-HR"/>
        </w:rPr>
        <w:t xml:space="preserve">dijela </w:t>
      </w:r>
      <w:r w:rsidRPr="00F70B2A">
        <w:rPr>
          <w:lang w:val="hr-HR"/>
        </w:rPr>
        <w:t xml:space="preserve">dobiti trgovačkih društava u </w:t>
      </w:r>
      <w:r w:rsidR="0092126E">
        <w:rPr>
          <w:lang w:val="hr-HR"/>
        </w:rPr>
        <w:t>državnom vlasništvu</w:t>
      </w:r>
      <w:r w:rsidRPr="00F70B2A">
        <w:rPr>
          <w:lang w:val="hr-HR"/>
        </w:rPr>
        <w:t xml:space="preserve"> u državni proračun. </w:t>
      </w:r>
    </w:p>
    <w:p w:rsidR="00A061E8" w:rsidRPr="00F70B2A" w:rsidRDefault="00A061E8" w:rsidP="00A061E8">
      <w:pPr>
        <w:spacing w:after="120"/>
        <w:jc w:val="both"/>
        <w:rPr>
          <w:lang w:val="hr-HR"/>
        </w:rPr>
      </w:pPr>
      <w:r w:rsidRPr="00F70B2A">
        <w:rPr>
          <w:lang w:val="hr-HR"/>
        </w:rPr>
        <w:t xml:space="preserve">Tako su u 2020. prihodi od imovine planirani u iznosu </w:t>
      </w:r>
      <w:r w:rsidRPr="0092126E">
        <w:rPr>
          <w:lang w:val="hr-HR"/>
        </w:rPr>
        <w:t>od 2,4 milijarde kuna, a u 2021. i 2022. godini u iznosu od oko 2,1 milijardu kuna.</w:t>
      </w:r>
      <w:r w:rsidRPr="00F70B2A">
        <w:rPr>
          <w:lang w:val="hr-HR"/>
        </w:rPr>
        <w:t xml:space="preserve"> </w:t>
      </w:r>
    </w:p>
    <w:p w:rsidR="00A061E8" w:rsidRPr="00F70B2A" w:rsidRDefault="00A061E8" w:rsidP="00A061E8">
      <w:pPr>
        <w:spacing w:after="120"/>
        <w:jc w:val="both"/>
        <w:rPr>
          <w:b/>
          <w:i/>
          <w:lang w:val="hr-HR"/>
        </w:rPr>
      </w:pPr>
      <w:bookmarkStart w:id="21" w:name="_Toc119810587"/>
      <w:bookmarkStart w:id="22" w:name="_Toc119828146"/>
    </w:p>
    <w:p w:rsidR="00A061E8" w:rsidRPr="00F70B2A" w:rsidRDefault="00A061E8" w:rsidP="00A061E8">
      <w:pPr>
        <w:spacing w:after="120"/>
        <w:jc w:val="both"/>
        <w:rPr>
          <w:b/>
          <w:i/>
          <w:lang w:val="hr-HR"/>
        </w:rPr>
      </w:pPr>
      <w:r w:rsidRPr="00F70B2A">
        <w:rPr>
          <w:b/>
          <w:i/>
          <w:lang w:val="hr-HR"/>
        </w:rPr>
        <w:t xml:space="preserve">Prihodi od upravnih i administrativnih pristojbi, pristojbi po posebnim propisima i naknada     </w:t>
      </w:r>
    </w:p>
    <w:bookmarkEnd w:id="21"/>
    <w:bookmarkEnd w:id="22"/>
    <w:p w:rsidR="00A061E8" w:rsidRPr="00A70D26" w:rsidRDefault="00A061E8" w:rsidP="00A061E8">
      <w:pPr>
        <w:spacing w:after="120"/>
        <w:jc w:val="both"/>
        <w:rPr>
          <w:lang w:val="hr-HR"/>
        </w:rPr>
      </w:pPr>
      <w:r w:rsidRPr="00F70B2A">
        <w:rPr>
          <w:lang w:val="hr-HR"/>
        </w:rPr>
        <w:t xml:space="preserve">Očekuje se da će prihodi od administrativnih pristojbi i pristojbi po posebnim propisima slijediti trendove dosadašnjih kretanja i u narednom razdoblju. Prihodi po osnovi upravnih i administrativnih </w:t>
      </w:r>
      <w:r w:rsidRPr="00F70B2A">
        <w:rPr>
          <w:lang w:val="hr-HR"/>
        </w:rPr>
        <w:lastRenderedPageBreak/>
        <w:t xml:space="preserve">pristojbi u 2020. planirani su u </w:t>
      </w:r>
      <w:r w:rsidRPr="00A70D26">
        <w:rPr>
          <w:lang w:val="hr-HR"/>
        </w:rPr>
        <w:t xml:space="preserve">iznosu od 711,9 milijuna kuna, dok projekcije za 2021. iznose 719,7 milijuna kuna, a za 2022. godinu 728,5 milijuna kuna. </w:t>
      </w:r>
    </w:p>
    <w:p w:rsidR="00A061E8" w:rsidRPr="00F70B2A" w:rsidRDefault="00A061E8" w:rsidP="00A061E8">
      <w:pPr>
        <w:spacing w:after="120"/>
        <w:jc w:val="both"/>
        <w:rPr>
          <w:lang w:val="hr-HR"/>
        </w:rPr>
      </w:pPr>
      <w:r w:rsidRPr="00A70D26">
        <w:rPr>
          <w:lang w:val="hr-HR"/>
        </w:rPr>
        <w:t>U kategoriji proračunskih prihoda po posebnim propisima</w:t>
      </w:r>
      <w:r w:rsidRPr="00F70B2A">
        <w:rPr>
          <w:lang w:val="hr-HR"/>
        </w:rPr>
        <w:t xml:space="preserve"> planiraju se i namjenski prihodi proračunskih </w:t>
      </w:r>
      <w:r w:rsidRPr="00A70D26">
        <w:rPr>
          <w:lang w:val="hr-HR"/>
        </w:rPr>
        <w:t>korisnika. Planirani prihodi po posebnim propisima većinom su namjenski prihodi i u 2020.</w:t>
      </w:r>
      <w:r w:rsidR="00A70D26" w:rsidRPr="00A70D26">
        <w:rPr>
          <w:lang w:val="hr-HR"/>
        </w:rPr>
        <w:t xml:space="preserve"> i 2021.</w:t>
      </w:r>
      <w:r w:rsidRPr="00A70D26">
        <w:rPr>
          <w:lang w:val="hr-HR"/>
        </w:rPr>
        <w:t xml:space="preserve"> godini planiraju se u iznosu od 3,9 </w:t>
      </w:r>
      <w:r w:rsidR="000E73C3" w:rsidRPr="00A70D26">
        <w:rPr>
          <w:lang w:val="hr-HR"/>
        </w:rPr>
        <w:t xml:space="preserve">milijardi kuna, </w:t>
      </w:r>
      <w:r w:rsidRPr="00A70D26">
        <w:rPr>
          <w:lang w:val="hr-HR"/>
        </w:rPr>
        <w:t>a projekcije za 2022. godinu iznose 4 milijarde kuna.</w:t>
      </w:r>
      <w:r w:rsidRPr="00F70B2A">
        <w:rPr>
          <w:lang w:val="hr-HR"/>
        </w:rPr>
        <w:t xml:space="preserve"> </w:t>
      </w:r>
    </w:p>
    <w:p w:rsidR="00A061E8" w:rsidRPr="00F70B2A" w:rsidRDefault="00A061E8" w:rsidP="00A061E8">
      <w:pPr>
        <w:spacing w:after="120"/>
        <w:jc w:val="both"/>
        <w:rPr>
          <w:b/>
          <w:i/>
          <w:lang w:val="hr-HR"/>
        </w:rPr>
      </w:pPr>
    </w:p>
    <w:p w:rsidR="00A061E8" w:rsidRPr="00F70B2A" w:rsidRDefault="00A061E8" w:rsidP="00A061E8">
      <w:pPr>
        <w:spacing w:after="120"/>
        <w:jc w:val="both"/>
        <w:rPr>
          <w:b/>
          <w:i/>
          <w:lang w:val="hr-HR"/>
        </w:rPr>
      </w:pPr>
      <w:bookmarkStart w:id="23" w:name="_Toc119828148"/>
      <w:r w:rsidRPr="00F70B2A">
        <w:rPr>
          <w:b/>
          <w:i/>
          <w:lang w:val="hr-HR"/>
        </w:rPr>
        <w:t>Prihodi od prodaje proizvoda i roba te pruženih usluga i prihodi od donacija</w:t>
      </w:r>
    </w:p>
    <w:p w:rsidR="00A061E8" w:rsidRPr="00F70B2A" w:rsidRDefault="00A061E8" w:rsidP="00A061E8">
      <w:pPr>
        <w:spacing w:after="120"/>
        <w:jc w:val="both"/>
        <w:rPr>
          <w:lang w:val="hr-HR"/>
        </w:rPr>
      </w:pPr>
      <w:r w:rsidRPr="00F70B2A">
        <w:rPr>
          <w:lang w:val="hr-HR"/>
        </w:rPr>
        <w:t>Prihod</w:t>
      </w:r>
      <w:r w:rsidR="00333255">
        <w:rPr>
          <w:lang w:val="hr-HR"/>
        </w:rPr>
        <w:t>e</w:t>
      </w:r>
      <w:r w:rsidRPr="00F70B2A">
        <w:rPr>
          <w:lang w:val="hr-HR"/>
        </w:rPr>
        <w:t xml:space="preserve"> od prodaje proizvoda i roba te pruženih usluga, kao i prihod</w:t>
      </w:r>
      <w:r w:rsidR="00333255">
        <w:rPr>
          <w:lang w:val="hr-HR"/>
        </w:rPr>
        <w:t>e</w:t>
      </w:r>
      <w:r w:rsidRPr="00F70B2A">
        <w:rPr>
          <w:lang w:val="hr-HR"/>
        </w:rPr>
        <w:t xml:space="preserve"> od donacija planiraju proračunski korisnici</w:t>
      </w:r>
      <w:r w:rsidR="00333255">
        <w:rPr>
          <w:lang w:val="hr-HR"/>
        </w:rPr>
        <w:t xml:space="preserve"> i u cijelosti su namjenski</w:t>
      </w:r>
      <w:r w:rsidRPr="00F70B2A">
        <w:rPr>
          <w:lang w:val="hr-HR"/>
        </w:rPr>
        <w:t>, a za razdoblje</w:t>
      </w:r>
      <w:r w:rsidR="000E73C3" w:rsidRPr="00F70B2A">
        <w:rPr>
          <w:lang w:val="hr-HR"/>
        </w:rPr>
        <w:t xml:space="preserve"> </w:t>
      </w:r>
      <w:r w:rsidRPr="00F70B2A">
        <w:rPr>
          <w:lang w:val="hr-HR"/>
        </w:rPr>
        <w:t xml:space="preserve">2020. – 2022. planirani su u prosječnom iznosu od </w:t>
      </w:r>
      <w:r w:rsidRPr="00333255">
        <w:rPr>
          <w:lang w:val="hr-HR"/>
        </w:rPr>
        <w:t>1,3 milijarde kuna</w:t>
      </w:r>
      <w:r w:rsidRPr="00F70B2A">
        <w:rPr>
          <w:lang w:val="hr-HR"/>
        </w:rPr>
        <w:t>.</w:t>
      </w:r>
    </w:p>
    <w:p w:rsidR="00A061E8" w:rsidRPr="00F70B2A" w:rsidRDefault="00A061E8" w:rsidP="00A061E8">
      <w:pPr>
        <w:spacing w:after="120"/>
        <w:jc w:val="both"/>
        <w:rPr>
          <w:b/>
          <w:i/>
          <w:lang w:val="hr-HR"/>
        </w:rPr>
      </w:pPr>
    </w:p>
    <w:p w:rsidR="00A061E8" w:rsidRPr="00F70B2A" w:rsidRDefault="00A061E8" w:rsidP="00A061E8">
      <w:pPr>
        <w:spacing w:after="120"/>
        <w:jc w:val="both"/>
        <w:rPr>
          <w:b/>
          <w:i/>
          <w:lang w:val="hr-HR"/>
        </w:rPr>
      </w:pPr>
      <w:r w:rsidRPr="00F70B2A">
        <w:rPr>
          <w:b/>
          <w:i/>
          <w:lang w:val="hr-HR"/>
        </w:rPr>
        <w:t>Prihodi iz nadležnog proračuna i od HZZO-a temeljem ugovornih obveza</w:t>
      </w:r>
    </w:p>
    <w:p w:rsidR="00A061E8" w:rsidRPr="00F70B2A" w:rsidRDefault="00A061E8" w:rsidP="00A061E8">
      <w:pPr>
        <w:spacing w:after="120"/>
        <w:jc w:val="both"/>
        <w:rPr>
          <w:lang w:val="hr-HR"/>
        </w:rPr>
      </w:pPr>
      <w:r w:rsidRPr="00333255">
        <w:rPr>
          <w:lang w:val="hr-HR"/>
        </w:rPr>
        <w:t>Očekuje se kako će prihodi iz nadležnog proračuna i od HZZO-a temeljem ugovornih obveza u planskom razdoblju iznositi od 7,4 milijarde kuna u 2020. do 7,6 milijardi kuna u 2022. godini.</w:t>
      </w:r>
      <w:r w:rsidRPr="00F70B2A">
        <w:rPr>
          <w:lang w:val="hr-HR"/>
        </w:rPr>
        <w:t xml:space="preserve">  </w:t>
      </w:r>
    </w:p>
    <w:p w:rsidR="00A061E8" w:rsidRPr="00F70B2A" w:rsidRDefault="00A061E8" w:rsidP="00A061E8">
      <w:pPr>
        <w:spacing w:after="120"/>
        <w:jc w:val="both"/>
        <w:rPr>
          <w:b/>
          <w:i/>
          <w:lang w:val="hr-HR"/>
        </w:rPr>
      </w:pPr>
    </w:p>
    <w:bookmarkEnd w:id="23"/>
    <w:p w:rsidR="00A061E8" w:rsidRPr="00F70B2A" w:rsidRDefault="00A061E8" w:rsidP="00A061E8">
      <w:pPr>
        <w:spacing w:after="120"/>
        <w:jc w:val="both"/>
        <w:rPr>
          <w:b/>
          <w:i/>
          <w:lang w:val="hr-HR"/>
        </w:rPr>
      </w:pPr>
      <w:r w:rsidRPr="00F70B2A">
        <w:rPr>
          <w:b/>
          <w:i/>
          <w:lang w:val="hr-HR"/>
        </w:rPr>
        <w:t>Kazne, upravne mjere i ostali prihodi</w:t>
      </w:r>
    </w:p>
    <w:p w:rsidR="00A061E8" w:rsidRPr="00F70B2A" w:rsidRDefault="00A061E8" w:rsidP="00A061E8">
      <w:pPr>
        <w:spacing w:after="120"/>
        <w:jc w:val="both"/>
        <w:rPr>
          <w:lang w:val="hr-HR"/>
        </w:rPr>
      </w:pPr>
      <w:r w:rsidRPr="00F70B2A">
        <w:rPr>
          <w:lang w:val="hr-HR"/>
        </w:rPr>
        <w:t xml:space="preserve">Prihodi od kazni i upravnih mjera najvećim se dijelom ostvaruju po osnovi kazni za prometne prekršaje, zatim za porezne i carinske prekršaje, a u nešto manjoj mjeri od raznih ostalih kazni. Očekuje se da će prihodi od kazni i upravnih mjera slijediti trendove dosadašnjih kretanja i u narednom razdoblju te su za 2020. planirani u iznosu </w:t>
      </w:r>
      <w:r w:rsidRPr="00333255">
        <w:rPr>
          <w:lang w:val="hr-HR"/>
        </w:rPr>
        <w:t>od 619,3 milijuna kuna, dok projekcije za 2021. iznose 628,2 milijuna kuna, a za 2022. godinu 630,6 milijuna kuna.</w:t>
      </w:r>
      <w:r w:rsidRPr="00F70B2A">
        <w:rPr>
          <w:lang w:val="hr-HR"/>
        </w:rPr>
        <w:t xml:space="preserve"> </w:t>
      </w:r>
    </w:p>
    <w:p w:rsidR="00A061E8" w:rsidRPr="00F70B2A" w:rsidRDefault="00A061E8" w:rsidP="00A061E8">
      <w:pPr>
        <w:spacing w:after="120"/>
        <w:jc w:val="both"/>
        <w:rPr>
          <w:lang w:val="hr-HR"/>
        </w:rPr>
      </w:pPr>
    </w:p>
    <w:p w:rsidR="00A061E8" w:rsidRPr="00F70B2A" w:rsidRDefault="00A061E8" w:rsidP="00A061E8">
      <w:pPr>
        <w:tabs>
          <w:tab w:val="left" w:pos="7560"/>
        </w:tabs>
        <w:spacing w:after="120"/>
        <w:jc w:val="both"/>
        <w:rPr>
          <w:b/>
          <w:szCs w:val="24"/>
          <w:lang w:val="hr-HR"/>
        </w:rPr>
      </w:pPr>
      <w:r w:rsidRPr="00F70B2A">
        <w:rPr>
          <w:b/>
          <w:szCs w:val="24"/>
          <w:lang w:val="hr-HR"/>
        </w:rPr>
        <w:t>Prihodi od prodaje nefinancijske imovine</w:t>
      </w:r>
    </w:p>
    <w:p w:rsidR="00A061E8" w:rsidRPr="00F70B2A" w:rsidRDefault="00A061E8" w:rsidP="00A061E8">
      <w:pPr>
        <w:spacing w:after="120"/>
        <w:jc w:val="both"/>
        <w:rPr>
          <w:lang w:val="hr-HR"/>
        </w:rPr>
      </w:pPr>
      <w:r w:rsidRPr="00F70B2A">
        <w:rPr>
          <w:lang w:val="hr-HR"/>
        </w:rPr>
        <w:t xml:space="preserve">Prihodi od prodaje nefinancijske imovine </w:t>
      </w:r>
      <w:r w:rsidR="00333255">
        <w:rPr>
          <w:lang w:val="hr-HR"/>
        </w:rPr>
        <w:t>u razdoblju 2020. - 2022.</w:t>
      </w:r>
      <w:r w:rsidRPr="00F70B2A">
        <w:rPr>
          <w:lang w:val="hr-HR"/>
        </w:rPr>
        <w:t xml:space="preserve"> planiraju se u iznosu </w:t>
      </w:r>
      <w:r w:rsidRPr="00C64161">
        <w:rPr>
          <w:lang w:val="hr-HR"/>
        </w:rPr>
        <w:t>od 1</w:t>
      </w:r>
      <w:r w:rsidR="00333255" w:rsidRPr="00C64161">
        <w:rPr>
          <w:lang w:val="hr-HR"/>
        </w:rPr>
        <w:t xml:space="preserve"> milijarde</w:t>
      </w:r>
      <w:r w:rsidRPr="00F70B2A">
        <w:rPr>
          <w:lang w:val="hr-HR"/>
        </w:rPr>
        <w:t xml:space="preserve"> kuna, a najveći dio ovih prihoda ostvarit će se aktivacijom neaktivne državne imovine odnosno prodajom stanova i o</w:t>
      </w:r>
      <w:r w:rsidR="00C43515">
        <w:rPr>
          <w:lang w:val="hr-HR"/>
        </w:rPr>
        <w:t xml:space="preserve">stalih građevinskih objekata, </w:t>
      </w:r>
      <w:r w:rsidRPr="00F70B2A">
        <w:rPr>
          <w:lang w:val="hr-HR"/>
        </w:rPr>
        <w:t>zemljišta</w:t>
      </w:r>
      <w:r w:rsidR="00C43515">
        <w:rPr>
          <w:lang w:val="hr-HR"/>
        </w:rPr>
        <w:t xml:space="preserve"> te prihodima od prodaje zaliha</w:t>
      </w:r>
      <w:r w:rsidRPr="00F70B2A">
        <w:rPr>
          <w:lang w:val="hr-HR"/>
        </w:rPr>
        <w:t xml:space="preserve">. </w:t>
      </w:r>
    </w:p>
    <w:bookmarkEnd w:id="7"/>
    <w:bookmarkEnd w:id="8"/>
    <w:p w:rsidR="00A061E8" w:rsidRDefault="00A061E8" w:rsidP="001F3879">
      <w:pPr>
        <w:spacing w:before="240" w:after="0" w:line="240" w:lineRule="auto"/>
        <w:jc w:val="both"/>
        <w:rPr>
          <w:i/>
          <w:lang w:val="hr-HR"/>
        </w:rPr>
      </w:pPr>
    </w:p>
    <w:p w:rsidR="00333255" w:rsidRPr="00F70B2A" w:rsidRDefault="00333255" w:rsidP="001F3879">
      <w:pPr>
        <w:spacing w:before="240" w:after="0" w:line="240" w:lineRule="auto"/>
        <w:jc w:val="both"/>
        <w:rPr>
          <w:i/>
          <w:lang w:val="hr-HR"/>
        </w:rPr>
      </w:pPr>
    </w:p>
    <w:p w:rsidR="00A061E8" w:rsidRPr="00F70B2A" w:rsidRDefault="00A061E8" w:rsidP="001F3879">
      <w:pPr>
        <w:spacing w:before="240" w:after="0" w:line="240" w:lineRule="auto"/>
        <w:jc w:val="both"/>
        <w:rPr>
          <w:i/>
          <w:lang w:val="hr-HR"/>
        </w:rPr>
      </w:pPr>
    </w:p>
    <w:p w:rsidR="00A061E8" w:rsidRPr="00F70B2A" w:rsidRDefault="00A061E8" w:rsidP="001F3879">
      <w:pPr>
        <w:spacing w:before="240" w:after="0" w:line="240" w:lineRule="auto"/>
        <w:jc w:val="both"/>
        <w:rPr>
          <w:i/>
          <w:lang w:val="hr-HR"/>
        </w:rPr>
      </w:pPr>
    </w:p>
    <w:p w:rsidR="00A061E8" w:rsidRPr="00F70B2A" w:rsidRDefault="00A061E8" w:rsidP="001F3879">
      <w:pPr>
        <w:spacing w:before="240" w:after="0" w:line="240" w:lineRule="auto"/>
        <w:jc w:val="both"/>
        <w:rPr>
          <w:i/>
          <w:lang w:val="hr-HR"/>
        </w:rPr>
      </w:pPr>
    </w:p>
    <w:p w:rsidR="00A061E8" w:rsidRPr="00F70B2A" w:rsidRDefault="00A061E8" w:rsidP="001F3879">
      <w:pPr>
        <w:spacing w:before="240" w:after="0" w:line="240" w:lineRule="auto"/>
        <w:jc w:val="both"/>
        <w:rPr>
          <w:i/>
          <w:lang w:val="hr-HR"/>
        </w:rPr>
      </w:pPr>
    </w:p>
    <w:p w:rsidR="00A061E8" w:rsidRPr="00F70B2A" w:rsidRDefault="00A061E8" w:rsidP="001F3879">
      <w:pPr>
        <w:spacing w:before="240" w:after="0" w:line="240" w:lineRule="auto"/>
        <w:jc w:val="both"/>
        <w:rPr>
          <w:i/>
          <w:lang w:val="hr-HR"/>
        </w:rPr>
      </w:pPr>
    </w:p>
    <w:p w:rsidR="00A061E8" w:rsidRPr="00F70B2A" w:rsidRDefault="00A061E8" w:rsidP="001F3879">
      <w:pPr>
        <w:spacing w:before="240" w:after="0" w:line="240" w:lineRule="auto"/>
        <w:jc w:val="both"/>
        <w:rPr>
          <w:i/>
          <w:lang w:val="hr-HR"/>
        </w:rPr>
      </w:pPr>
    </w:p>
    <w:p w:rsidR="00E22265" w:rsidRPr="00F70B2A" w:rsidRDefault="001F3879" w:rsidP="001F3879">
      <w:pPr>
        <w:spacing w:before="240" w:after="0" w:line="240" w:lineRule="auto"/>
        <w:jc w:val="both"/>
        <w:rPr>
          <w:i/>
          <w:lang w:val="hr-HR"/>
        </w:rPr>
      </w:pPr>
      <w:r w:rsidRPr="00F70B2A">
        <w:rPr>
          <w:i/>
          <w:lang w:val="hr-HR"/>
        </w:rPr>
        <w:lastRenderedPageBreak/>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2</w:t>
      </w:r>
      <w:r w:rsidRPr="00F70B2A">
        <w:rPr>
          <w:i/>
          <w:lang w:val="hr-HR"/>
        </w:rPr>
        <w:fldChar w:fldCharType="end"/>
      </w:r>
      <w:r w:rsidRPr="00F70B2A">
        <w:rPr>
          <w:i/>
          <w:lang w:val="hr-HR"/>
        </w:rPr>
        <w:t>: Prihodi državnog proračuna za razdoblje 201</w:t>
      </w:r>
      <w:r w:rsidR="00A061E8" w:rsidRPr="00F70B2A">
        <w:rPr>
          <w:i/>
          <w:lang w:val="hr-HR"/>
        </w:rPr>
        <w:t>8</w:t>
      </w:r>
      <w:r w:rsidR="00E22265" w:rsidRPr="00F70B2A">
        <w:rPr>
          <w:i/>
          <w:lang w:val="hr-HR"/>
        </w:rPr>
        <w:t>. - 202</w:t>
      </w:r>
      <w:r w:rsidR="00A061E8" w:rsidRPr="00F70B2A">
        <w:rPr>
          <w:i/>
          <w:lang w:val="hr-HR"/>
        </w:rPr>
        <w:t>2</w:t>
      </w:r>
      <w:r w:rsidRPr="00F70B2A">
        <w:rPr>
          <w:i/>
          <w:lang w:val="hr-HR"/>
        </w:rPr>
        <w:t>.</w:t>
      </w:r>
      <w:bookmarkEnd w:id="6"/>
      <w:r w:rsidRPr="00F70B2A">
        <w:rPr>
          <w:i/>
          <w:lang w:val="hr-HR"/>
        </w:rPr>
        <w:t xml:space="preserve"> </w:t>
      </w:r>
    </w:p>
    <w:p w:rsidR="00F35F16" w:rsidRPr="00F70B2A" w:rsidRDefault="001A1C5C" w:rsidP="001F3879">
      <w:pPr>
        <w:spacing w:before="240" w:after="0" w:line="240" w:lineRule="auto"/>
        <w:jc w:val="both"/>
        <w:rPr>
          <w:i/>
          <w:highlight w:val="yellow"/>
          <w:lang w:val="hr-HR"/>
        </w:rPr>
      </w:pPr>
      <w:r w:rsidRPr="001A1C5C">
        <w:rPr>
          <w:noProof/>
          <w:lang w:val="hr-HR" w:eastAsia="hr-HR"/>
        </w:rPr>
        <w:drawing>
          <wp:inline distT="0" distB="0" distL="0" distR="0" wp14:anchorId="540059A9" wp14:editId="2C7C7F03">
            <wp:extent cx="5760720" cy="2779124"/>
            <wp:effectExtent l="0" t="0" r="0" b="254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779124"/>
                    </a:xfrm>
                    <a:prstGeom prst="rect">
                      <a:avLst/>
                    </a:prstGeom>
                    <a:noFill/>
                    <a:ln>
                      <a:noFill/>
                    </a:ln>
                  </pic:spPr>
                </pic:pic>
              </a:graphicData>
            </a:graphic>
          </wp:inline>
        </w:drawing>
      </w:r>
    </w:p>
    <w:p w:rsidR="001F3879" w:rsidRPr="00F70B2A" w:rsidRDefault="001F3879" w:rsidP="001F3879">
      <w:pPr>
        <w:rPr>
          <w:lang w:val="hr-HR"/>
        </w:rPr>
      </w:pPr>
      <w:r w:rsidRPr="00F70B2A">
        <w:rPr>
          <w:i/>
          <w:sz w:val="20"/>
          <w:lang w:val="hr-HR"/>
        </w:rPr>
        <w:t>Izvor: Ministarstvo financija</w:t>
      </w:r>
    </w:p>
    <w:p w:rsidR="0037667D" w:rsidRPr="00F70B2A" w:rsidRDefault="00695821" w:rsidP="00695821">
      <w:pPr>
        <w:rPr>
          <w:lang w:val="hr-HR"/>
        </w:rPr>
      </w:pPr>
      <w:r w:rsidRPr="00F70B2A">
        <w:rPr>
          <w:lang w:val="hr-HR"/>
        </w:rPr>
        <w:t xml:space="preserve"> </w:t>
      </w:r>
      <w:r w:rsidR="0037667D" w:rsidRPr="00F70B2A">
        <w:rPr>
          <w:lang w:val="hr-HR"/>
        </w:rPr>
        <w:br w:type="page"/>
      </w:r>
    </w:p>
    <w:p w:rsidR="00695821" w:rsidRPr="00F70B2A" w:rsidRDefault="00695821" w:rsidP="0029489C">
      <w:pPr>
        <w:pStyle w:val="Heading1"/>
        <w:numPr>
          <w:ilvl w:val="0"/>
          <w:numId w:val="17"/>
        </w:numPr>
        <w:rPr>
          <w:lang w:val="hr-HR"/>
        </w:rPr>
      </w:pPr>
      <w:bookmarkStart w:id="24" w:name="_Toc23376938"/>
      <w:r w:rsidRPr="00F70B2A">
        <w:rPr>
          <w:lang w:val="hr-HR"/>
        </w:rPr>
        <w:lastRenderedPageBreak/>
        <w:t>RASHODI DRŽAVNOG PRORAČUNA</w:t>
      </w:r>
      <w:bookmarkEnd w:id="24"/>
      <w:r w:rsidRPr="00F70B2A">
        <w:rPr>
          <w:lang w:val="hr-HR"/>
        </w:rPr>
        <w:t xml:space="preserve"> </w:t>
      </w:r>
    </w:p>
    <w:p w:rsidR="00695821" w:rsidRPr="00F70B2A" w:rsidRDefault="00695821" w:rsidP="00506C0E">
      <w:pPr>
        <w:spacing w:before="240"/>
        <w:rPr>
          <w:lang w:val="hr-HR"/>
        </w:rPr>
      </w:pPr>
    </w:p>
    <w:p w:rsidR="00C8194C" w:rsidRPr="00F70B2A" w:rsidRDefault="00C8194C" w:rsidP="00C8194C">
      <w:pPr>
        <w:spacing w:after="120"/>
        <w:jc w:val="both"/>
        <w:rPr>
          <w:lang w:val="hr-HR"/>
        </w:rPr>
      </w:pPr>
      <w:r w:rsidRPr="00F70B2A">
        <w:rPr>
          <w:lang w:val="hr-HR"/>
        </w:rPr>
        <w:t>U 2020. godini ukupni rashodi državnog proračuna planirani su u iznosu od 147,3 milijarde kuna, što je 5,0% ili 7,0 milijardi kuna više u odnosu na Državni proračun Republike Hrvatske za 2019. godinu. U 2021. godini ukupni rashodi dosegnut će razinu od 149,0 milijardi kuna, a u 2022. godini razinu od 150,7 milijardi kuna.</w:t>
      </w:r>
    </w:p>
    <w:p w:rsidR="00BC27DE" w:rsidRDefault="00BC27DE" w:rsidP="002F4321">
      <w:pPr>
        <w:spacing w:before="240" w:after="240" w:line="240" w:lineRule="auto"/>
        <w:jc w:val="both"/>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3</w:t>
      </w:r>
      <w:r w:rsidRPr="00F70B2A">
        <w:rPr>
          <w:i/>
          <w:lang w:val="hr-HR"/>
        </w:rPr>
        <w:fldChar w:fldCharType="end"/>
      </w:r>
      <w:r w:rsidRPr="00F70B2A">
        <w:rPr>
          <w:i/>
          <w:lang w:val="hr-HR"/>
        </w:rPr>
        <w:t>: Kretanje ukupnih rashoda državnog proračuna u razdoblju 201</w:t>
      </w:r>
      <w:r w:rsidR="00C8194C" w:rsidRPr="00F70B2A">
        <w:rPr>
          <w:i/>
          <w:lang w:val="hr-HR"/>
        </w:rPr>
        <w:t>8</w:t>
      </w:r>
      <w:r w:rsidRPr="00F70B2A">
        <w:rPr>
          <w:i/>
          <w:lang w:val="hr-HR"/>
        </w:rPr>
        <w:t>. - 202</w:t>
      </w:r>
      <w:r w:rsidR="00C8194C" w:rsidRPr="00F70B2A">
        <w:rPr>
          <w:i/>
          <w:lang w:val="hr-HR"/>
        </w:rPr>
        <w:t>2</w:t>
      </w:r>
      <w:r w:rsidRPr="00F70B2A">
        <w:rPr>
          <w:i/>
          <w:lang w:val="hr-HR"/>
        </w:rPr>
        <w:t>.</w:t>
      </w:r>
    </w:p>
    <w:p w:rsidR="00BC27DE" w:rsidRPr="00F70B2A" w:rsidRDefault="00FC0142" w:rsidP="00FC0142">
      <w:pPr>
        <w:spacing w:before="240" w:after="240" w:line="240" w:lineRule="auto"/>
        <w:jc w:val="both"/>
        <w:rPr>
          <w:i/>
          <w:sz w:val="20"/>
          <w:lang w:val="hr-HR"/>
        </w:rPr>
      </w:pPr>
      <w:r w:rsidRPr="00FC0142">
        <w:rPr>
          <w:noProof/>
          <w:lang w:val="hr-HR" w:eastAsia="hr-HR"/>
        </w:rPr>
        <w:drawing>
          <wp:inline distT="0" distB="0" distL="0" distR="0" wp14:anchorId="7532DF95" wp14:editId="3BB83F81">
            <wp:extent cx="5760720" cy="199324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993240"/>
                    </a:xfrm>
                    <a:prstGeom prst="rect">
                      <a:avLst/>
                    </a:prstGeom>
                    <a:noFill/>
                    <a:ln>
                      <a:noFill/>
                    </a:ln>
                  </pic:spPr>
                </pic:pic>
              </a:graphicData>
            </a:graphic>
          </wp:inline>
        </w:drawing>
      </w:r>
      <w:r w:rsidR="00BC27DE" w:rsidRPr="00F70B2A">
        <w:rPr>
          <w:i/>
          <w:sz w:val="20"/>
          <w:lang w:val="hr-HR"/>
        </w:rPr>
        <w:t>Izvor: Ministarstvo financija</w:t>
      </w:r>
    </w:p>
    <w:p w:rsidR="00C8194C" w:rsidRPr="00F70B2A" w:rsidRDefault="00C8194C" w:rsidP="00C8194C">
      <w:pPr>
        <w:spacing w:after="120"/>
        <w:jc w:val="both"/>
        <w:rPr>
          <w:lang w:val="hr-HR"/>
        </w:rPr>
      </w:pPr>
      <w:r w:rsidRPr="00F70B2A">
        <w:rPr>
          <w:lang w:val="hr-HR"/>
        </w:rPr>
        <w:t xml:space="preserve">Od ukupnog povećanja od 7,0 milijardi kuna u odnosu na Državni proračun Republike Hrvatske za 2019. godinu, 3,6 milijardi kuna odnosi se na povećanje rashoda koji se financiraju iz općih prihoda i primitaka, doprinosa i namjenskih primitaka, odnosno izvora koji utječu na rezultat proračuna opće države, a ostatak od 3,4 milijarde kuna odnosi se na povećanje rashoda koji se financiraju iz vlastitih i namjenskih izvora, uključujući EU pomoći. </w:t>
      </w:r>
    </w:p>
    <w:p w:rsidR="00C8194C" w:rsidRPr="00F70B2A" w:rsidRDefault="00C8194C" w:rsidP="00C8194C">
      <w:pPr>
        <w:spacing w:after="120"/>
        <w:jc w:val="both"/>
        <w:rPr>
          <w:lang w:val="hr-HR"/>
        </w:rPr>
      </w:pPr>
      <w:r w:rsidRPr="00F70B2A">
        <w:rPr>
          <w:lang w:val="hr-HR"/>
        </w:rPr>
        <w:t>U nastavku se daje pregled kretanja rashoda državnog proračuna u razdoblju 2018. - 2022. po ekonomskoj klasifikaciji. Potrebno je napomenuti kako je kod izrade Državnog proračuna za razdoblje 2020. - 2022. došlo do značajne promjene metodologije u iskazivanju rashoda za zaposlene osnovnih i srednjih škola i transfera namijenjenih Hrvatskim autocestama d.o.o., HŽ Infrastrukturi d.o.o., Autocesti Rijeka-Zagreb d.d. i HŽ Putničkom prijevozu d.o.o. Također, sredstva namijenjena uredima državne uprave u županijama do sada su se iskazivala po prirodnoj vrsti rashoda, a prijenosom poslova na jedinice područne (regionalne) samouprave od 2020. godine ista će se iskazivati na kategoriji pomoći.</w:t>
      </w:r>
    </w:p>
    <w:p w:rsidR="00533F79" w:rsidRPr="00F70B2A" w:rsidRDefault="00533F79" w:rsidP="00695821">
      <w:pPr>
        <w:rPr>
          <w:lang w:val="hr-HR"/>
        </w:rPr>
      </w:pPr>
    </w:p>
    <w:p w:rsidR="00984E44" w:rsidRPr="00F70B2A" w:rsidRDefault="00984E44" w:rsidP="00695821">
      <w:pPr>
        <w:rPr>
          <w:lang w:val="hr-HR"/>
        </w:rPr>
      </w:pPr>
    </w:p>
    <w:p w:rsidR="00C8194C" w:rsidRPr="00F70B2A" w:rsidRDefault="00C8194C" w:rsidP="00695821">
      <w:pPr>
        <w:rPr>
          <w:lang w:val="hr-HR"/>
        </w:rPr>
      </w:pPr>
    </w:p>
    <w:p w:rsidR="00C8194C" w:rsidRPr="00F70B2A" w:rsidRDefault="00C8194C" w:rsidP="00695821">
      <w:pPr>
        <w:rPr>
          <w:lang w:val="hr-HR"/>
        </w:rPr>
      </w:pPr>
    </w:p>
    <w:p w:rsidR="00984E44" w:rsidRPr="00F70B2A" w:rsidRDefault="00984E44" w:rsidP="00695821">
      <w:pPr>
        <w:rPr>
          <w:lang w:val="hr-HR"/>
        </w:rPr>
      </w:pPr>
      <w:r w:rsidRPr="00F70B2A">
        <w:rPr>
          <w:lang w:val="hr-HR"/>
        </w:rPr>
        <w:br w:type="page"/>
      </w:r>
    </w:p>
    <w:p w:rsidR="00695821" w:rsidRPr="00F70B2A" w:rsidRDefault="00695821" w:rsidP="0029489C">
      <w:pPr>
        <w:pStyle w:val="Heading2"/>
        <w:numPr>
          <w:ilvl w:val="1"/>
          <w:numId w:val="16"/>
        </w:numPr>
        <w:ind w:left="993" w:hanging="567"/>
        <w:rPr>
          <w:lang w:val="hr-HR"/>
        </w:rPr>
      </w:pPr>
      <w:bookmarkStart w:id="25" w:name="_Toc23376939"/>
      <w:r w:rsidRPr="00F70B2A">
        <w:rPr>
          <w:lang w:val="hr-HR"/>
        </w:rPr>
        <w:lastRenderedPageBreak/>
        <w:t xml:space="preserve">Obrazloženje rashoda po </w:t>
      </w:r>
      <w:r w:rsidR="007E4D7B" w:rsidRPr="00F70B2A">
        <w:rPr>
          <w:lang w:val="hr-HR"/>
        </w:rPr>
        <w:t>izvorima financiranja</w:t>
      </w:r>
      <w:bookmarkEnd w:id="25"/>
    </w:p>
    <w:p w:rsidR="00155FA2" w:rsidRPr="00F70B2A" w:rsidRDefault="00155FA2" w:rsidP="00BE094B">
      <w:pPr>
        <w:spacing w:before="240" w:after="0" w:line="240" w:lineRule="auto"/>
        <w:jc w:val="both"/>
        <w:rPr>
          <w:sz w:val="16"/>
          <w:lang w:val="hr-HR"/>
        </w:rPr>
      </w:pPr>
      <w:bookmarkStart w:id="26" w:name="_Toc445241792"/>
    </w:p>
    <w:p w:rsidR="00BC27DE" w:rsidRPr="00F70B2A" w:rsidRDefault="00BC27DE" w:rsidP="00BE094B">
      <w:pPr>
        <w:spacing w:before="240" w:after="0" w:line="240" w:lineRule="auto"/>
        <w:jc w:val="both"/>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4</w:t>
      </w:r>
      <w:r w:rsidRPr="00F70B2A">
        <w:rPr>
          <w:i/>
          <w:lang w:val="hr-HR"/>
        </w:rPr>
        <w:fldChar w:fldCharType="end"/>
      </w:r>
      <w:r w:rsidRPr="00F70B2A">
        <w:rPr>
          <w:i/>
          <w:lang w:val="hr-HR"/>
        </w:rPr>
        <w:t xml:space="preserve">: </w:t>
      </w:r>
      <w:r w:rsidR="00C8194C" w:rsidRPr="00F70B2A">
        <w:rPr>
          <w:i/>
          <w:lang w:val="hr-HR"/>
        </w:rPr>
        <w:t>Kretanje rashoda državnog proračuna koji se financiraju iz općih prihoda i primitaka, doprinosa i namjenskih primitaka u razdoblju 2018. - 2022.</w:t>
      </w:r>
    </w:p>
    <w:p w:rsidR="00984E44" w:rsidRPr="00F70B2A" w:rsidRDefault="00984E44" w:rsidP="00BE094B">
      <w:pPr>
        <w:spacing w:before="240" w:after="0" w:line="240" w:lineRule="auto"/>
        <w:jc w:val="both"/>
        <w:rPr>
          <w:i/>
          <w:lang w:val="hr-HR"/>
        </w:rPr>
      </w:pPr>
      <w:r w:rsidRPr="00F70B2A">
        <w:rPr>
          <w:noProof/>
          <w:lang w:val="hr-HR" w:eastAsia="hr-HR"/>
        </w:rPr>
        <w:drawing>
          <wp:inline distT="0" distB="0" distL="0" distR="0" wp14:anchorId="415909EF" wp14:editId="0FDEDAD6">
            <wp:extent cx="5760720" cy="216108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161087"/>
                    </a:xfrm>
                    <a:prstGeom prst="rect">
                      <a:avLst/>
                    </a:prstGeom>
                    <a:noFill/>
                    <a:ln>
                      <a:noFill/>
                    </a:ln>
                  </pic:spPr>
                </pic:pic>
              </a:graphicData>
            </a:graphic>
          </wp:inline>
        </w:drawing>
      </w:r>
    </w:p>
    <w:p w:rsidR="00BC27DE" w:rsidRPr="00F70B2A" w:rsidRDefault="00BC27DE" w:rsidP="00BC27DE">
      <w:pPr>
        <w:rPr>
          <w:i/>
          <w:sz w:val="20"/>
          <w:lang w:val="hr-HR"/>
        </w:rPr>
      </w:pPr>
      <w:r w:rsidRPr="00F70B2A">
        <w:rPr>
          <w:i/>
          <w:sz w:val="20"/>
          <w:lang w:val="hr-HR"/>
        </w:rPr>
        <w:t>Izvor: Ministarstvo financija</w:t>
      </w:r>
    </w:p>
    <w:p w:rsidR="00BC27DE" w:rsidRDefault="00BC27DE" w:rsidP="002F4321">
      <w:pPr>
        <w:spacing w:before="240" w:after="240" w:line="240" w:lineRule="auto"/>
        <w:jc w:val="both"/>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5</w:t>
      </w:r>
      <w:r w:rsidRPr="00F70B2A">
        <w:rPr>
          <w:i/>
          <w:lang w:val="hr-HR"/>
        </w:rPr>
        <w:fldChar w:fldCharType="end"/>
      </w:r>
      <w:r w:rsidRPr="00F70B2A">
        <w:rPr>
          <w:i/>
          <w:lang w:val="hr-HR"/>
        </w:rPr>
        <w:t xml:space="preserve">: </w:t>
      </w:r>
      <w:r w:rsidR="00C8194C" w:rsidRPr="00F70B2A">
        <w:rPr>
          <w:i/>
          <w:lang w:val="hr-HR"/>
        </w:rPr>
        <w:t>Kretanje rashoda državnog proračuna koji se financiraju iz vlastitih prihoda, prihoda za posebne namjene, pomoći i donacija u razdoblju 2018. - 2022.</w:t>
      </w:r>
    </w:p>
    <w:p w:rsidR="00BC27DE" w:rsidRPr="00F70B2A" w:rsidRDefault="00960F86" w:rsidP="00960F86">
      <w:pPr>
        <w:spacing w:before="240" w:after="240" w:line="240" w:lineRule="auto"/>
        <w:jc w:val="both"/>
        <w:rPr>
          <w:i/>
          <w:sz w:val="20"/>
          <w:lang w:val="hr-HR"/>
        </w:rPr>
      </w:pPr>
      <w:r w:rsidRPr="00960F86">
        <w:rPr>
          <w:noProof/>
          <w:lang w:val="hr-HR" w:eastAsia="hr-HR"/>
        </w:rPr>
        <w:drawing>
          <wp:inline distT="0" distB="0" distL="0" distR="0" wp14:anchorId="737E0261" wp14:editId="442E3DBF">
            <wp:extent cx="5760720" cy="1943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1943250"/>
                    </a:xfrm>
                    <a:prstGeom prst="rect">
                      <a:avLst/>
                    </a:prstGeom>
                    <a:noFill/>
                    <a:ln>
                      <a:noFill/>
                    </a:ln>
                  </pic:spPr>
                </pic:pic>
              </a:graphicData>
            </a:graphic>
          </wp:inline>
        </w:drawing>
      </w:r>
      <w:r w:rsidR="00BC27DE" w:rsidRPr="00F70B2A">
        <w:rPr>
          <w:i/>
          <w:sz w:val="20"/>
          <w:lang w:val="hr-HR"/>
        </w:rPr>
        <w:t>Izvor: Ministarstvo financija</w:t>
      </w:r>
    </w:p>
    <w:p w:rsidR="00C8194C" w:rsidRPr="00F70B2A" w:rsidRDefault="00C8194C" w:rsidP="00C8194C">
      <w:pPr>
        <w:spacing w:after="120"/>
        <w:jc w:val="both"/>
        <w:rPr>
          <w:lang w:val="hr-HR"/>
        </w:rPr>
      </w:pPr>
      <w:r w:rsidRPr="00F70B2A">
        <w:rPr>
          <w:lang w:val="hr-HR"/>
        </w:rPr>
        <w:t>Rast rashoda financiranih iz općih prihoda i primitaka, doprinosa i namjenskih primitaka u 2020. godini u odnosu na tekući plan 2019. najvećim dijelom rezultat je osiguranja sredstava za:</w:t>
      </w:r>
    </w:p>
    <w:p w:rsidR="00C8194C" w:rsidRPr="00F70B2A" w:rsidRDefault="00C8194C" w:rsidP="00C8194C">
      <w:pPr>
        <w:pStyle w:val="ListParagraph"/>
        <w:numPr>
          <w:ilvl w:val="0"/>
          <w:numId w:val="19"/>
        </w:numPr>
        <w:jc w:val="both"/>
        <w:rPr>
          <w:rFonts w:cs="Times New Roman"/>
          <w:szCs w:val="24"/>
          <w:lang w:val="hr-HR"/>
        </w:rPr>
      </w:pPr>
      <w:r w:rsidRPr="00F70B2A">
        <w:rPr>
          <w:rFonts w:cs="Times New Roman"/>
          <w:szCs w:val="24"/>
          <w:lang w:val="hr-HR"/>
        </w:rPr>
        <w:t>mirovine i mirovinska primanja (indeksacija mirovina po općim i posebnim propisima i očekivani porast broja umirovljenika) u iznosu od 2,5 milijard</w:t>
      </w:r>
      <w:r w:rsidR="00F70B2A" w:rsidRPr="00F70B2A">
        <w:rPr>
          <w:rFonts w:cs="Times New Roman"/>
          <w:szCs w:val="24"/>
          <w:lang w:val="hr-HR"/>
        </w:rPr>
        <w:t>i</w:t>
      </w:r>
      <w:r w:rsidRPr="00F70B2A">
        <w:rPr>
          <w:rFonts w:cs="Times New Roman"/>
          <w:szCs w:val="24"/>
          <w:lang w:val="hr-HR"/>
        </w:rPr>
        <w:t xml:space="preserve"> kuna,</w:t>
      </w:r>
    </w:p>
    <w:p w:rsidR="00C8194C" w:rsidRPr="00F70B2A" w:rsidRDefault="00C8194C" w:rsidP="00C8194C">
      <w:pPr>
        <w:pStyle w:val="ListParagraph"/>
        <w:numPr>
          <w:ilvl w:val="0"/>
          <w:numId w:val="19"/>
        </w:numPr>
        <w:jc w:val="both"/>
        <w:rPr>
          <w:rFonts w:cs="Times New Roman"/>
          <w:szCs w:val="24"/>
          <w:lang w:val="hr-HR"/>
        </w:rPr>
      </w:pPr>
      <w:r w:rsidRPr="00F70B2A">
        <w:rPr>
          <w:rFonts w:cs="Times New Roman"/>
          <w:szCs w:val="24"/>
          <w:lang w:val="hr-HR"/>
        </w:rPr>
        <w:t>rashode za zaposlene</w:t>
      </w:r>
      <w:r w:rsidRPr="00F70B2A">
        <w:rPr>
          <w:rStyle w:val="FootnoteReference"/>
          <w:rFonts w:cs="Times New Roman"/>
          <w:szCs w:val="24"/>
          <w:lang w:val="hr-HR"/>
        </w:rPr>
        <w:footnoteReference w:id="3"/>
      </w:r>
      <w:r w:rsidRPr="00F70B2A">
        <w:rPr>
          <w:rFonts w:cs="Times New Roman"/>
          <w:szCs w:val="24"/>
          <w:lang w:val="hr-HR"/>
        </w:rPr>
        <w:t xml:space="preserve"> u iznosu od 1,7 milijardi kuna (fiskalni učinak pune primjene povećanja osnovice iz 2019. godine i primjene očekivanog povećanja osnovice za izračun plaće za 6,12% u 2020. godini),</w:t>
      </w:r>
    </w:p>
    <w:p w:rsidR="00C8194C" w:rsidRPr="00F70B2A" w:rsidRDefault="00C8194C" w:rsidP="00C8194C">
      <w:pPr>
        <w:pStyle w:val="ListParagraph"/>
        <w:numPr>
          <w:ilvl w:val="0"/>
          <w:numId w:val="19"/>
        </w:numPr>
        <w:jc w:val="both"/>
        <w:rPr>
          <w:rFonts w:cs="Times New Roman"/>
          <w:szCs w:val="24"/>
          <w:lang w:val="hr-HR"/>
        </w:rPr>
      </w:pPr>
      <w:r w:rsidRPr="00F70B2A">
        <w:rPr>
          <w:rFonts w:cs="Times New Roman"/>
          <w:szCs w:val="24"/>
          <w:lang w:val="hr-HR"/>
        </w:rPr>
        <w:lastRenderedPageBreak/>
        <w:t>primjenu Zakona o</w:t>
      </w:r>
      <w:r w:rsidR="003B7D7B">
        <w:rPr>
          <w:rFonts w:cs="Times New Roman"/>
          <w:szCs w:val="24"/>
          <w:lang w:val="hr-HR"/>
        </w:rPr>
        <w:t xml:space="preserve"> izmjenama Zakona o rodiljnim i</w:t>
      </w:r>
      <w:r w:rsidRPr="00F70B2A">
        <w:rPr>
          <w:rFonts w:cs="Times New Roman"/>
          <w:szCs w:val="24"/>
          <w:lang w:val="hr-HR"/>
        </w:rPr>
        <w:t xml:space="preserve"> roditeljskim potporama kojim se predviđa povećanje maksimalnog iznosa naknade plaće koja se isplaćuje zaposlenim roditeljima za vrijeme korištenja roditeljskog dopusta (drugih šest mjeseci) za što su osigurana dodatna sredstva u iznosu od 160,6 milijuna kuna,</w:t>
      </w:r>
    </w:p>
    <w:p w:rsidR="00C8194C" w:rsidRPr="00F70B2A" w:rsidRDefault="00C8194C" w:rsidP="00C8194C">
      <w:pPr>
        <w:pStyle w:val="ListParagraph"/>
        <w:numPr>
          <w:ilvl w:val="0"/>
          <w:numId w:val="19"/>
        </w:numPr>
        <w:jc w:val="both"/>
        <w:rPr>
          <w:rFonts w:cs="Times New Roman"/>
          <w:szCs w:val="24"/>
          <w:lang w:val="hr-HR"/>
        </w:rPr>
      </w:pPr>
      <w:r w:rsidRPr="00F70B2A">
        <w:rPr>
          <w:rFonts w:cs="Times New Roman"/>
          <w:szCs w:val="24"/>
          <w:lang w:val="hr-HR"/>
        </w:rPr>
        <w:t xml:space="preserve">kompenzacijske mjere jedinicama lokalne i područne (regionalne) samouprave u iznosu od 507,0 milijuna kuna (u visini procijenjenog gubitka prihoda temeljem povećanja osnovnog osobnog odbitka sukladno izmjenama propisa kojima je uređeno oporezivanje dohotka, a koje će stupiti na snagu 1. siječnja 2020.), </w:t>
      </w:r>
    </w:p>
    <w:p w:rsidR="00C8194C" w:rsidRPr="00F70B2A" w:rsidRDefault="00C8194C" w:rsidP="00C8194C">
      <w:pPr>
        <w:pStyle w:val="ListParagraph"/>
        <w:numPr>
          <w:ilvl w:val="0"/>
          <w:numId w:val="19"/>
        </w:numPr>
        <w:jc w:val="both"/>
        <w:rPr>
          <w:rFonts w:cs="Times New Roman"/>
          <w:szCs w:val="24"/>
          <w:lang w:val="hr-HR"/>
        </w:rPr>
      </w:pPr>
      <w:r w:rsidRPr="00F70B2A">
        <w:rPr>
          <w:rFonts w:cs="Times New Roman"/>
          <w:szCs w:val="24"/>
          <w:lang w:val="hr-HR"/>
        </w:rPr>
        <w:t>plaćanje drugog dijela predujma za osiguranje nužne stabilizacije poslovanja društva Croatia Airlines u iznosu od 150,0 milijuna kuna (u 2019. godini na teret sredstava Proračunske zalihe isplaćeno je 100 milijuna kuna),</w:t>
      </w:r>
    </w:p>
    <w:p w:rsidR="00C8194C" w:rsidRPr="00F70B2A" w:rsidRDefault="00C8194C" w:rsidP="00C8194C">
      <w:pPr>
        <w:spacing w:before="240"/>
        <w:jc w:val="both"/>
        <w:rPr>
          <w:rFonts w:cs="Times New Roman"/>
          <w:szCs w:val="24"/>
          <w:lang w:val="hr-HR"/>
        </w:rPr>
      </w:pPr>
      <w:r w:rsidRPr="00F70B2A">
        <w:rPr>
          <w:rFonts w:cs="Times New Roman"/>
          <w:szCs w:val="24"/>
          <w:lang w:val="hr-HR"/>
        </w:rPr>
        <w:t xml:space="preserve">Podsjećamo kako i u 2020. godini, za vlastite i namjenske prihode, kao i rashode koji se financiraju iz </w:t>
      </w:r>
      <w:r w:rsidRPr="003B7D7B">
        <w:rPr>
          <w:rFonts w:cs="Times New Roman"/>
          <w:szCs w:val="24"/>
          <w:lang w:val="hr-HR"/>
        </w:rPr>
        <w:t>ovih izvora ne postoji obveza uplate na račun državne riznice, već se izvršavanje istih prati samo</w:t>
      </w:r>
      <w:r w:rsidRPr="00F70B2A">
        <w:rPr>
          <w:rFonts w:cs="Times New Roman"/>
          <w:szCs w:val="24"/>
          <w:lang w:val="hr-HR"/>
        </w:rPr>
        <w:t xml:space="preserve"> izvještajno, za proračunske korisnike u visokom obrazovanju, javne institute, Leksikografski zavod Miroslav Krleža, Nacionalnu i sveučilišnu knjižnicu, proračunske korisnike u pravosuđu – sustavu izvršenja sankcija, ustanove u socijalnoj skrbi, kulturi, dio korisnika u zdravstvu, nacionalne parkove, parkove prirode, Agenciju za elektroničke medije, Agenciju za civilno zrakoplovstvo, Hrvatsku energetsko regulatornu agenciju i Hrvatsku regulatornu agenciju za mrežne djelatnosti te diplomatsko-konzularna predstavništva Republike Hrvatske u inozemstvu za prihode ostvarene od pruženih konzularnih usluga. </w:t>
      </w:r>
    </w:p>
    <w:p w:rsidR="00C8194C" w:rsidRPr="00F70B2A" w:rsidRDefault="00C8194C" w:rsidP="00C8194C">
      <w:pPr>
        <w:spacing w:before="240"/>
        <w:jc w:val="both"/>
        <w:rPr>
          <w:rFonts w:cs="Times New Roman"/>
          <w:szCs w:val="24"/>
          <w:lang w:val="hr-HR"/>
        </w:rPr>
      </w:pPr>
      <w:r w:rsidRPr="00F70B2A">
        <w:rPr>
          <w:rFonts w:cs="Times New Roman"/>
          <w:szCs w:val="24"/>
          <w:lang w:val="hr-HR"/>
        </w:rPr>
        <w:t xml:space="preserve">U nastavku se daje prikaz kretanja rashoda državnog proračuna u razdoblju 2018. - 2022. po izvorima financiranja. Naime, proračunske klasifikacije čine okvir kojim se iskazuju i sustavno prate prihodi i primici te rashodi i izdaci po nositelju, cilju, namjeni, vrsti, lokaciji i izvoru financiranja. Izvori financiranja sadrže prihode i primitke iz kojih se podmiruju rashodi i izdaci određene vrste i namjene. S obzirom na sve veću zastupljenost EU sredstava u ukupnim prihodima, a time i proračunskim rashodima, ova klasifikacija postaje sve značajnija. </w:t>
      </w:r>
    </w:p>
    <w:p w:rsidR="00BE094B" w:rsidRPr="00F70B2A" w:rsidRDefault="00BE094B"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3750F6" w:rsidRPr="00F70B2A" w:rsidRDefault="003750F6" w:rsidP="00BC27DE">
      <w:pPr>
        <w:spacing w:before="240" w:after="0" w:line="240" w:lineRule="auto"/>
        <w:jc w:val="both"/>
        <w:rPr>
          <w:i/>
          <w:lang w:val="hr-HR"/>
        </w:rPr>
      </w:pPr>
    </w:p>
    <w:p w:rsidR="00D43123" w:rsidRPr="00F70B2A" w:rsidRDefault="00D43123" w:rsidP="00BC27DE">
      <w:pPr>
        <w:spacing w:before="240" w:after="0" w:line="240" w:lineRule="auto"/>
        <w:jc w:val="both"/>
        <w:rPr>
          <w:i/>
          <w:lang w:val="hr-HR"/>
        </w:rPr>
      </w:pPr>
      <w:r w:rsidRPr="00F70B2A">
        <w:rPr>
          <w:i/>
          <w:lang w:val="hr-HR"/>
        </w:rPr>
        <w:br w:type="page"/>
      </w:r>
    </w:p>
    <w:p w:rsidR="003750F6" w:rsidRDefault="00BC27DE" w:rsidP="003750F6">
      <w:pPr>
        <w:spacing w:before="240" w:after="0" w:line="240" w:lineRule="auto"/>
        <w:jc w:val="both"/>
        <w:rPr>
          <w:i/>
          <w:lang w:val="hr-HR"/>
        </w:rPr>
      </w:pPr>
      <w:r w:rsidRPr="00F70B2A">
        <w:rPr>
          <w:i/>
          <w:lang w:val="hr-HR"/>
        </w:rPr>
        <w:lastRenderedPageBreak/>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6</w:t>
      </w:r>
      <w:r w:rsidRPr="00F70B2A">
        <w:rPr>
          <w:i/>
          <w:lang w:val="hr-HR"/>
        </w:rPr>
        <w:fldChar w:fldCharType="end"/>
      </w:r>
      <w:r w:rsidRPr="00F70B2A">
        <w:rPr>
          <w:i/>
          <w:lang w:val="hr-HR"/>
        </w:rPr>
        <w:t xml:space="preserve">: </w:t>
      </w:r>
      <w:r w:rsidR="00C8194C" w:rsidRPr="00F70B2A">
        <w:rPr>
          <w:i/>
          <w:lang w:val="hr-HR"/>
        </w:rPr>
        <w:t>Kretanje rashoda državnog proračuna u razdoblju 2018. - 2022. po izvorima financiranja</w:t>
      </w:r>
    </w:p>
    <w:p w:rsidR="00960F86" w:rsidRPr="00F70B2A" w:rsidRDefault="00960F86" w:rsidP="003750F6">
      <w:pPr>
        <w:spacing w:before="240" w:after="0" w:line="240" w:lineRule="auto"/>
        <w:jc w:val="both"/>
        <w:rPr>
          <w:i/>
          <w:lang w:val="hr-HR"/>
        </w:rPr>
      </w:pPr>
      <w:r w:rsidRPr="00960F86">
        <w:rPr>
          <w:noProof/>
          <w:lang w:val="hr-HR" w:eastAsia="hr-HR"/>
        </w:rPr>
        <w:drawing>
          <wp:inline distT="0" distB="0" distL="0" distR="0" wp14:anchorId="3D03A1A0" wp14:editId="4F5C5DC7">
            <wp:extent cx="5760720" cy="741357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7413577"/>
                    </a:xfrm>
                    <a:prstGeom prst="rect">
                      <a:avLst/>
                    </a:prstGeom>
                    <a:noFill/>
                    <a:ln>
                      <a:noFill/>
                    </a:ln>
                  </pic:spPr>
                </pic:pic>
              </a:graphicData>
            </a:graphic>
          </wp:inline>
        </w:drawing>
      </w:r>
    </w:p>
    <w:p w:rsidR="00BE094B" w:rsidRDefault="00BC27DE" w:rsidP="00BC27DE">
      <w:pPr>
        <w:rPr>
          <w:i/>
          <w:sz w:val="20"/>
          <w:lang w:val="hr-HR"/>
        </w:rPr>
      </w:pPr>
      <w:r w:rsidRPr="00F70B2A">
        <w:rPr>
          <w:i/>
          <w:sz w:val="20"/>
          <w:lang w:val="hr-HR"/>
        </w:rPr>
        <w:t>Izvor: Ministarstvo financija</w:t>
      </w:r>
    </w:p>
    <w:p w:rsidR="00960F86" w:rsidRDefault="00960F86" w:rsidP="00BC27DE">
      <w:pPr>
        <w:rPr>
          <w:i/>
          <w:sz w:val="20"/>
          <w:lang w:val="hr-HR"/>
        </w:rPr>
      </w:pPr>
    </w:p>
    <w:p w:rsidR="00960F86" w:rsidRDefault="00960F86" w:rsidP="00BC27DE">
      <w:pPr>
        <w:rPr>
          <w:i/>
          <w:sz w:val="20"/>
          <w:lang w:val="hr-HR"/>
        </w:rPr>
      </w:pPr>
      <w:r>
        <w:rPr>
          <w:i/>
          <w:sz w:val="20"/>
          <w:lang w:val="hr-HR"/>
        </w:rPr>
        <w:br w:type="page"/>
      </w:r>
    </w:p>
    <w:p w:rsidR="00695821" w:rsidRPr="00F70B2A" w:rsidRDefault="007E4D7B" w:rsidP="0029489C">
      <w:pPr>
        <w:pStyle w:val="Heading2"/>
        <w:numPr>
          <w:ilvl w:val="1"/>
          <w:numId w:val="16"/>
        </w:numPr>
        <w:ind w:left="993" w:hanging="567"/>
        <w:rPr>
          <w:lang w:val="hr-HR"/>
        </w:rPr>
      </w:pPr>
      <w:bookmarkStart w:id="27" w:name="_Toc23376940"/>
      <w:bookmarkEnd w:id="26"/>
      <w:r w:rsidRPr="00F70B2A">
        <w:rPr>
          <w:lang w:val="hr-HR"/>
        </w:rPr>
        <w:lastRenderedPageBreak/>
        <w:t>Obrazloženje rashoda po ekonomskoj klasifikaciji</w:t>
      </w:r>
      <w:bookmarkEnd w:id="27"/>
    </w:p>
    <w:p w:rsidR="000146B7" w:rsidRPr="00F70B2A" w:rsidRDefault="000146B7" w:rsidP="00BB1B39">
      <w:pPr>
        <w:jc w:val="both"/>
        <w:rPr>
          <w:b/>
          <w:i/>
          <w:lang w:val="hr-HR"/>
        </w:rPr>
      </w:pPr>
    </w:p>
    <w:p w:rsidR="00C8194C" w:rsidRPr="00F70B2A" w:rsidRDefault="00C8194C" w:rsidP="00D668A6">
      <w:pPr>
        <w:spacing w:after="120"/>
        <w:jc w:val="both"/>
        <w:rPr>
          <w:b/>
          <w:i/>
          <w:lang w:val="hr-HR"/>
        </w:rPr>
      </w:pPr>
      <w:r w:rsidRPr="00F70B2A">
        <w:rPr>
          <w:b/>
          <w:i/>
          <w:lang w:val="hr-HR"/>
        </w:rPr>
        <w:t>Rashodi za zaposlene</w:t>
      </w:r>
    </w:p>
    <w:p w:rsidR="00C8194C" w:rsidRPr="00F70B2A" w:rsidRDefault="00C8194C" w:rsidP="00C8194C">
      <w:pPr>
        <w:jc w:val="both"/>
        <w:rPr>
          <w:rFonts w:cs="Times New Roman"/>
          <w:lang w:val="hr-HR"/>
        </w:rPr>
      </w:pPr>
      <w:r w:rsidRPr="00F70B2A">
        <w:rPr>
          <w:rFonts w:cs="Times New Roman"/>
          <w:lang w:val="hr-HR"/>
        </w:rPr>
        <w:t xml:space="preserve">Rashodi za zaposlene svojim udjelom u ukupnim rashodima čine drugu po veličini skupinu rashoda proračuna. Ukupni rashodi za zaposlene u 2020. godini planiraju se u iznosu od 22,8 milijardi kuna i u odnosu na plan 2019. godine bilježe pad od 6,3 milijarde kuna. </w:t>
      </w:r>
    </w:p>
    <w:p w:rsidR="00C8194C" w:rsidRPr="00F70B2A" w:rsidRDefault="00C8194C" w:rsidP="00C8194C">
      <w:pPr>
        <w:jc w:val="both"/>
        <w:rPr>
          <w:rFonts w:cs="Times New Roman"/>
          <w:lang w:val="hr-HR"/>
        </w:rPr>
      </w:pPr>
      <w:r w:rsidRPr="00F70B2A">
        <w:rPr>
          <w:rFonts w:cs="Times New Roman"/>
          <w:lang w:val="hr-HR"/>
        </w:rPr>
        <w:t>Navedeno je rezultat promjene u metodologiji iskazivanja rashoda za bruto plaće, doprinose i ostale rashode za zaposlenike osnovnih i srednjih škola, a zbog primjene nalaza Državnog ureda za reviziju.</w:t>
      </w:r>
    </w:p>
    <w:p w:rsidR="00C8194C" w:rsidRPr="00F70B2A" w:rsidRDefault="00C8194C" w:rsidP="00C8194C">
      <w:pPr>
        <w:jc w:val="both"/>
        <w:rPr>
          <w:rFonts w:cs="Times New Roman"/>
          <w:lang w:val="hr-HR"/>
        </w:rPr>
      </w:pPr>
      <w:r w:rsidRPr="00F70B2A">
        <w:rPr>
          <w:rFonts w:cs="Times New Roman"/>
          <w:lang w:val="hr-HR"/>
        </w:rPr>
        <w:t>Naime, osnovne i srednje škole kojima su osnivači jedinice lokalne i područne (regionalne) samouprave, proračunski su korisnici tih jedinica. U državnim proračunima prethodnih godina rashodi za zaposlene ovih škola planirali su se na razdjelu Ministarstva znanosti i obrazovanja, proračunske glave 08005 u okviru rashoda za zaposlene, gdje se planiraju i rashodi za zaposlenike navedenog Ministarstva. Međutim, Državni ured za reviziju konstatirao je kako ovakav način planiranja</w:t>
      </w:r>
      <w:r w:rsidRPr="00F70B2A">
        <w:rPr>
          <w:rStyle w:val="FootnoteReference"/>
          <w:rFonts w:cs="Times New Roman"/>
          <w:lang w:val="hr-HR"/>
        </w:rPr>
        <w:footnoteReference w:id="4"/>
      </w:r>
      <w:r w:rsidRPr="00F70B2A">
        <w:rPr>
          <w:rFonts w:cs="Times New Roman"/>
          <w:lang w:val="hr-HR"/>
        </w:rPr>
        <w:t xml:space="preserve"> nije u skladu s propisanom ekonomskom klasifikacijom s obzirom da se tu radi o pomoćima proračunskim korisnicima drugih proračuna. </w:t>
      </w:r>
    </w:p>
    <w:p w:rsidR="00C8194C" w:rsidRPr="00F70B2A" w:rsidRDefault="00C8194C" w:rsidP="00C8194C">
      <w:pPr>
        <w:jc w:val="both"/>
        <w:rPr>
          <w:rFonts w:cs="Times New Roman"/>
          <w:lang w:val="hr-HR"/>
        </w:rPr>
      </w:pPr>
      <w:r w:rsidRPr="00F70B2A">
        <w:rPr>
          <w:rFonts w:cs="Times New Roman"/>
          <w:lang w:val="hr-HR"/>
        </w:rPr>
        <w:t>Slijedom navedenog, sredstva za financiranje rashoda zaposlenika osnovnih i srednjih škola u Državnom proračunu za razdoblje 2020. - 2022. planiraju se u okviru skupine računa 36 Pomoći dane u inozemstvo i unutar općeg proračuna, a ne više u okviru skupine računa 31 Rashodi za zaposlene.</w:t>
      </w:r>
    </w:p>
    <w:p w:rsidR="00C8194C" w:rsidRPr="00F70B2A" w:rsidRDefault="00C8194C" w:rsidP="00C8194C">
      <w:pPr>
        <w:jc w:val="both"/>
        <w:rPr>
          <w:rFonts w:cs="Times New Roman"/>
          <w:lang w:val="hr-HR"/>
        </w:rPr>
      </w:pPr>
      <w:r w:rsidRPr="00F70B2A">
        <w:rPr>
          <w:rFonts w:cs="Times New Roman"/>
          <w:lang w:val="hr-HR"/>
        </w:rPr>
        <w:t xml:space="preserve">Rashodi za zaposlene u osnovnim i srednjim školama, iskazani na aktivnostima A579000 Osnovnoškolsko obrazovanje i A580000 Srednjoškolsko obrazovanje, planirani su u 2020. godini na razini od 8,4 milijarde kuna. </w:t>
      </w:r>
    </w:p>
    <w:p w:rsidR="00C8194C" w:rsidRPr="00F70B2A" w:rsidRDefault="00C8194C" w:rsidP="00C8194C">
      <w:pPr>
        <w:jc w:val="both"/>
        <w:rPr>
          <w:rFonts w:cs="Times New Roman"/>
          <w:lang w:val="hr-HR"/>
        </w:rPr>
      </w:pPr>
      <w:r w:rsidRPr="00F70B2A">
        <w:rPr>
          <w:rFonts w:cs="Times New Roman"/>
          <w:lang w:val="hr-HR"/>
        </w:rPr>
        <w:t xml:space="preserve">Uključivanjem navedenog iznosa u ukupne rashode za zaposlene, isti se u odnosu na plan 2019. godine povećavaju za 1,7 milijardi kuna. </w:t>
      </w:r>
    </w:p>
    <w:p w:rsidR="00C8194C" w:rsidRPr="00F70B2A" w:rsidRDefault="00C8194C" w:rsidP="00C8194C">
      <w:pPr>
        <w:jc w:val="both"/>
        <w:rPr>
          <w:rFonts w:cs="Times New Roman"/>
          <w:lang w:val="hr-HR"/>
        </w:rPr>
      </w:pPr>
      <w:r w:rsidRPr="00F70B2A">
        <w:rPr>
          <w:rFonts w:cs="Times New Roman"/>
          <w:lang w:val="hr-HR"/>
        </w:rPr>
        <w:t xml:space="preserve">Navedeno povećanje rezultat je, osim uvećanja za redovan minuli rad i novog zapošljavanja, i cjelogodišnje primjene: </w:t>
      </w:r>
    </w:p>
    <w:p w:rsidR="00C8194C" w:rsidRPr="00F70B2A" w:rsidRDefault="00C8194C" w:rsidP="00C8194C">
      <w:pPr>
        <w:pStyle w:val="ListParagraph"/>
        <w:numPr>
          <w:ilvl w:val="0"/>
          <w:numId w:val="21"/>
        </w:numPr>
        <w:jc w:val="both"/>
        <w:rPr>
          <w:rFonts w:cs="Times New Roman"/>
          <w:lang w:val="hr-HR"/>
        </w:rPr>
      </w:pPr>
      <w:r w:rsidRPr="00F70B2A">
        <w:rPr>
          <w:rFonts w:cs="Times New Roman"/>
          <w:lang w:val="hr-HR"/>
        </w:rPr>
        <w:t xml:space="preserve">predloženog povećanja osnovice za izračun plaće zaposlenih u državnim i javnim službama za 6,12% i </w:t>
      </w:r>
    </w:p>
    <w:p w:rsidR="00C8194C" w:rsidRPr="00F70B2A" w:rsidRDefault="00C8194C" w:rsidP="00C8194C">
      <w:pPr>
        <w:pStyle w:val="ListParagraph"/>
        <w:numPr>
          <w:ilvl w:val="0"/>
          <w:numId w:val="21"/>
        </w:numPr>
        <w:jc w:val="both"/>
        <w:rPr>
          <w:rFonts w:cs="Times New Roman"/>
          <w:lang w:val="hr-HR"/>
        </w:rPr>
      </w:pPr>
      <w:r w:rsidRPr="00F70B2A">
        <w:rPr>
          <w:rFonts w:cs="Times New Roman"/>
          <w:lang w:val="hr-HR"/>
        </w:rPr>
        <w:t xml:space="preserve">cjelogodišnjeg </w:t>
      </w:r>
      <w:r w:rsidR="003B7D7B">
        <w:rPr>
          <w:rFonts w:cs="Times New Roman"/>
          <w:lang w:val="hr-HR"/>
        </w:rPr>
        <w:t>učinka</w:t>
      </w:r>
      <w:r w:rsidRPr="00F70B2A">
        <w:rPr>
          <w:rFonts w:cs="Times New Roman"/>
          <w:lang w:val="hr-HR"/>
        </w:rPr>
        <w:t xml:space="preserve"> povećanja osnovice za izračun plaća zaposlenih u državnim i javnim službama iz 2019. godine</w:t>
      </w:r>
    </w:p>
    <w:p w:rsidR="00C8194C" w:rsidRPr="00F70B2A" w:rsidRDefault="00C8194C" w:rsidP="00C8194C">
      <w:pPr>
        <w:jc w:val="both"/>
        <w:rPr>
          <w:rFonts w:cs="Times New Roman"/>
          <w:lang w:val="hr-HR"/>
        </w:rPr>
      </w:pPr>
      <w:r w:rsidRPr="00F70B2A">
        <w:rPr>
          <w:rFonts w:cs="Times New Roman"/>
          <w:lang w:val="hr-HR"/>
        </w:rPr>
        <w:t xml:space="preserve">U 2021. godini rashodi za zaposlene planirani su na ukupnoj razini od 23,4 milijarde kuna, a u 2022. godini u iznosu od 23,5 milijardi kuna. </w:t>
      </w:r>
    </w:p>
    <w:p w:rsidR="00C8194C" w:rsidRDefault="00C8194C" w:rsidP="00C8194C">
      <w:pPr>
        <w:jc w:val="both"/>
        <w:rPr>
          <w:rFonts w:cs="Times New Roman"/>
          <w:b/>
          <w:i/>
          <w:lang w:val="hr-HR"/>
        </w:rPr>
      </w:pPr>
    </w:p>
    <w:p w:rsidR="003B7D7B" w:rsidRDefault="003B7D7B" w:rsidP="00C8194C">
      <w:pPr>
        <w:jc w:val="both"/>
        <w:rPr>
          <w:rFonts w:cs="Times New Roman"/>
          <w:b/>
          <w:i/>
          <w:lang w:val="hr-HR"/>
        </w:rPr>
      </w:pPr>
    </w:p>
    <w:p w:rsidR="003B7D7B" w:rsidRPr="00F70B2A" w:rsidRDefault="003B7D7B" w:rsidP="00C8194C">
      <w:pPr>
        <w:jc w:val="both"/>
        <w:rPr>
          <w:rFonts w:cs="Times New Roman"/>
          <w:b/>
          <w:i/>
          <w:lang w:val="hr-HR"/>
        </w:rPr>
      </w:pPr>
    </w:p>
    <w:p w:rsidR="00C8194C" w:rsidRPr="00F70B2A" w:rsidRDefault="00C8194C" w:rsidP="00D668A6">
      <w:pPr>
        <w:spacing w:after="120"/>
        <w:jc w:val="both"/>
        <w:rPr>
          <w:b/>
          <w:i/>
          <w:lang w:val="hr-HR"/>
        </w:rPr>
      </w:pPr>
      <w:r w:rsidRPr="00F70B2A">
        <w:rPr>
          <w:b/>
          <w:i/>
          <w:lang w:val="hr-HR"/>
        </w:rPr>
        <w:lastRenderedPageBreak/>
        <w:t>Materijalni rashodi</w:t>
      </w:r>
    </w:p>
    <w:p w:rsidR="00C8194C" w:rsidRPr="00F70B2A" w:rsidRDefault="00C8194C" w:rsidP="00C8194C">
      <w:pPr>
        <w:jc w:val="both"/>
        <w:rPr>
          <w:rFonts w:cs="Times New Roman"/>
          <w:lang w:val="hr-HR"/>
        </w:rPr>
      </w:pPr>
      <w:r w:rsidRPr="00F70B2A">
        <w:rPr>
          <w:rFonts w:cs="Times New Roman"/>
          <w:lang w:val="hr-HR"/>
        </w:rPr>
        <w:t>Ukupni materijalni rashodi u 2020. godini planiraju se u iznosu od 15,4 milijarde kuna. Od navedenoga iznosa, 7,8 milijardi kuna su materijalni rashodi koji se financiraju iz općih prihoda i primitaka, doprinosa i namjenskih primitaka, a koji u odnosu na 2019.</w:t>
      </w:r>
      <w:r w:rsidR="00020250">
        <w:rPr>
          <w:rFonts w:cs="Times New Roman"/>
          <w:lang w:val="hr-HR"/>
        </w:rPr>
        <w:t xml:space="preserve"> godinu rastu za 161,3 milijuna kuna, odnosno 2,1</w:t>
      </w:r>
      <w:r w:rsidRPr="00F70B2A">
        <w:rPr>
          <w:rFonts w:cs="Times New Roman"/>
          <w:lang w:val="hr-HR"/>
        </w:rPr>
        <w:t xml:space="preserve">%. Od navedenog povećanja značajan dio odnosi se na Ministarstvo obrane i Ministarstvo unutarnjih poslova. </w:t>
      </w:r>
    </w:p>
    <w:p w:rsidR="00C8194C" w:rsidRPr="00F70B2A" w:rsidRDefault="00C8194C" w:rsidP="00C8194C">
      <w:pPr>
        <w:jc w:val="both"/>
        <w:rPr>
          <w:rFonts w:cs="Times New Roman"/>
          <w:lang w:val="hr-HR"/>
        </w:rPr>
      </w:pPr>
      <w:r w:rsidRPr="00F70B2A">
        <w:rPr>
          <w:rFonts w:cs="Times New Roman"/>
          <w:lang w:val="hr-HR"/>
        </w:rPr>
        <w:t>Materijalni rashodi koji se financiraju iz EU i ostalih izvora financiranja u 2020. godini projicirani su na razini od 7,6 milijardi kuna i povećavaju se za 821,1 milijun kuna, u značajnom dijelu zbog povećanja troškova u ustanovama u zdravstvu u iznosu od 462,6 milijuna kuna (lijekovi, pomoćni i sanitetski materijal te ostalo).</w:t>
      </w:r>
    </w:p>
    <w:p w:rsidR="00C8194C" w:rsidRPr="00F70B2A" w:rsidRDefault="00C8194C" w:rsidP="00C8194C">
      <w:pPr>
        <w:jc w:val="both"/>
        <w:rPr>
          <w:rFonts w:cs="Times New Roman"/>
          <w:lang w:val="hr-HR"/>
        </w:rPr>
      </w:pPr>
      <w:r w:rsidRPr="00F70B2A">
        <w:rPr>
          <w:rFonts w:cs="Times New Roman"/>
          <w:lang w:val="hr-HR"/>
        </w:rPr>
        <w:t>U 2021. i 2022. godini ukupni materijalni rashodi projicirani su na istoj razini od 15,2 milijarde kuna.</w:t>
      </w:r>
    </w:p>
    <w:p w:rsidR="00C8194C" w:rsidRPr="00F70B2A" w:rsidRDefault="00C8194C" w:rsidP="00C8194C">
      <w:pPr>
        <w:spacing w:after="120"/>
        <w:jc w:val="both"/>
        <w:rPr>
          <w:rFonts w:cs="Times New Roman"/>
          <w:b/>
          <w:i/>
          <w:lang w:val="hr-HR"/>
        </w:rPr>
      </w:pPr>
    </w:p>
    <w:p w:rsidR="00C8194C" w:rsidRPr="00F70B2A" w:rsidRDefault="00C8194C" w:rsidP="00C8194C">
      <w:pPr>
        <w:spacing w:after="120"/>
        <w:jc w:val="both"/>
        <w:rPr>
          <w:b/>
          <w:i/>
          <w:lang w:val="hr-HR"/>
        </w:rPr>
      </w:pPr>
      <w:r w:rsidRPr="00F70B2A">
        <w:rPr>
          <w:b/>
          <w:i/>
          <w:lang w:val="hr-HR"/>
        </w:rPr>
        <w:t>Financijski rashodi</w:t>
      </w:r>
    </w:p>
    <w:p w:rsidR="00C8194C" w:rsidRPr="00F70B2A" w:rsidRDefault="00C8194C" w:rsidP="00C8194C">
      <w:pPr>
        <w:jc w:val="both"/>
        <w:rPr>
          <w:rFonts w:cs="Times New Roman"/>
          <w:lang w:val="hr-HR"/>
        </w:rPr>
      </w:pPr>
      <w:r w:rsidRPr="00F70B2A">
        <w:rPr>
          <w:rFonts w:cs="Times New Roman"/>
          <w:lang w:val="hr-HR"/>
        </w:rPr>
        <w:t xml:space="preserve">Financijski rashodi, koje čine kamate za izdane vrijednosne papire, kamate za primljene zajmove i ostali financijski rashodi, projicirani su u skladu sa stanjem uvjeta na financijskim tržištima, odnosno troškovima servisiranja javnog duga. </w:t>
      </w:r>
    </w:p>
    <w:p w:rsidR="00C8194C" w:rsidRPr="00F70B2A" w:rsidRDefault="00C8194C" w:rsidP="00C8194C">
      <w:pPr>
        <w:jc w:val="both"/>
        <w:rPr>
          <w:rFonts w:cs="Times New Roman"/>
          <w:lang w:val="hr-HR"/>
        </w:rPr>
      </w:pPr>
      <w:r w:rsidRPr="00F70B2A">
        <w:rPr>
          <w:rFonts w:cs="Times New Roman"/>
          <w:lang w:val="hr-HR"/>
        </w:rPr>
        <w:t xml:space="preserve">Ovi rashodi u 2020. godini projicirani su na razini od 8,1 milijardu kuna. </w:t>
      </w:r>
    </w:p>
    <w:p w:rsidR="00C8194C" w:rsidRPr="00F70B2A" w:rsidRDefault="00C8194C" w:rsidP="00C8194C">
      <w:pPr>
        <w:jc w:val="both"/>
        <w:rPr>
          <w:rFonts w:cs="Times New Roman"/>
          <w:lang w:val="hr-HR"/>
        </w:rPr>
      </w:pPr>
      <w:r w:rsidRPr="00F70B2A">
        <w:rPr>
          <w:rFonts w:cs="Times New Roman"/>
          <w:lang w:val="hr-HR"/>
        </w:rPr>
        <w:t>U 2021. financijski rashodi planirani su u iznosu od 7,4 milijardi kuna, dok u 2022. godini dosežu razinu od 7,5 milijardi kuna.</w:t>
      </w:r>
    </w:p>
    <w:p w:rsidR="00C8194C" w:rsidRPr="00F70B2A" w:rsidRDefault="00C8194C" w:rsidP="00C8194C">
      <w:pPr>
        <w:spacing w:after="120"/>
        <w:jc w:val="both"/>
        <w:rPr>
          <w:rFonts w:cs="Times New Roman"/>
          <w:b/>
          <w:i/>
          <w:lang w:val="hr-HR"/>
        </w:rPr>
      </w:pPr>
    </w:p>
    <w:p w:rsidR="00C8194C" w:rsidRPr="00F70B2A" w:rsidRDefault="00C8194C" w:rsidP="00C8194C">
      <w:pPr>
        <w:spacing w:after="120"/>
        <w:jc w:val="both"/>
        <w:rPr>
          <w:b/>
          <w:i/>
          <w:lang w:val="hr-HR"/>
        </w:rPr>
      </w:pPr>
      <w:r w:rsidRPr="003B7428">
        <w:rPr>
          <w:b/>
          <w:i/>
          <w:lang w:val="hr-HR"/>
        </w:rPr>
        <w:t>Subvencije</w:t>
      </w:r>
    </w:p>
    <w:p w:rsidR="00C8194C" w:rsidRPr="00F70B2A" w:rsidRDefault="00C8194C" w:rsidP="00C8194C">
      <w:pPr>
        <w:spacing w:after="120"/>
        <w:jc w:val="both"/>
        <w:rPr>
          <w:rFonts w:cs="Times New Roman"/>
          <w:lang w:val="hr-HR"/>
        </w:rPr>
      </w:pPr>
      <w:r w:rsidRPr="00F70B2A">
        <w:rPr>
          <w:rFonts w:cs="Times New Roman"/>
          <w:lang w:val="hr-HR"/>
        </w:rPr>
        <w:t xml:space="preserve">Rashodi za subvencije u 2020. godini planiraju se u iznosu od 6,6 milijardi kuna što predstavlja smanjenje od 370,8 milijuna kuna u odnosu na tekući plan 2019. godine. Navedeno smanjenje rezultat je povećanja subvencija u iznosu od 375,8 milijuna kuna financiranih iz EU i ostalih izvora financiranja, uz istodobno smanjenje subvencija financiranih iz općih prihoda i primitaka, doprinosa i namjenskih primitaka u iznosu od 746,6 milijuna kuna, a zbog reklasifikacije sredstva namijenjenih HŽ Infrastrukturi d.o.o. i HŽ Putničkom prijevozu d.o.o. iz ekonomske kategorije subvencija u kategoriju pomoći. </w:t>
      </w:r>
    </w:p>
    <w:p w:rsidR="00C8194C" w:rsidRPr="00F70B2A" w:rsidRDefault="00C8194C" w:rsidP="00C8194C">
      <w:pPr>
        <w:spacing w:after="120"/>
        <w:jc w:val="both"/>
        <w:rPr>
          <w:rFonts w:cs="Times New Roman"/>
          <w:lang w:val="hr-HR"/>
        </w:rPr>
      </w:pPr>
      <w:r w:rsidRPr="00F70B2A">
        <w:rPr>
          <w:rFonts w:cs="Times New Roman"/>
          <w:lang w:val="hr-HR"/>
        </w:rPr>
        <w:t>Naime, prema odredbama Zakona o proračunu izvanproračunski korisnici, trgovačka društva i druge pravne osobe u kojima država ima odlučujući utjecaj na upravljanje i koji se sukladno pravilima statističke metodologije EU-a (ESA 2010) razvrstavaju u sektor općeg proračuna, a nisu proračunski korisnici, smatraju se izvanproračunskim korisnicima državnog proračuna. Sukladno Nacionalnom programu reformi za 2019. planira se u prvoj fazi ujednačiti postupak planiranja i izvještavanja o izvršenju financijskih planova Hrvatskih autocesta d.o.o., Autoceste Rijeka-Zagreb d.d., HŽ Infrastrukture d.o.o. i HŽ Putničkog prijevoza d.o.o. s postojećim postupkom važećim za izvanproračunske korisnike. Uzimajući u obzir navedeno, Hrvatski sabor će po prvi puta dati suglasnost za financijske planove ovih izvanproračunskih korisnika uz donošenje Državnog proračuna Republike Hrvatske za 2020. i projekcija za 2021. i 2022. godinu.</w:t>
      </w:r>
    </w:p>
    <w:p w:rsidR="00C8194C" w:rsidRPr="00F70B2A" w:rsidRDefault="00C8194C" w:rsidP="00C8194C">
      <w:pPr>
        <w:spacing w:after="120"/>
        <w:jc w:val="both"/>
        <w:rPr>
          <w:rFonts w:cs="Times New Roman"/>
          <w:lang w:val="hr-HR"/>
        </w:rPr>
      </w:pPr>
      <w:r w:rsidRPr="00F70B2A">
        <w:rPr>
          <w:rFonts w:cs="Times New Roman"/>
          <w:lang w:val="hr-HR"/>
        </w:rPr>
        <w:lastRenderedPageBreak/>
        <w:t xml:space="preserve">Od ukupnih rashoda za subvencije najznačajniji dio odnosi se na izravna plaćanja u poljoprivredi i mjere uređenja tržišta poljoprivrednih proizvoda koje će u 2020. godini dosegnuti razinu od 3,2 milijarde kuna. Isto predstavlja povećanje od 63,0 milijuna kuna u odnosu na 3,1 milijardu kuna planiranih rashoda po ovim aktivnostima u 2019. godini.  </w:t>
      </w:r>
    </w:p>
    <w:p w:rsidR="00C8194C" w:rsidRPr="00F70B2A" w:rsidRDefault="00E5160F" w:rsidP="00C8194C">
      <w:pPr>
        <w:spacing w:after="120"/>
        <w:jc w:val="both"/>
        <w:rPr>
          <w:rFonts w:cs="Times New Roman"/>
          <w:b/>
          <w:i/>
          <w:lang w:val="hr-HR"/>
        </w:rPr>
      </w:pPr>
      <w:r w:rsidRPr="00F70B2A">
        <w:rPr>
          <w:noProof/>
          <w:lang w:val="hr-HR" w:eastAsia="hr-HR"/>
        </w:rPr>
        <w:drawing>
          <wp:inline distT="0" distB="0" distL="0" distR="0" wp14:anchorId="347FAED2" wp14:editId="2162905F">
            <wp:extent cx="5760720" cy="1328003"/>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328003"/>
                    </a:xfrm>
                    <a:prstGeom prst="rect">
                      <a:avLst/>
                    </a:prstGeom>
                    <a:noFill/>
                    <a:ln>
                      <a:noFill/>
                    </a:ln>
                  </pic:spPr>
                </pic:pic>
              </a:graphicData>
            </a:graphic>
          </wp:inline>
        </w:drawing>
      </w:r>
    </w:p>
    <w:p w:rsidR="00C8194C" w:rsidRPr="00F70B2A" w:rsidRDefault="00C8194C" w:rsidP="00C8194C">
      <w:pPr>
        <w:spacing w:after="120"/>
        <w:jc w:val="both"/>
        <w:rPr>
          <w:rFonts w:cs="Times New Roman"/>
          <w:lang w:val="hr-HR"/>
        </w:rPr>
      </w:pPr>
      <w:r w:rsidRPr="00F70B2A">
        <w:rPr>
          <w:rFonts w:cs="Times New Roman"/>
          <w:lang w:val="hr-HR"/>
        </w:rPr>
        <w:t>Osigurana su i sredstva za plaćanje drugog dijela predujma za osiguranje nužne stabilizacije poslovanja društva Croatia Airlines u iznosu od 150,0 milijuna kuna (u 2019. godini na teret sredstava Proračunske zalihe isplaćeno je 100 milijuna kuna).</w:t>
      </w:r>
    </w:p>
    <w:p w:rsidR="00C8194C" w:rsidRPr="00F70B2A" w:rsidRDefault="00C8194C" w:rsidP="00C8194C">
      <w:pPr>
        <w:spacing w:after="120"/>
        <w:jc w:val="both"/>
        <w:rPr>
          <w:rFonts w:cs="Times New Roman"/>
          <w:lang w:val="hr-HR"/>
        </w:rPr>
      </w:pPr>
    </w:p>
    <w:p w:rsidR="00C8194C" w:rsidRPr="00F70B2A" w:rsidRDefault="00C8194C" w:rsidP="00C8194C">
      <w:pPr>
        <w:spacing w:after="120"/>
        <w:jc w:val="both"/>
        <w:rPr>
          <w:b/>
          <w:i/>
          <w:lang w:val="hr-HR"/>
        </w:rPr>
      </w:pPr>
      <w:r w:rsidRPr="00F70B2A">
        <w:rPr>
          <w:b/>
          <w:i/>
          <w:lang w:val="hr-HR"/>
        </w:rPr>
        <w:t xml:space="preserve">Pomoći </w:t>
      </w:r>
    </w:p>
    <w:p w:rsidR="00C8194C" w:rsidRPr="00F70B2A" w:rsidRDefault="00C8194C" w:rsidP="00C8194C">
      <w:pPr>
        <w:jc w:val="both"/>
        <w:rPr>
          <w:rFonts w:cs="Times New Roman"/>
          <w:lang w:val="hr-HR"/>
        </w:rPr>
      </w:pPr>
      <w:r w:rsidRPr="00F70B2A">
        <w:rPr>
          <w:rFonts w:cs="Times New Roman"/>
          <w:lang w:val="hr-HR"/>
        </w:rPr>
        <w:t xml:space="preserve">Rashodi za pomoći državnog proračuna dane u inozemstvo i unutar opće države u 2020. godini predviđeni su u iznosu od 29,8 milijardi kuna. U odnosu na tekući plan 2019. ova kategorija rashoda bilježi rast od 12,8 milijardi kuna. </w:t>
      </w:r>
    </w:p>
    <w:p w:rsidR="00C8194C" w:rsidRPr="00F70B2A" w:rsidRDefault="00C8194C" w:rsidP="00C8194C">
      <w:pPr>
        <w:jc w:val="both"/>
        <w:rPr>
          <w:rFonts w:cs="Times New Roman"/>
          <w:lang w:val="hr-HR"/>
        </w:rPr>
      </w:pPr>
      <w:r w:rsidRPr="00F70B2A">
        <w:rPr>
          <w:rFonts w:cs="Times New Roman"/>
          <w:lang w:val="hr-HR"/>
        </w:rPr>
        <w:t>Potrebno je napomenuti da je navedeni rast prvenstveno posljedica promjene metodologije iskazivanja rashoda za bruto plaće, doprinose i ostale rashode za zaposlenike osnovnih i srednjih škola koji se od ove godine iskazuju u okviru ove kategorije rashoda, a ne više u okviru rashoda za zaposlene. Na pomoćima u 2020. godini iskazan je iznos od 8,4 milijarde kuna za rashode za zaposlenike osnovnih i srednjih škola.</w:t>
      </w:r>
    </w:p>
    <w:p w:rsidR="00C8194C" w:rsidRPr="00F70B2A" w:rsidRDefault="00C8194C" w:rsidP="00C8194C">
      <w:pPr>
        <w:jc w:val="both"/>
        <w:rPr>
          <w:rFonts w:cs="Times New Roman"/>
          <w:lang w:val="hr-HR"/>
        </w:rPr>
      </w:pPr>
      <w:r w:rsidRPr="00F70B2A">
        <w:rPr>
          <w:rFonts w:cs="Times New Roman"/>
          <w:lang w:val="hr-HR"/>
        </w:rPr>
        <w:t xml:space="preserve">Nadalje, od navedenog povećanja 1,9 milijardi kuna odnosi se i na reklasifikaciju sredstva namijenjenih HŽ Infrastrukturi d.o.o., HŽ Putničkom prijevozu d.o.o., Autocesti Rijeka-Zagreb d.d. i Hrvatskim autocestama d.o.o. iz ekonomske kategorije subvencija i ostalih rashoda u kategoriju pomoći.  </w:t>
      </w:r>
    </w:p>
    <w:p w:rsidR="00C8194C" w:rsidRPr="00F70B2A" w:rsidRDefault="00C8194C" w:rsidP="00C8194C">
      <w:pPr>
        <w:jc w:val="both"/>
        <w:rPr>
          <w:rFonts w:cs="Times New Roman"/>
          <w:lang w:val="hr-HR"/>
        </w:rPr>
      </w:pPr>
      <w:r w:rsidRPr="00F70B2A">
        <w:rPr>
          <w:rFonts w:cs="Times New Roman"/>
          <w:lang w:val="hr-HR"/>
        </w:rPr>
        <w:t>Ova kategorija rashoda uključuje povećana izdvajanja za kompenzacijske mjere jedinicama lokalne i područne (regionalne) samouprave u iznosu od 507,0 milijuna kuna, odnosno u visini procijenjenog gubitka prihoda temeljem povećanja osnovnog osobnog odbitka sukladno izmjenama propisa kojima je uređeno oporezivanje dohotka, a koje će stupiti na snagu 1. siječnja 2020.</w:t>
      </w:r>
      <w:r w:rsidR="003B7428">
        <w:rPr>
          <w:rFonts w:cs="Times New Roman"/>
          <w:lang w:val="hr-HR"/>
        </w:rPr>
        <w:t xml:space="preserve"> godine.</w:t>
      </w:r>
    </w:p>
    <w:p w:rsidR="00C8194C" w:rsidRPr="00F70B2A" w:rsidRDefault="00C8194C" w:rsidP="00C8194C">
      <w:pPr>
        <w:jc w:val="both"/>
        <w:rPr>
          <w:rFonts w:cs="Times New Roman"/>
          <w:lang w:val="hr-HR"/>
        </w:rPr>
      </w:pPr>
      <w:r w:rsidRPr="00F70B2A">
        <w:rPr>
          <w:rFonts w:cs="Times New Roman"/>
          <w:lang w:val="hr-HR"/>
        </w:rPr>
        <w:t>Također, do povećanja ove kategorije rashoda u iznosu od 308,0 milijuna kuna dolazi i zbog povjeravanja poslova ureda državne uprave u županijama jedinicama područne (regionalne) samouprave. Naime, izmjenama i dopunama Zakona o sustavu državne uprave omogućilo se povjeravanje poslova ureda državne uprave u županijama koji su prvostupanjskog karaktera, osobito poslova rješavanja u upravnim stvarima i izdavanja raznih potvrda, županijama, odnos</w:t>
      </w:r>
      <w:r w:rsidR="003B7428">
        <w:rPr>
          <w:rFonts w:cs="Times New Roman"/>
          <w:lang w:val="hr-HR"/>
        </w:rPr>
        <w:t xml:space="preserve">no upravnim tijelima županija. </w:t>
      </w:r>
      <w:r w:rsidRPr="00F70B2A">
        <w:rPr>
          <w:rFonts w:cs="Times New Roman"/>
          <w:lang w:val="hr-HR"/>
        </w:rPr>
        <w:t xml:space="preserve">Do sada su u državnim proračunima sredstva namijenjena radu ureda državne uprave u županijama bila iskazana po prirodnoj vrsti rashoda (rashodi za zaposlene, materijalni rashodi,…). Od 2020. godine sredstva za obavljanje poslova ureda državne uprave u županijama iskazuju se kao pomoći jedinicama područne (regionalne) samouprave. </w:t>
      </w:r>
    </w:p>
    <w:p w:rsidR="00C8194C" w:rsidRPr="00F70B2A" w:rsidRDefault="00C8194C" w:rsidP="00C8194C">
      <w:pPr>
        <w:jc w:val="both"/>
        <w:rPr>
          <w:rFonts w:cs="Times New Roman"/>
          <w:lang w:val="hr-HR"/>
        </w:rPr>
      </w:pPr>
      <w:r w:rsidRPr="00F70B2A">
        <w:rPr>
          <w:rFonts w:cs="Times New Roman"/>
          <w:lang w:val="hr-HR"/>
        </w:rPr>
        <w:lastRenderedPageBreak/>
        <w:t xml:space="preserve">Dodatna sredstva u iznosu od 123,2 milijuna kuna osigurana su i za izdvajanje za doprinos RH proračunu EU u čijem financiranju je RH, kao i sve ostale države članice EU, obvezna sudjelovati. </w:t>
      </w:r>
    </w:p>
    <w:p w:rsidR="00C8194C" w:rsidRPr="00F70B2A" w:rsidRDefault="00C8194C" w:rsidP="00C8194C">
      <w:pPr>
        <w:jc w:val="both"/>
        <w:rPr>
          <w:rFonts w:cs="Times New Roman"/>
          <w:lang w:val="hr-HR"/>
        </w:rPr>
      </w:pPr>
      <w:r w:rsidRPr="00F70B2A">
        <w:rPr>
          <w:rFonts w:cs="Times New Roman"/>
          <w:lang w:val="hr-HR"/>
        </w:rPr>
        <w:t xml:space="preserve">Pomoći koje se financiraju iz EU i ostalih izvora financiranja u 2020. godini planirane su na razini od 6,1 milijardu kuna te se povećavaju u iznosu od 1,3 milijarde kuna u odnosu na tekući plan 2019. godine i to najvećim dijelom u okviru Operativnog programa Konkurentnost i kohezija na pozicijama Ministarstva mora, prometa i infrastrukture, Ministarstva graditeljstva i prostornoga uređenja te Ministarstva zaštite okoliša i energetike.  </w:t>
      </w:r>
    </w:p>
    <w:p w:rsidR="00C8194C" w:rsidRPr="00F70B2A" w:rsidRDefault="00C8194C" w:rsidP="00D668A6">
      <w:pPr>
        <w:jc w:val="both"/>
        <w:rPr>
          <w:rFonts w:cs="Times New Roman"/>
          <w:lang w:val="hr-HR"/>
        </w:rPr>
      </w:pPr>
      <w:r w:rsidRPr="00F70B2A">
        <w:rPr>
          <w:rFonts w:cs="Times New Roman"/>
          <w:lang w:val="hr-HR"/>
        </w:rPr>
        <w:t>U 2021. godini ukupne pomoći projicirane su na razini od 29,7 milijardi kuna, a u 2022. na razini od 30,7 milijardi kuna.</w:t>
      </w:r>
    </w:p>
    <w:p w:rsidR="00D668A6" w:rsidRPr="00F70B2A" w:rsidRDefault="00D668A6" w:rsidP="00D668A6">
      <w:pPr>
        <w:jc w:val="both"/>
        <w:rPr>
          <w:rFonts w:cs="Times New Roman"/>
          <w:lang w:val="hr-HR"/>
        </w:rPr>
      </w:pPr>
    </w:p>
    <w:p w:rsidR="00C8194C" w:rsidRPr="00F70B2A" w:rsidRDefault="00C8194C" w:rsidP="00C8194C">
      <w:pPr>
        <w:spacing w:after="120"/>
        <w:jc w:val="both"/>
        <w:rPr>
          <w:b/>
          <w:i/>
          <w:lang w:val="hr-HR"/>
        </w:rPr>
      </w:pPr>
      <w:r w:rsidRPr="00F70B2A">
        <w:rPr>
          <w:b/>
          <w:i/>
          <w:lang w:val="hr-HR"/>
        </w:rPr>
        <w:t xml:space="preserve">Naknade građanima i kućanstvima </w:t>
      </w:r>
    </w:p>
    <w:p w:rsidR="00C8194C" w:rsidRPr="00F70B2A" w:rsidRDefault="00C8194C" w:rsidP="00C8194C">
      <w:pPr>
        <w:jc w:val="both"/>
        <w:rPr>
          <w:rFonts w:cs="Times New Roman"/>
          <w:lang w:val="hr-HR"/>
        </w:rPr>
      </w:pPr>
      <w:r w:rsidRPr="00F70B2A">
        <w:rPr>
          <w:rFonts w:cs="Times New Roman"/>
          <w:lang w:val="hr-HR"/>
        </w:rPr>
        <w:t xml:space="preserve">Naknade građanima i kućanstvima čine i u 2020. najznačajniju skupinu rashoda proračuna te se planiraju u iznosu od 51,4 milijarde kuna što čini povećanje od 2,5 milijardi kuna u odnosu na tekući plan 2019. godine. </w:t>
      </w:r>
    </w:p>
    <w:p w:rsidR="00C8194C" w:rsidRPr="00F70B2A" w:rsidRDefault="00C8194C" w:rsidP="00C8194C">
      <w:pPr>
        <w:jc w:val="both"/>
        <w:rPr>
          <w:rFonts w:cs="Times New Roman"/>
          <w:lang w:val="hr-HR"/>
        </w:rPr>
      </w:pPr>
      <w:r w:rsidRPr="00F70B2A">
        <w:rPr>
          <w:rFonts w:cs="Times New Roman"/>
          <w:lang w:val="hr-HR"/>
        </w:rPr>
        <w:t xml:space="preserve">Ovo povećanje rezultat je povećanih izdvajanja za mirovine u iznosu od 2,5 milijardi kuna, prava iz sustava socijalne skrbi (dodatni porodiljni dopust, osobna invalidnina, doplatak za pomoć i njegu) u iznosu od 257,4 milijuna kuna s jedne strane i smanjenih izdvajanja za doplatak za djecu u iznosu od 252,8 milijuna kuna s druge strane. </w:t>
      </w:r>
    </w:p>
    <w:p w:rsidR="00E5160F" w:rsidRPr="00F70B2A" w:rsidRDefault="00E5160F" w:rsidP="00C8194C">
      <w:pPr>
        <w:jc w:val="both"/>
        <w:rPr>
          <w:rFonts w:cs="Times New Roman"/>
          <w:lang w:val="hr-HR"/>
        </w:rPr>
      </w:pPr>
      <w:r w:rsidRPr="00F70B2A">
        <w:rPr>
          <w:noProof/>
          <w:lang w:val="hr-HR" w:eastAsia="hr-HR"/>
        </w:rPr>
        <w:drawing>
          <wp:inline distT="0" distB="0" distL="0" distR="0" wp14:anchorId="5D495D6F" wp14:editId="62924BC1">
            <wp:extent cx="5760720" cy="65235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652351"/>
                    </a:xfrm>
                    <a:prstGeom prst="rect">
                      <a:avLst/>
                    </a:prstGeom>
                    <a:noFill/>
                    <a:ln>
                      <a:noFill/>
                    </a:ln>
                  </pic:spPr>
                </pic:pic>
              </a:graphicData>
            </a:graphic>
          </wp:inline>
        </w:drawing>
      </w:r>
    </w:p>
    <w:p w:rsidR="00C8194C" w:rsidRPr="00F70B2A" w:rsidRDefault="00C8194C" w:rsidP="00C8194C">
      <w:pPr>
        <w:jc w:val="both"/>
        <w:rPr>
          <w:rFonts w:cs="Times New Roman"/>
          <w:lang w:val="hr-HR"/>
        </w:rPr>
      </w:pPr>
      <w:r w:rsidRPr="00F70B2A">
        <w:rPr>
          <w:rFonts w:cs="Times New Roman"/>
          <w:lang w:val="hr-HR"/>
        </w:rPr>
        <w:t>Ukupni rashodi za mirovine i mirovinska primanja u 2019. godini povećani su za 2,5 milijardi kuna u odnosu na 2019. čime će dosegnuti razinu od 42,6 milijardi kuna.</w:t>
      </w:r>
    </w:p>
    <w:p w:rsidR="00C8194C" w:rsidRPr="00F70B2A" w:rsidRDefault="00C8194C" w:rsidP="00C8194C">
      <w:pPr>
        <w:jc w:val="both"/>
        <w:rPr>
          <w:rFonts w:cs="Times New Roman"/>
          <w:lang w:val="hr-HR"/>
        </w:rPr>
      </w:pPr>
      <w:r w:rsidRPr="00F70B2A">
        <w:rPr>
          <w:rFonts w:cs="Times New Roman"/>
          <w:lang w:val="hr-HR"/>
        </w:rPr>
        <w:t>Na povećanje ukupnih rashoda za mirovine i mirovinska primanja u 2020. godini utjecat će, između ostalog, sljedeći elementi:</w:t>
      </w:r>
    </w:p>
    <w:p w:rsidR="00C8194C" w:rsidRPr="00F70B2A" w:rsidRDefault="00C8194C" w:rsidP="00C8194C">
      <w:pPr>
        <w:pStyle w:val="ListParagraph"/>
        <w:numPr>
          <w:ilvl w:val="0"/>
          <w:numId w:val="22"/>
        </w:numPr>
        <w:jc w:val="both"/>
        <w:rPr>
          <w:rFonts w:cs="Times New Roman"/>
          <w:lang w:val="hr-HR"/>
        </w:rPr>
      </w:pPr>
      <w:r w:rsidRPr="00F70B2A">
        <w:rPr>
          <w:rFonts w:cs="Times New Roman"/>
          <w:lang w:val="hr-HR"/>
        </w:rPr>
        <w:t xml:space="preserve">preneseni kumulirani </w:t>
      </w:r>
      <w:r w:rsidR="00AA6062">
        <w:rPr>
          <w:rFonts w:cs="Times New Roman"/>
          <w:lang w:val="hr-HR"/>
        </w:rPr>
        <w:t>učinak</w:t>
      </w:r>
      <w:r w:rsidRPr="00F70B2A">
        <w:rPr>
          <w:rFonts w:cs="Times New Roman"/>
          <w:lang w:val="hr-HR"/>
        </w:rPr>
        <w:t xml:space="preserve"> promjene broja i strukture korisnika mirovina te usklađivanja mirovina iz 2019. godine,  </w:t>
      </w:r>
    </w:p>
    <w:p w:rsidR="00C8194C" w:rsidRPr="00F70B2A" w:rsidRDefault="00C8194C" w:rsidP="00C8194C">
      <w:pPr>
        <w:pStyle w:val="ListParagraph"/>
        <w:numPr>
          <w:ilvl w:val="0"/>
          <w:numId w:val="22"/>
        </w:numPr>
        <w:jc w:val="both"/>
        <w:rPr>
          <w:rFonts w:cs="Times New Roman"/>
          <w:lang w:val="hr-HR"/>
        </w:rPr>
      </w:pPr>
      <w:r w:rsidRPr="00F70B2A">
        <w:rPr>
          <w:rFonts w:cs="Times New Roman"/>
          <w:lang w:val="hr-HR"/>
        </w:rPr>
        <w:t xml:space="preserve">usklađivanje mirovina od 3,5%, </w:t>
      </w:r>
    </w:p>
    <w:p w:rsidR="00C8194C" w:rsidRPr="00F70B2A" w:rsidRDefault="00C8194C" w:rsidP="00C8194C">
      <w:pPr>
        <w:pStyle w:val="ListParagraph"/>
        <w:numPr>
          <w:ilvl w:val="0"/>
          <w:numId w:val="22"/>
        </w:numPr>
        <w:jc w:val="both"/>
        <w:rPr>
          <w:rFonts w:cs="Times New Roman"/>
          <w:lang w:val="hr-HR"/>
        </w:rPr>
      </w:pPr>
      <w:r w:rsidRPr="00F70B2A">
        <w:rPr>
          <w:rFonts w:cs="Times New Roman"/>
          <w:lang w:val="hr-HR"/>
        </w:rPr>
        <w:t xml:space="preserve">promjena broja i strukture korisnika mirovina. </w:t>
      </w:r>
    </w:p>
    <w:p w:rsidR="00E5160F" w:rsidRPr="00F70B2A" w:rsidRDefault="00E5160F" w:rsidP="00E5160F">
      <w:pPr>
        <w:jc w:val="both"/>
        <w:rPr>
          <w:rFonts w:cs="Times New Roman"/>
          <w:lang w:val="hr-HR"/>
        </w:rPr>
      </w:pPr>
      <w:r w:rsidRPr="00F70B2A">
        <w:rPr>
          <w:noProof/>
          <w:lang w:val="hr-HR" w:eastAsia="hr-HR"/>
        </w:rPr>
        <w:drawing>
          <wp:inline distT="0" distB="0" distL="0" distR="0" wp14:anchorId="2171228D" wp14:editId="0C47433B">
            <wp:extent cx="5760720" cy="1001397"/>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1001397"/>
                    </a:xfrm>
                    <a:prstGeom prst="rect">
                      <a:avLst/>
                    </a:prstGeom>
                    <a:noFill/>
                    <a:ln>
                      <a:noFill/>
                    </a:ln>
                  </pic:spPr>
                </pic:pic>
              </a:graphicData>
            </a:graphic>
          </wp:inline>
        </w:drawing>
      </w:r>
    </w:p>
    <w:p w:rsidR="00C8194C" w:rsidRPr="00F70B2A" w:rsidRDefault="00C8194C" w:rsidP="00C8194C">
      <w:pPr>
        <w:jc w:val="both"/>
        <w:rPr>
          <w:rFonts w:cs="Times New Roman"/>
          <w:lang w:val="hr-HR"/>
        </w:rPr>
      </w:pPr>
      <w:r w:rsidRPr="00F70B2A">
        <w:rPr>
          <w:rFonts w:cs="Times New Roman"/>
          <w:lang w:val="hr-HR"/>
        </w:rPr>
        <w:t xml:space="preserve">Vezano uz povećana izdvajanja za prava iz sustava socijalne skrbi </w:t>
      </w:r>
      <w:r w:rsidR="00642DCD" w:rsidRPr="00642DCD">
        <w:rPr>
          <w:rFonts w:cs="Times New Roman"/>
          <w:lang w:val="hr-HR"/>
        </w:rPr>
        <w:t>i mjera populacijske politike</w:t>
      </w:r>
      <w:r w:rsidR="00642DCD">
        <w:rPr>
          <w:rFonts w:cs="Times New Roman"/>
          <w:lang w:val="hr-HR"/>
        </w:rPr>
        <w:t xml:space="preserve"> </w:t>
      </w:r>
      <w:r w:rsidRPr="00F70B2A">
        <w:rPr>
          <w:rFonts w:cs="Times New Roman"/>
          <w:lang w:val="hr-HR"/>
        </w:rPr>
        <w:t>važno je istaknuti kako su za primjenu Zakona o</w:t>
      </w:r>
      <w:r w:rsidR="00AA6062">
        <w:rPr>
          <w:rFonts w:cs="Times New Roman"/>
          <w:lang w:val="hr-HR"/>
        </w:rPr>
        <w:t xml:space="preserve"> izmjenama Zakona o rodiljnim i</w:t>
      </w:r>
      <w:r w:rsidRPr="00F70B2A">
        <w:rPr>
          <w:rFonts w:cs="Times New Roman"/>
          <w:lang w:val="hr-HR"/>
        </w:rPr>
        <w:t xml:space="preserve"> roditeljskim potporama kojim se predviđa povećanje maksimalnog iznosa naknade plaće koja se isplaćuje zaposlenim </w:t>
      </w:r>
      <w:r w:rsidRPr="00F70B2A">
        <w:rPr>
          <w:rFonts w:cs="Times New Roman"/>
          <w:lang w:val="hr-HR"/>
        </w:rPr>
        <w:lastRenderedPageBreak/>
        <w:t>roditeljima za vrijeme korištenja roditeljskog dopusta (drugih šest mjeseci) osigurana dodatna sredstva u iznosu od 160,6 milijuna kuna.</w:t>
      </w:r>
    </w:p>
    <w:p w:rsidR="00C8194C" w:rsidRPr="00F70B2A" w:rsidRDefault="00C8194C" w:rsidP="00C8194C">
      <w:pPr>
        <w:jc w:val="both"/>
        <w:rPr>
          <w:rFonts w:cs="Times New Roman"/>
          <w:lang w:val="hr-HR"/>
        </w:rPr>
      </w:pPr>
      <w:r w:rsidRPr="00F70B2A">
        <w:rPr>
          <w:rFonts w:cs="Times New Roman"/>
          <w:lang w:val="hr-HR"/>
        </w:rPr>
        <w:t xml:space="preserve">U 2021. godini ovi rashodi projicirani su na razini od 53,0 milijardi kuna, dok se u 2022. očekuju na razini od 54,7 milijardi kuna. </w:t>
      </w:r>
    </w:p>
    <w:p w:rsidR="00D668A6" w:rsidRPr="00F70B2A" w:rsidRDefault="00D668A6" w:rsidP="00C8194C">
      <w:pPr>
        <w:jc w:val="both"/>
        <w:rPr>
          <w:rFonts w:cs="Times New Roman"/>
          <w:lang w:val="hr-HR"/>
        </w:rPr>
      </w:pPr>
    </w:p>
    <w:p w:rsidR="00C8194C" w:rsidRPr="00F70B2A" w:rsidRDefault="00C8194C" w:rsidP="00C8194C">
      <w:pPr>
        <w:spacing w:after="120"/>
        <w:jc w:val="both"/>
        <w:rPr>
          <w:b/>
          <w:i/>
          <w:lang w:val="hr-HR"/>
        </w:rPr>
      </w:pPr>
      <w:r w:rsidRPr="00F70B2A">
        <w:rPr>
          <w:b/>
          <w:i/>
          <w:lang w:val="hr-HR"/>
        </w:rPr>
        <w:t xml:space="preserve">Ostali rashodi </w:t>
      </w:r>
    </w:p>
    <w:p w:rsidR="00C8194C" w:rsidRPr="00F70B2A" w:rsidRDefault="00C8194C" w:rsidP="00C8194C">
      <w:pPr>
        <w:jc w:val="both"/>
        <w:rPr>
          <w:rFonts w:cs="Times New Roman"/>
          <w:lang w:val="hr-HR"/>
        </w:rPr>
      </w:pPr>
      <w:r w:rsidRPr="00F70B2A">
        <w:rPr>
          <w:rFonts w:cs="Times New Roman"/>
          <w:lang w:val="hr-HR"/>
        </w:rPr>
        <w:t xml:space="preserve">Ostali rashodi, koji uključuju tekuće i kapitalne donacije, kazne, penale i naknade šteta, izvanredne rashode i kapitalne pomoći, u 2020. godini projicirani su u iznosu od 7,3 milijarde kuna, od čega se na rashode koji se financiraju iz općih prihoda i primitaka, doprinosa i namjenskih primitaka odnosi 2,7 milijardi kuna i smanjuju se za 1,1 milijardu kuna u odnosu na tekući plan 2019. godine. Ovo smanjenje najvećim dijelom posljedica je reklasifikacije sredstva namijenjenih HŽ Infrastrukturi d.o.o. i Hrvatskim autocestama d.o.o. iz ekonomske kategorije ostalih rashoda u kategoriju pomoći.  </w:t>
      </w:r>
    </w:p>
    <w:p w:rsidR="00C8194C" w:rsidRPr="00F70B2A" w:rsidRDefault="00C8194C" w:rsidP="00C8194C">
      <w:pPr>
        <w:jc w:val="both"/>
        <w:rPr>
          <w:rFonts w:cs="Times New Roman"/>
          <w:lang w:val="hr-HR"/>
        </w:rPr>
      </w:pPr>
      <w:r w:rsidRPr="00F70B2A">
        <w:rPr>
          <w:rFonts w:cs="Times New Roman"/>
          <w:lang w:val="hr-HR"/>
        </w:rPr>
        <w:t>Važno je istaknuti kako se unutar ove kategorije rashoda i u 2020. godini 1,6 milijardi kuna odnosi se na mjere ruralnog razvoja.</w:t>
      </w:r>
    </w:p>
    <w:p w:rsidR="00E5160F" w:rsidRPr="00F70B2A" w:rsidRDefault="00E5160F" w:rsidP="00C8194C">
      <w:pPr>
        <w:jc w:val="both"/>
        <w:rPr>
          <w:rFonts w:cs="Times New Roman"/>
          <w:lang w:val="hr-HR"/>
        </w:rPr>
      </w:pPr>
      <w:r w:rsidRPr="00F70B2A">
        <w:rPr>
          <w:noProof/>
          <w:lang w:val="hr-HR" w:eastAsia="hr-HR"/>
        </w:rPr>
        <w:drawing>
          <wp:inline distT="0" distB="0" distL="0" distR="0" wp14:anchorId="24EAF744" wp14:editId="651CB475">
            <wp:extent cx="5760720" cy="704605"/>
            <wp:effectExtent l="0" t="0" r="0"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704605"/>
                    </a:xfrm>
                    <a:prstGeom prst="rect">
                      <a:avLst/>
                    </a:prstGeom>
                    <a:noFill/>
                    <a:ln>
                      <a:noFill/>
                    </a:ln>
                  </pic:spPr>
                </pic:pic>
              </a:graphicData>
            </a:graphic>
          </wp:inline>
        </w:drawing>
      </w:r>
    </w:p>
    <w:p w:rsidR="00C8194C" w:rsidRPr="00F70B2A" w:rsidRDefault="00C8194C" w:rsidP="00C8194C">
      <w:pPr>
        <w:jc w:val="both"/>
        <w:rPr>
          <w:rFonts w:cs="Times New Roman"/>
          <w:lang w:val="hr-HR"/>
        </w:rPr>
      </w:pPr>
      <w:r w:rsidRPr="00F70B2A">
        <w:rPr>
          <w:rFonts w:cs="Times New Roman"/>
          <w:lang w:val="hr-HR"/>
        </w:rPr>
        <w:t>Također, na ovoj kategoriji rashoda planiraju se sredstva proračunske zalihe u iznosu od 100,0 milijuna kuna u 2020. godini.</w:t>
      </w:r>
    </w:p>
    <w:p w:rsidR="00C8194C" w:rsidRPr="00F70B2A" w:rsidRDefault="00C8194C" w:rsidP="00C8194C">
      <w:pPr>
        <w:jc w:val="both"/>
        <w:rPr>
          <w:rFonts w:cs="Times New Roman"/>
          <w:lang w:val="hr-HR"/>
        </w:rPr>
      </w:pPr>
      <w:r w:rsidRPr="00F70B2A">
        <w:rPr>
          <w:rFonts w:cs="Times New Roman"/>
          <w:lang w:val="hr-HR"/>
        </w:rPr>
        <w:t xml:space="preserve">Za financiranje ugovora s vjerskim zajednicama te sporazuma sa Svetom stolicom na ovoj skupini rashoda u 2020. planirano je ukupno 337,6 milijuna kuna. </w:t>
      </w:r>
    </w:p>
    <w:p w:rsidR="00C8194C" w:rsidRPr="00F70B2A" w:rsidRDefault="00C8194C" w:rsidP="00C8194C">
      <w:pPr>
        <w:jc w:val="both"/>
        <w:rPr>
          <w:rFonts w:cs="Times New Roman"/>
          <w:lang w:val="hr-HR"/>
        </w:rPr>
      </w:pPr>
      <w:r w:rsidRPr="00F70B2A">
        <w:rPr>
          <w:rFonts w:cs="Times New Roman"/>
          <w:lang w:val="hr-HR"/>
        </w:rPr>
        <w:t>U 2021. dosegnut će razinu od 8,1 milijardu kuna, a u 2022. godini razinu od 7,5 milijardi kuna.</w:t>
      </w:r>
    </w:p>
    <w:p w:rsidR="00C8194C" w:rsidRPr="00F70B2A" w:rsidRDefault="00C8194C" w:rsidP="00C8194C">
      <w:pPr>
        <w:spacing w:after="120"/>
        <w:jc w:val="both"/>
        <w:rPr>
          <w:rFonts w:cs="Times New Roman"/>
          <w:b/>
          <w:lang w:val="hr-HR"/>
        </w:rPr>
      </w:pPr>
    </w:p>
    <w:p w:rsidR="00C8194C" w:rsidRPr="00F70B2A" w:rsidRDefault="00C8194C" w:rsidP="00C8194C">
      <w:pPr>
        <w:spacing w:after="120"/>
        <w:jc w:val="both"/>
        <w:rPr>
          <w:b/>
          <w:lang w:val="hr-HR"/>
        </w:rPr>
      </w:pPr>
      <w:r w:rsidRPr="00F70B2A">
        <w:rPr>
          <w:b/>
          <w:lang w:val="hr-HR"/>
        </w:rPr>
        <w:t>Rashodi za nabavu nefinancijske imovine</w:t>
      </w:r>
    </w:p>
    <w:p w:rsidR="00C8194C" w:rsidRPr="00F70B2A" w:rsidRDefault="00C8194C" w:rsidP="00C8194C">
      <w:pPr>
        <w:pStyle w:val="Default"/>
        <w:spacing w:after="200" w:line="276" w:lineRule="auto"/>
        <w:jc w:val="both"/>
        <w:rPr>
          <w:rFonts w:asciiTheme="minorHAnsi" w:hAnsiTheme="minorHAnsi"/>
          <w:color w:val="auto"/>
          <w:sz w:val="22"/>
          <w:szCs w:val="22"/>
        </w:rPr>
      </w:pPr>
      <w:r w:rsidRPr="00F70B2A">
        <w:rPr>
          <w:rFonts w:asciiTheme="minorHAnsi" w:hAnsiTheme="minorHAnsi"/>
          <w:sz w:val="22"/>
          <w:szCs w:val="22"/>
        </w:rPr>
        <w:t xml:space="preserve">Rashodi za nabavu nefinancijske imovine u 2020. godini projicirani su u iznosu od 5,9 milijardi kuna. Od navedenog, rashodi financirani iz izvora financiranja opći prihodi i primici, doprinosi i namjenski </w:t>
      </w:r>
      <w:r w:rsidRPr="00F70B2A">
        <w:rPr>
          <w:rFonts w:asciiTheme="minorHAnsi" w:hAnsiTheme="minorHAnsi"/>
          <w:color w:val="auto"/>
          <w:sz w:val="22"/>
          <w:szCs w:val="22"/>
        </w:rPr>
        <w:t xml:space="preserve">primici planirani su na razini od 2,4 milijarde kuna i u odnosu na tekući plan 2019. godinu smanjuju se za 158,1 milijun kuna najvećim dijelom zbog smanjenih izdvajanja na pozicijama Ministarstva financija i Ministarstva obrane. </w:t>
      </w:r>
    </w:p>
    <w:p w:rsidR="00C8194C" w:rsidRPr="00F70B2A" w:rsidRDefault="00C8194C" w:rsidP="00C8194C">
      <w:pPr>
        <w:pStyle w:val="Default"/>
        <w:spacing w:after="200" w:line="276" w:lineRule="auto"/>
        <w:jc w:val="both"/>
        <w:rPr>
          <w:rFonts w:asciiTheme="minorHAnsi" w:hAnsiTheme="minorHAnsi"/>
          <w:color w:val="auto"/>
          <w:sz w:val="22"/>
          <w:szCs w:val="22"/>
        </w:rPr>
      </w:pPr>
      <w:r w:rsidRPr="00F70B2A">
        <w:rPr>
          <w:rFonts w:asciiTheme="minorHAnsi" w:hAnsiTheme="minorHAnsi"/>
          <w:color w:val="auto"/>
          <w:sz w:val="22"/>
          <w:szCs w:val="22"/>
        </w:rPr>
        <w:t xml:space="preserve">Istovremeno ovi rashodi financirani iz </w:t>
      </w:r>
      <w:r w:rsidRPr="00F70B2A">
        <w:rPr>
          <w:rFonts w:asciiTheme="minorHAnsi" w:hAnsiTheme="minorHAnsi"/>
          <w:sz w:val="22"/>
          <w:szCs w:val="22"/>
        </w:rPr>
        <w:t>EU i ostalih izvora financiranja povećavaju se za 657,4 milijuna kuna i to najvećim dijelom u okviru Operativnog programa Konkurentnost i kohezija i Operativnog programa Učinkovito upravljanje ljudskim potencijalima na pozicijama Ministarstva znanosti i obrazovanja i Ministarstva zaštite okoliša i energetike.</w:t>
      </w:r>
    </w:p>
    <w:p w:rsidR="00C8194C" w:rsidRPr="00F70B2A" w:rsidRDefault="00C8194C" w:rsidP="00C8194C">
      <w:pPr>
        <w:jc w:val="both"/>
        <w:rPr>
          <w:rFonts w:cs="Times New Roman"/>
          <w:lang w:val="hr-HR"/>
        </w:rPr>
      </w:pPr>
      <w:r w:rsidRPr="00F70B2A">
        <w:rPr>
          <w:rFonts w:cs="Times New Roman"/>
          <w:lang w:val="hr-HR"/>
        </w:rPr>
        <w:t xml:space="preserve">U 2021. ovi rashodi su planirani na razini od 5,4 milijarde kuna, a u 2022. godini ovi rashodi predviđaju se u iznosu od 4,6 milijardi kuna.  </w:t>
      </w:r>
    </w:p>
    <w:p w:rsidR="00695821" w:rsidRPr="00F70B2A" w:rsidRDefault="00695821" w:rsidP="0029489C">
      <w:pPr>
        <w:pStyle w:val="Heading2"/>
        <w:numPr>
          <w:ilvl w:val="1"/>
          <w:numId w:val="16"/>
        </w:numPr>
        <w:ind w:left="993" w:hanging="567"/>
        <w:rPr>
          <w:lang w:val="hr-HR"/>
        </w:rPr>
      </w:pPr>
      <w:bookmarkStart w:id="28" w:name="_Toc23376941"/>
      <w:r w:rsidRPr="00F70B2A">
        <w:rPr>
          <w:lang w:val="hr-HR"/>
        </w:rPr>
        <w:lastRenderedPageBreak/>
        <w:t>Obrazloženje rashoda po funkcijskoj klasifikaciji</w:t>
      </w:r>
      <w:bookmarkEnd w:id="28"/>
    </w:p>
    <w:p w:rsidR="00033D9E" w:rsidRPr="00F70B2A" w:rsidRDefault="00033D9E" w:rsidP="00D668A6">
      <w:pPr>
        <w:pStyle w:val="Default"/>
        <w:spacing w:after="200" w:line="276" w:lineRule="auto"/>
        <w:jc w:val="both"/>
        <w:rPr>
          <w:rFonts w:asciiTheme="minorHAnsi" w:hAnsiTheme="minorHAnsi"/>
          <w:color w:val="auto"/>
          <w:sz w:val="22"/>
          <w:szCs w:val="22"/>
        </w:rPr>
      </w:pPr>
      <w:bookmarkStart w:id="29" w:name="_Toc445241796"/>
    </w:p>
    <w:bookmarkEnd w:id="29"/>
    <w:p w:rsidR="00C8194C" w:rsidRPr="00F70B2A" w:rsidRDefault="00C8194C" w:rsidP="00D668A6">
      <w:pPr>
        <w:pStyle w:val="Default"/>
        <w:spacing w:after="200" w:line="276" w:lineRule="auto"/>
        <w:jc w:val="both"/>
        <w:rPr>
          <w:rFonts w:asciiTheme="minorHAnsi" w:hAnsiTheme="minorHAnsi"/>
          <w:color w:val="auto"/>
          <w:sz w:val="22"/>
          <w:szCs w:val="22"/>
        </w:rPr>
      </w:pPr>
      <w:r w:rsidRPr="00F70B2A">
        <w:rPr>
          <w:rFonts w:asciiTheme="minorHAnsi" w:hAnsiTheme="minorHAnsi"/>
          <w:color w:val="auto"/>
          <w:sz w:val="22"/>
          <w:szCs w:val="22"/>
        </w:rPr>
        <w:t xml:space="preserve">S ciljem daljnjeg povećanja transparentnosti korištenja proračunskih sredstava u nastavku se u okviru obrazloženja rashoda državnog proračuna, daje i prikaz rashoda po funkcijskoj klasifikaciji. </w:t>
      </w:r>
    </w:p>
    <w:p w:rsidR="00D668A6" w:rsidRDefault="00BC27DE" w:rsidP="00BE094B">
      <w:pPr>
        <w:spacing w:before="240" w:after="0" w:line="240" w:lineRule="auto"/>
        <w:jc w:val="both"/>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7</w:t>
      </w:r>
      <w:r w:rsidRPr="00F70B2A">
        <w:rPr>
          <w:i/>
          <w:lang w:val="hr-HR"/>
        </w:rPr>
        <w:fldChar w:fldCharType="end"/>
      </w:r>
      <w:r w:rsidRPr="00F70B2A">
        <w:rPr>
          <w:i/>
          <w:lang w:val="hr-HR"/>
        </w:rPr>
        <w:t xml:space="preserve">: </w:t>
      </w:r>
      <w:r w:rsidR="00C8194C" w:rsidRPr="00F70B2A">
        <w:rPr>
          <w:i/>
          <w:lang w:val="hr-HR"/>
        </w:rPr>
        <w:t>Kretanje rashoda državnog proračuna u razdoblju 2018. - 2022. po funkcijskoj klasifikaciji</w:t>
      </w:r>
    </w:p>
    <w:p w:rsidR="00153C78" w:rsidRPr="00F70B2A" w:rsidRDefault="00153C78" w:rsidP="00BE094B">
      <w:pPr>
        <w:spacing w:before="240" w:after="0" w:line="240" w:lineRule="auto"/>
        <w:jc w:val="both"/>
        <w:rPr>
          <w:i/>
          <w:lang w:val="hr-HR"/>
        </w:rPr>
      </w:pPr>
      <w:r w:rsidRPr="00153C78">
        <w:rPr>
          <w:noProof/>
          <w:lang w:val="hr-HR" w:eastAsia="hr-HR"/>
        </w:rPr>
        <w:drawing>
          <wp:inline distT="0" distB="0" distL="0" distR="0" wp14:anchorId="72130DF5" wp14:editId="600B712E">
            <wp:extent cx="5760720" cy="128311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1283112"/>
                    </a:xfrm>
                    <a:prstGeom prst="rect">
                      <a:avLst/>
                    </a:prstGeom>
                    <a:noFill/>
                    <a:ln>
                      <a:noFill/>
                    </a:ln>
                  </pic:spPr>
                </pic:pic>
              </a:graphicData>
            </a:graphic>
          </wp:inline>
        </w:drawing>
      </w:r>
    </w:p>
    <w:p w:rsidR="00BE094B" w:rsidRPr="00F70B2A" w:rsidRDefault="00BC27DE" w:rsidP="00BC27DE">
      <w:pPr>
        <w:rPr>
          <w:i/>
          <w:sz w:val="20"/>
          <w:lang w:val="hr-HR"/>
        </w:rPr>
      </w:pPr>
      <w:r w:rsidRPr="00F70B2A">
        <w:rPr>
          <w:i/>
          <w:sz w:val="20"/>
          <w:lang w:val="hr-HR"/>
        </w:rPr>
        <w:t>Izvor: Ministarstvo financija</w:t>
      </w:r>
    </w:p>
    <w:p w:rsidR="0037667D" w:rsidRPr="00F70B2A" w:rsidRDefault="00BC27DE" w:rsidP="00BC27DE">
      <w:pPr>
        <w:rPr>
          <w:lang w:val="hr-HR"/>
        </w:rPr>
      </w:pPr>
      <w:r w:rsidRPr="00F70B2A">
        <w:rPr>
          <w:lang w:val="hr-HR"/>
        </w:rPr>
        <w:t xml:space="preserve"> </w:t>
      </w:r>
      <w:r w:rsidR="0037667D" w:rsidRPr="00F70B2A">
        <w:rPr>
          <w:lang w:val="hr-HR"/>
        </w:rPr>
        <w:br w:type="page"/>
      </w:r>
    </w:p>
    <w:p w:rsidR="00695821" w:rsidRPr="00F70B2A" w:rsidRDefault="00695821" w:rsidP="0029489C">
      <w:pPr>
        <w:pStyle w:val="Heading1"/>
        <w:numPr>
          <w:ilvl w:val="0"/>
          <w:numId w:val="17"/>
        </w:numPr>
        <w:rPr>
          <w:lang w:val="hr-HR"/>
        </w:rPr>
      </w:pPr>
      <w:bookmarkStart w:id="30" w:name="_Toc23376942"/>
      <w:r w:rsidRPr="00F70B2A">
        <w:rPr>
          <w:lang w:val="hr-HR"/>
        </w:rPr>
        <w:lastRenderedPageBreak/>
        <w:t>UKUPNI MANJAK</w:t>
      </w:r>
      <w:r w:rsidR="00BC27DE" w:rsidRPr="00F70B2A">
        <w:rPr>
          <w:lang w:val="hr-HR"/>
        </w:rPr>
        <w:t>/VIŠAK</w:t>
      </w:r>
      <w:r w:rsidRPr="00F70B2A">
        <w:rPr>
          <w:lang w:val="hr-HR"/>
        </w:rPr>
        <w:t xml:space="preserve"> DRŽAVNOG PRORAČUNA</w:t>
      </w:r>
      <w:bookmarkEnd w:id="30"/>
      <w:r w:rsidRPr="00F70B2A">
        <w:rPr>
          <w:lang w:val="hr-HR"/>
        </w:rPr>
        <w:t xml:space="preserve"> </w:t>
      </w:r>
    </w:p>
    <w:p w:rsidR="00695821" w:rsidRPr="00F70B2A" w:rsidRDefault="00695821" w:rsidP="00695821">
      <w:pPr>
        <w:rPr>
          <w:lang w:val="hr-HR"/>
        </w:rPr>
      </w:pPr>
    </w:p>
    <w:p w:rsidR="00695821" w:rsidRPr="00F70B2A" w:rsidRDefault="00695821" w:rsidP="002A12E4">
      <w:pPr>
        <w:jc w:val="both"/>
        <w:rPr>
          <w:lang w:val="hr-HR"/>
        </w:rPr>
      </w:pPr>
      <w:r w:rsidRPr="00F70B2A">
        <w:rPr>
          <w:lang w:val="hr-HR"/>
        </w:rPr>
        <w:t xml:space="preserve">Slijedom ukupno planiranih </w:t>
      </w:r>
      <w:r w:rsidRPr="00591803">
        <w:rPr>
          <w:lang w:val="hr-HR"/>
        </w:rPr>
        <w:t xml:space="preserve">prihoda u iznosu od </w:t>
      </w:r>
      <w:r w:rsidR="00591803" w:rsidRPr="00591803">
        <w:rPr>
          <w:lang w:val="hr-HR"/>
        </w:rPr>
        <w:t>145,</w:t>
      </w:r>
      <w:r w:rsidR="008E0275" w:rsidRPr="00591803">
        <w:rPr>
          <w:lang w:val="hr-HR"/>
        </w:rPr>
        <w:t>1 milijardu</w:t>
      </w:r>
      <w:r w:rsidRPr="00591803">
        <w:rPr>
          <w:lang w:val="hr-HR"/>
        </w:rPr>
        <w:t xml:space="preserve"> kuna te ukupno planiranih rashoda u iznosu od </w:t>
      </w:r>
      <w:r w:rsidR="00591803" w:rsidRPr="00591803">
        <w:rPr>
          <w:lang w:val="hr-HR"/>
        </w:rPr>
        <w:t>147,3</w:t>
      </w:r>
      <w:r w:rsidRPr="00591803">
        <w:rPr>
          <w:lang w:val="hr-HR"/>
        </w:rPr>
        <w:t xml:space="preserve"> mi</w:t>
      </w:r>
      <w:r w:rsidR="004940AE" w:rsidRPr="00591803">
        <w:rPr>
          <w:lang w:val="hr-HR"/>
        </w:rPr>
        <w:t>lijarde</w:t>
      </w:r>
      <w:r w:rsidRPr="00591803">
        <w:rPr>
          <w:lang w:val="hr-HR"/>
        </w:rPr>
        <w:t xml:space="preserve"> kuna, planirani manjak državnog proračuna za 20</w:t>
      </w:r>
      <w:r w:rsidR="00155FA2" w:rsidRPr="00591803">
        <w:rPr>
          <w:lang w:val="hr-HR"/>
        </w:rPr>
        <w:t>20</w:t>
      </w:r>
      <w:r w:rsidRPr="00591803">
        <w:rPr>
          <w:lang w:val="hr-HR"/>
        </w:rPr>
        <w:t xml:space="preserve">. godinu iznosi </w:t>
      </w:r>
      <w:r w:rsidR="00591803" w:rsidRPr="00591803">
        <w:rPr>
          <w:lang w:val="hr-HR"/>
        </w:rPr>
        <w:t>2,2</w:t>
      </w:r>
      <w:r w:rsidRPr="00591803">
        <w:rPr>
          <w:lang w:val="hr-HR"/>
        </w:rPr>
        <w:t xml:space="preserve"> milijard</w:t>
      </w:r>
      <w:r w:rsidR="00EA7C55" w:rsidRPr="00591803">
        <w:rPr>
          <w:lang w:val="hr-HR"/>
        </w:rPr>
        <w:t>e</w:t>
      </w:r>
      <w:r w:rsidRPr="00591803">
        <w:rPr>
          <w:lang w:val="hr-HR"/>
        </w:rPr>
        <w:t xml:space="preserve"> kuna ili </w:t>
      </w:r>
      <w:r w:rsidR="00591803" w:rsidRPr="00591803">
        <w:rPr>
          <w:lang w:val="hr-HR"/>
        </w:rPr>
        <w:t>0,5</w:t>
      </w:r>
      <w:r w:rsidRPr="00591803">
        <w:rPr>
          <w:lang w:val="hr-HR"/>
        </w:rPr>
        <w:t>% bruto domaćeg proizvoda.</w:t>
      </w:r>
      <w:r w:rsidRPr="00F70B2A">
        <w:rPr>
          <w:lang w:val="hr-HR"/>
        </w:rPr>
        <w:t xml:space="preserve"> </w:t>
      </w:r>
    </w:p>
    <w:p w:rsidR="00695821" w:rsidRPr="00F70B2A" w:rsidRDefault="00BE094B" w:rsidP="002A12E4">
      <w:pPr>
        <w:jc w:val="both"/>
        <w:rPr>
          <w:lang w:val="hr-HR"/>
        </w:rPr>
      </w:pPr>
      <w:r w:rsidRPr="00591803">
        <w:rPr>
          <w:lang w:val="hr-HR"/>
        </w:rPr>
        <w:t>U 202</w:t>
      </w:r>
      <w:r w:rsidR="00155FA2" w:rsidRPr="00591803">
        <w:rPr>
          <w:lang w:val="hr-HR"/>
        </w:rPr>
        <w:t>1</w:t>
      </w:r>
      <w:r w:rsidR="00695821" w:rsidRPr="00591803">
        <w:rPr>
          <w:lang w:val="hr-HR"/>
        </w:rPr>
        <w:t xml:space="preserve">. godini manjak državnog proračuna projiciran je </w:t>
      </w:r>
      <w:r w:rsidR="00D72B0A">
        <w:rPr>
          <w:lang w:val="hr-HR"/>
        </w:rPr>
        <w:t xml:space="preserve">uravnotežen proračun odnosno manjak od </w:t>
      </w:r>
      <w:r w:rsidR="00591803" w:rsidRPr="00591803">
        <w:rPr>
          <w:lang w:val="hr-HR"/>
        </w:rPr>
        <w:t>201 milijun</w:t>
      </w:r>
      <w:r w:rsidR="00695821" w:rsidRPr="00591803">
        <w:rPr>
          <w:lang w:val="hr-HR"/>
        </w:rPr>
        <w:t xml:space="preserve"> kuna, dok </w:t>
      </w:r>
      <w:r w:rsidR="00155FA2" w:rsidRPr="00591803">
        <w:rPr>
          <w:lang w:val="hr-HR"/>
        </w:rPr>
        <w:t>se u 2022</w:t>
      </w:r>
      <w:r w:rsidR="00695821" w:rsidRPr="00591803">
        <w:rPr>
          <w:lang w:val="hr-HR"/>
        </w:rPr>
        <w:t xml:space="preserve">. godini </w:t>
      </w:r>
      <w:r w:rsidR="00EA7C55" w:rsidRPr="00591803">
        <w:rPr>
          <w:lang w:val="hr-HR"/>
        </w:rPr>
        <w:t xml:space="preserve">projicira </w:t>
      </w:r>
      <w:r w:rsidR="00591803" w:rsidRPr="00591803">
        <w:rPr>
          <w:lang w:val="hr-HR"/>
        </w:rPr>
        <w:t>višak</w:t>
      </w:r>
      <w:r w:rsidR="00695821" w:rsidRPr="00591803">
        <w:rPr>
          <w:lang w:val="hr-HR"/>
        </w:rPr>
        <w:t xml:space="preserve"> od </w:t>
      </w:r>
      <w:r w:rsidR="00591803" w:rsidRPr="00591803">
        <w:rPr>
          <w:lang w:val="hr-HR"/>
        </w:rPr>
        <w:t>1,8 milijardi</w:t>
      </w:r>
      <w:r w:rsidR="008E0275" w:rsidRPr="00591803">
        <w:rPr>
          <w:lang w:val="hr-HR"/>
        </w:rPr>
        <w:t xml:space="preserve"> </w:t>
      </w:r>
      <w:r w:rsidR="00695821" w:rsidRPr="00591803">
        <w:rPr>
          <w:lang w:val="hr-HR"/>
        </w:rPr>
        <w:t xml:space="preserve">kuna ili </w:t>
      </w:r>
      <w:r w:rsidR="008E0275" w:rsidRPr="00591803">
        <w:rPr>
          <w:lang w:val="hr-HR"/>
        </w:rPr>
        <w:t>0,</w:t>
      </w:r>
      <w:r w:rsidR="00591803" w:rsidRPr="00591803">
        <w:rPr>
          <w:lang w:val="hr-HR"/>
        </w:rPr>
        <w:t>4</w:t>
      </w:r>
      <w:r w:rsidR="005D267C" w:rsidRPr="00591803">
        <w:rPr>
          <w:lang w:val="hr-HR"/>
        </w:rPr>
        <w:t>%</w:t>
      </w:r>
      <w:r w:rsidR="00695821" w:rsidRPr="00591803">
        <w:rPr>
          <w:lang w:val="hr-HR"/>
        </w:rPr>
        <w:t xml:space="preserve"> bruto domaćeg proizvoda.</w:t>
      </w:r>
    </w:p>
    <w:p w:rsidR="00695821" w:rsidRPr="00F70B2A" w:rsidRDefault="00DB0827" w:rsidP="00533F79">
      <w:pPr>
        <w:spacing w:before="240" w:after="0" w:line="240" w:lineRule="auto"/>
        <w:rPr>
          <w:i/>
          <w:lang w:val="hr-HR"/>
        </w:rPr>
      </w:pPr>
      <w:bookmarkStart w:id="31" w:name="_Toc445241797"/>
      <w:r w:rsidRPr="00F70B2A">
        <w:rPr>
          <w:i/>
          <w:lang w:val="hr-HR"/>
        </w:rPr>
        <w:t xml:space="preserve">Tablica </w:t>
      </w:r>
      <w:r w:rsidR="00533F79" w:rsidRPr="00F70B2A">
        <w:rPr>
          <w:i/>
          <w:lang w:val="hr-HR"/>
        </w:rPr>
        <w:fldChar w:fldCharType="begin"/>
      </w:r>
      <w:r w:rsidR="00533F79" w:rsidRPr="00F70B2A">
        <w:rPr>
          <w:i/>
          <w:lang w:val="hr-HR"/>
        </w:rPr>
        <w:instrText xml:space="preserve"> SEQ Tablica \* ARABIC </w:instrText>
      </w:r>
      <w:r w:rsidR="00533F79" w:rsidRPr="00F70B2A">
        <w:rPr>
          <w:i/>
          <w:lang w:val="hr-HR"/>
        </w:rPr>
        <w:fldChar w:fldCharType="separate"/>
      </w:r>
      <w:r w:rsidR="003E7929">
        <w:rPr>
          <w:i/>
          <w:noProof/>
          <w:lang w:val="hr-HR"/>
        </w:rPr>
        <w:t>8</w:t>
      </w:r>
      <w:r w:rsidR="00533F79" w:rsidRPr="00F70B2A">
        <w:rPr>
          <w:i/>
          <w:lang w:val="hr-HR"/>
        </w:rPr>
        <w:fldChar w:fldCharType="end"/>
      </w:r>
      <w:r w:rsidR="00695821" w:rsidRPr="00F70B2A">
        <w:rPr>
          <w:i/>
          <w:lang w:val="hr-HR"/>
        </w:rPr>
        <w:t>: Ukupni manjak</w:t>
      </w:r>
      <w:r w:rsidR="00BC27DE" w:rsidRPr="00F70B2A">
        <w:rPr>
          <w:i/>
          <w:lang w:val="hr-HR"/>
        </w:rPr>
        <w:t>/višak</w:t>
      </w:r>
      <w:r w:rsidR="00695821" w:rsidRPr="00F70B2A">
        <w:rPr>
          <w:i/>
          <w:lang w:val="hr-HR"/>
        </w:rPr>
        <w:t xml:space="preserve"> državnog proračuna</w:t>
      </w:r>
      <w:bookmarkEnd w:id="31"/>
    </w:p>
    <w:p w:rsidR="008E0275" w:rsidRPr="00F70B2A" w:rsidRDefault="00DF7C34" w:rsidP="008E0275">
      <w:pPr>
        <w:spacing w:before="240" w:after="0"/>
        <w:rPr>
          <w:lang w:val="hr-HR"/>
        </w:rPr>
      </w:pPr>
      <w:r w:rsidRPr="00DF7C34">
        <w:rPr>
          <w:noProof/>
          <w:lang w:val="hr-HR" w:eastAsia="hr-HR"/>
        </w:rPr>
        <w:drawing>
          <wp:inline distT="0" distB="0" distL="0" distR="0" wp14:anchorId="2EAF9D47" wp14:editId="22316EE2">
            <wp:extent cx="5760720" cy="1490031"/>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1490031"/>
                    </a:xfrm>
                    <a:prstGeom prst="rect">
                      <a:avLst/>
                    </a:prstGeom>
                    <a:noFill/>
                    <a:ln>
                      <a:noFill/>
                    </a:ln>
                  </pic:spPr>
                </pic:pic>
              </a:graphicData>
            </a:graphic>
          </wp:inline>
        </w:drawing>
      </w:r>
    </w:p>
    <w:p w:rsidR="00695821" w:rsidRPr="00F70B2A" w:rsidRDefault="00695821" w:rsidP="00205AC5">
      <w:pPr>
        <w:spacing w:after="0"/>
        <w:rPr>
          <w:i/>
          <w:sz w:val="20"/>
          <w:lang w:val="hr-HR"/>
        </w:rPr>
      </w:pPr>
      <w:r w:rsidRPr="00F70B2A">
        <w:rPr>
          <w:i/>
          <w:sz w:val="20"/>
          <w:lang w:val="hr-HR"/>
        </w:rPr>
        <w:t>Izvor: Ministarstvo financija</w:t>
      </w:r>
    </w:p>
    <w:p w:rsidR="001314C4" w:rsidRPr="00F70B2A" w:rsidRDefault="00695821" w:rsidP="00695821">
      <w:pPr>
        <w:rPr>
          <w:lang w:val="hr-HR"/>
        </w:rPr>
      </w:pPr>
      <w:r w:rsidRPr="00F70B2A">
        <w:rPr>
          <w:lang w:val="hr-HR"/>
        </w:rPr>
        <w:t xml:space="preserve"> </w:t>
      </w:r>
      <w:r w:rsidR="001314C4" w:rsidRPr="00F70B2A">
        <w:rPr>
          <w:lang w:val="hr-HR"/>
        </w:rPr>
        <w:br w:type="page"/>
      </w:r>
    </w:p>
    <w:p w:rsidR="00695821" w:rsidRPr="00F70B2A" w:rsidRDefault="00695821" w:rsidP="0029489C">
      <w:pPr>
        <w:pStyle w:val="Heading1"/>
        <w:numPr>
          <w:ilvl w:val="0"/>
          <w:numId w:val="17"/>
        </w:numPr>
        <w:rPr>
          <w:lang w:val="hr-HR"/>
        </w:rPr>
      </w:pPr>
      <w:bookmarkStart w:id="32" w:name="_Toc23376943"/>
      <w:r w:rsidRPr="00F70B2A">
        <w:rPr>
          <w:lang w:val="hr-HR"/>
        </w:rPr>
        <w:lastRenderedPageBreak/>
        <w:t>RAČUN FINANCIRANJA DRŽAVNOG PRORAČUNA</w:t>
      </w:r>
      <w:bookmarkEnd w:id="32"/>
      <w:r w:rsidRPr="00F70B2A">
        <w:rPr>
          <w:lang w:val="hr-HR"/>
        </w:rPr>
        <w:t xml:space="preserve"> </w:t>
      </w:r>
    </w:p>
    <w:p w:rsidR="00695821" w:rsidRPr="00F70B2A" w:rsidRDefault="00695821" w:rsidP="00695821">
      <w:pPr>
        <w:rPr>
          <w:lang w:val="hr-HR"/>
        </w:rPr>
      </w:pPr>
    </w:p>
    <w:p w:rsidR="008B2AD0" w:rsidRDefault="008B2AD0" w:rsidP="008B2AD0">
      <w:pPr>
        <w:jc w:val="both"/>
        <w:rPr>
          <w:lang w:val="hr-HR"/>
        </w:rPr>
      </w:pPr>
      <w:r>
        <w:rPr>
          <w:lang w:val="hr-HR"/>
        </w:rPr>
        <w:t>Manjak državnog proračuna za 2020. godinu u iznosu od 2,2 milijarde kuna financirat će se razlikom ukupnih primitaka od financijske imovine i zaduživanja te ukupnih izdataka za financijsku imovinu i otplate zajmova. Pritom su ukupni primici od financijske imovine i zaduživanja planirani u iznosu od 30,5 milijardi kuna, a ukupni izdaci za financijsku imovinu i otplate zajmova u iznosu od 30,1 milijardu kuna. Zatvarajuća stavka između ukupnih primitaka od financijske imovine i zaduživanja, ukupnih izdataka za financijsku imovinu i otplate zajmova te ukupnog manjka državnog proračuna u 2020. godini jesu prijenos depozita iz prethodne godine u iznosu od 6,9 milijardi kuna te planirani prijenos depozita u narednu godinu u iznosu od 5,2 milijarde kuna.</w:t>
      </w:r>
    </w:p>
    <w:p w:rsidR="008B2AD0" w:rsidRDefault="008B2AD0" w:rsidP="008B2AD0">
      <w:pPr>
        <w:jc w:val="both"/>
        <w:rPr>
          <w:lang w:val="hr-HR"/>
        </w:rPr>
      </w:pPr>
      <w:r>
        <w:rPr>
          <w:lang w:val="hr-HR"/>
        </w:rPr>
        <w:t>U strukturi ukupnih primitaka od financijske imovine i zaduživanja u 2020. godini najznačajniji dio zauzimaju primici od izdanih vrijednosnih papira i to s iznosom od 22,5 milijardi kuna koji se u cijelosti odnose na zaduživanje putem obveznica. Planirano zaduživanje inozemnim i domaćim kreditima i zajmovima iznosi 4,9 milijardi kuna, a očekivani primitak od privatizacije iznosi 1 milijardu kuna. Ostatak ukupno planiranih primitaka odnosi se na primitke ostvarene od povrata glavnica danih zajmova i depozita u iznosu od 2,1 milijardu kuna, od čega se najznačajniji iznos od 1,9 milijardi kuna odnosi na povrat depozita koji se planira oročiti krajem 2019. godine.</w:t>
      </w:r>
    </w:p>
    <w:p w:rsidR="008B2AD0" w:rsidRDefault="008B2AD0" w:rsidP="008B2AD0">
      <w:pPr>
        <w:jc w:val="both"/>
        <w:rPr>
          <w:lang w:val="hr-HR"/>
        </w:rPr>
      </w:pPr>
      <w:r>
        <w:rPr>
          <w:lang w:val="hr-HR"/>
        </w:rPr>
        <w:t>U strukturi ukupnih izdataka za financijsku imovinu i otplate zajmova najveći iznos od 23,0 milijarde kuna čine izdaci za otplatu glavnice za izdane vrijednosne papire od čega se 19,5 milijardi kuna odnosi na izdatke za otplatu glavnice za izdane obveznice, dok se iznos od 3,5 milijardi kuna odnosi na izdatke za otplatu glavnice za izdane trezorske zapise. Izdaci za otplatu glavnice primljenih kredita i zajmova iznose 5,3 milijarde kuna, od čega se 2,7 milijardi kuna odnosi na otplatu glavnice primljenih kredita i zajmova od kreditnih i ostalih financijskih institucija izvan javnog sektora, 1,8 milijardi kuna na izdatke za otplatu glavnice primljenih kredita i zajmova od kreditnih i ostalih financijskih institucija u javnom sektoru, a 766,6 milijuna kuna na otplatu glavnice primljenih kredita i zajmova od međunarodnih organizacija, institucija i tijela EU te inozemnih vlada. Planirana sredstva za izdatke za dane zajmove i depozite iznose 1,6 milijardi kuna, dok na izdatke za dionice i udjele u glavnici otpada 207,7 milijuna kuna.</w:t>
      </w:r>
    </w:p>
    <w:p w:rsidR="008B2AD0" w:rsidRDefault="008B2AD0" w:rsidP="008B2AD0">
      <w:pPr>
        <w:jc w:val="both"/>
        <w:rPr>
          <w:lang w:val="hr-HR"/>
        </w:rPr>
      </w:pPr>
      <w:r>
        <w:rPr>
          <w:lang w:val="hr-HR"/>
        </w:rPr>
        <w:t>Kretanje ukupnog manjka, odnosno viška državnog proračuna te kretanje ukupnih razina izdataka za financijsku imovinu i otplate zajmova će do kraja srednjoročnog razdoblja utjecati na razinu ukupnih primitaka od financijske imovine i zaduživanja. U 2021. godini planirani su primici od financijske imovine i zaduživanja u iznosu od 24,8 milijardi kuna i izdaci za financijsku imovinu i otplate zajmova u iznosu od 23,0 milijarde kuna, dok su u 2022. godini planirani primici od financijske imovine i zaduživanja u iznosu od 31,7 milijardi kuna, a izdaci za financijsku imovinu i otplate zajmova u iznosu od 31,5 milijardi kuna.</w:t>
      </w:r>
    </w:p>
    <w:p w:rsidR="00947B0E" w:rsidRPr="00F70B2A" w:rsidRDefault="00947B0E" w:rsidP="00936C84">
      <w:pPr>
        <w:jc w:val="both"/>
        <w:rPr>
          <w:lang w:val="hr-HR"/>
        </w:rPr>
      </w:pPr>
    </w:p>
    <w:p w:rsidR="00155FA2" w:rsidRDefault="00155FA2" w:rsidP="00936C84">
      <w:pPr>
        <w:jc w:val="both"/>
        <w:rPr>
          <w:lang w:val="hr-HR"/>
        </w:rPr>
      </w:pPr>
    </w:p>
    <w:p w:rsidR="008B2AD0" w:rsidRDefault="008B2AD0" w:rsidP="00936C84">
      <w:pPr>
        <w:jc w:val="both"/>
        <w:rPr>
          <w:lang w:val="hr-HR"/>
        </w:rPr>
      </w:pPr>
    </w:p>
    <w:p w:rsidR="008B2AD0" w:rsidRPr="00F70B2A" w:rsidRDefault="008B2AD0" w:rsidP="00936C84">
      <w:pPr>
        <w:jc w:val="both"/>
        <w:rPr>
          <w:lang w:val="hr-HR"/>
        </w:rPr>
      </w:pPr>
    </w:p>
    <w:p w:rsidR="00695821" w:rsidRDefault="00DB0827" w:rsidP="00533F79">
      <w:pPr>
        <w:spacing w:before="240" w:after="0" w:line="240" w:lineRule="auto"/>
        <w:rPr>
          <w:i/>
          <w:lang w:val="hr-HR"/>
        </w:rPr>
      </w:pPr>
      <w:bookmarkStart w:id="33" w:name="_Toc445241798"/>
      <w:r w:rsidRPr="00F70B2A">
        <w:rPr>
          <w:i/>
          <w:lang w:val="hr-HR"/>
        </w:rPr>
        <w:lastRenderedPageBreak/>
        <w:t xml:space="preserve">Tablica </w:t>
      </w:r>
      <w:r w:rsidR="00533F79" w:rsidRPr="00F70B2A">
        <w:rPr>
          <w:i/>
          <w:lang w:val="hr-HR"/>
        </w:rPr>
        <w:fldChar w:fldCharType="begin"/>
      </w:r>
      <w:r w:rsidR="00533F79" w:rsidRPr="00F70B2A">
        <w:rPr>
          <w:i/>
          <w:lang w:val="hr-HR"/>
        </w:rPr>
        <w:instrText xml:space="preserve"> SEQ Tablica \* ARABIC </w:instrText>
      </w:r>
      <w:r w:rsidR="00533F79" w:rsidRPr="00F70B2A">
        <w:rPr>
          <w:i/>
          <w:lang w:val="hr-HR"/>
        </w:rPr>
        <w:fldChar w:fldCharType="separate"/>
      </w:r>
      <w:r w:rsidR="003E7929">
        <w:rPr>
          <w:i/>
          <w:noProof/>
          <w:lang w:val="hr-HR"/>
        </w:rPr>
        <w:t>9</w:t>
      </w:r>
      <w:r w:rsidR="00533F79" w:rsidRPr="00F70B2A">
        <w:rPr>
          <w:i/>
          <w:lang w:val="hr-HR"/>
        </w:rPr>
        <w:fldChar w:fldCharType="end"/>
      </w:r>
      <w:r w:rsidR="001F479B" w:rsidRPr="00F70B2A">
        <w:rPr>
          <w:i/>
          <w:lang w:val="hr-HR"/>
        </w:rPr>
        <w:t xml:space="preserve">: Račun prihoda, </w:t>
      </w:r>
      <w:r w:rsidR="00695821" w:rsidRPr="00F70B2A">
        <w:rPr>
          <w:i/>
          <w:lang w:val="hr-HR"/>
        </w:rPr>
        <w:t>rashoda i financiranja državnog proračuna</w:t>
      </w:r>
      <w:bookmarkEnd w:id="33"/>
    </w:p>
    <w:p w:rsidR="007D0BF8" w:rsidRDefault="007D0BF8" w:rsidP="00533F79">
      <w:pPr>
        <w:spacing w:before="240" w:after="0" w:line="240" w:lineRule="auto"/>
        <w:rPr>
          <w:i/>
          <w:lang w:val="hr-HR"/>
        </w:rPr>
      </w:pPr>
      <w:r w:rsidRPr="007D0BF8">
        <w:rPr>
          <w:noProof/>
          <w:lang w:val="hr-HR" w:eastAsia="hr-HR"/>
        </w:rPr>
        <w:drawing>
          <wp:inline distT="0" distB="0" distL="0" distR="0" wp14:anchorId="40A36791" wp14:editId="57C90908">
            <wp:extent cx="5760720" cy="17944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1794448"/>
                    </a:xfrm>
                    <a:prstGeom prst="rect">
                      <a:avLst/>
                    </a:prstGeom>
                    <a:noFill/>
                    <a:ln>
                      <a:noFill/>
                    </a:ln>
                  </pic:spPr>
                </pic:pic>
              </a:graphicData>
            </a:graphic>
          </wp:inline>
        </w:drawing>
      </w:r>
    </w:p>
    <w:p w:rsidR="00695821" w:rsidRPr="00F70B2A" w:rsidRDefault="00695821" w:rsidP="00695821">
      <w:pPr>
        <w:rPr>
          <w:i/>
          <w:sz w:val="20"/>
          <w:lang w:val="hr-HR"/>
        </w:rPr>
      </w:pPr>
      <w:r w:rsidRPr="00F70B2A">
        <w:rPr>
          <w:i/>
          <w:sz w:val="20"/>
          <w:lang w:val="hr-HR"/>
        </w:rPr>
        <w:t>Izvor: Ministarstvo financija</w:t>
      </w:r>
    </w:p>
    <w:p w:rsidR="00695821" w:rsidRPr="00F70B2A" w:rsidRDefault="00695821" w:rsidP="00695821">
      <w:pPr>
        <w:rPr>
          <w:lang w:val="hr-HR"/>
        </w:rPr>
      </w:pPr>
    </w:p>
    <w:p w:rsidR="00695821" w:rsidRPr="00F70B2A" w:rsidRDefault="00695821" w:rsidP="00695821">
      <w:pPr>
        <w:rPr>
          <w:lang w:val="hr-HR"/>
        </w:rPr>
      </w:pPr>
      <w:r w:rsidRPr="00F70B2A">
        <w:rPr>
          <w:lang w:val="hr-HR"/>
        </w:rPr>
        <w:t xml:space="preserve"> </w:t>
      </w:r>
      <w:r w:rsidRPr="00F70B2A">
        <w:rPr>
          <w:lang w:val="hr-HR"/>
        </w:rPr>
        <w:br w:type="page"/>
      </w:r>
    </w:p>
    <w:p w:rsidR="00306477" w:rsidRPr="00F70B2A" w:rsidRDefault="00306477" w:rsidP="0029489C">
      <w:pPr>
        <w:pStyle w:val="Heading1"/>
        <w:numPr>
          <w:ilvl w:val="0"/>
          <w:numId w:val="17"/>
        </w:numPr>
        <w:rPr>
          <w:lang w:val="hr-HR"/>
        </w:rPr>
      </w:pPr>
      <w:bookmarkStart w:id="34" w:name="_Toc445299434"/>
      <w:bookmarkStart w:id="35" w:name="_Toc23376944"/>
      <w:r w:rsidRPr="00F70B2A">
        <w:rPr>
          <w:lang w:val="hr-HR"/>
        </w:rPr>
        <w:lastRenderedPageBreak/>
        <w:t>STANJE DOSPJELIH NEPODMIRENIH OBVEZA PRORAČUNSKIH I IZVANPRORAČUNSKIH KORISNIKA DRŽAVNOG PRORAČUNA</w:t>
      </w:r>
      <w:bookmarkEnd w:id="34"/>
      <w:bookmarkEnd w:id="35"/>
    </w:p>
    <w:p w:rsidR="00306477" w:rsidRPr="00F70B2A" w:rsidRDefault="00306477" w:rsidP="00306477">
      <w:pPr>
        <w:rPr>
          <w:sz w:val="6"/>
          <w:szCs w:val="6"/>
          <w:lang w:val="hr-HR"/>
        </w:rPr>
      </w:pPr>
    </w:p>
    <w:p w:rsidR="00506C0E" w:rsidRPr="00F70B2A" w:rsidRDefault="00306477" w:rsidP="00BE094B">
      <w:pPr>
        <w:spacing w:before="240" w:after="0" w:line="240" w:lineRule="auto"/>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10</w:t>
      </w:r>
      <w:r w:rsidRPr="00F70B2A">
        <w:rPr>
          <w:i/>
          <w:lang w:val="hr-HR"/>
        </w:rPr>
        <w:fldChar w:fldCharType="end"/>
      </w:r>
      <w:r w:rsidRPr="00F70B2A">
        <w:rPr>
          <w:i/>
          <w:lang w:val="hr-HR"/>
        </w:rPr>
        <w:t xml:space="preserve">: </w:t>
      </w:r>
      <w:r w:rsidR="00D668A6" w:rsidRPr="00F70B2A">
        <w:rPr>
          <w:i/>
          <w:lang w:val="hr-HR"/>
        </w:rPr>
        <w:t xml:space="preserve">Stanje dospjelih nepodmirenih obveza ministarstava i drugih državnih tijela na razini razdjela organizacijske klasifikacije  </w:t>
      </w:r>
    </w:p>
    <w:p w:rsidR="00BD4FC5" w:rsidRPr="00F70B2A" w:rsidRDefault="00415704" w:rsidP="00BE094B">
      <w:pPr>
        <w:spacing w:before="240" w:after="0" w:line="240" w:lineRule="auto"/>
        <w:rPr>
          <w:i/>
          <w:highlight w:val="yellow"/>
          <w:lang w:val="hr-HR"/>
        </w:rPr>
      </w:pPr>
      <w:r w:rsidRPr="00F70B2A">
        <w:rPr>
          <w:noProof/>
          <w:lang w:val="hr-HR" w:eastAsia="hr-HR"/>
        </w:rPr>
        <w:drawing>
          <wp:inline distT="0" distB="0" distL="0" distR="0" wp14:anchorId="2FAB4116" wp14:editId="57ECB20C">
            <wp:extent cx="5760720" cy="7062526"/>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7062526"/>
                    </a:xfrm>
                    <a:prstGeom prst="rect">
                      <a:avLst/>
                    </a:prstGeom>
                    <a:noFill/>
                    <a:ln>
                      <a:noFill/>
                    </a:ln>
                  </pic:spPr>
                </pic:pic>
              </a:graphicData>
            </a:graphic>
          </wp:inline>
        </w:drawing>
      </w:r>
    </w:p>
    <w:p w:rsidR="00D668A6" w:rsidRPr="00F70B2A" w:rsidRDefault="00D668A6" w:rsidP="00D668A6">
      <w:pPr>
        <w:spacing w:after="0"/>
        <w:jc w:val="both"/>
        <w:rPr>
          <w:rFonts w:cs="Times New Roman"/>
          <w:i/>
          <w:sz w:val="20"/>
          <w:lang w:val="hr-HR"/>
        </w:rPr>
      </w:pPr>
      <w:r w:rsidRPr="00F70B2A">
        <w:rPr>
          <w:rFonts w:cs="Times New Roman"/>
          <w:i/>
          <w:sz w:val="20"/>
          <w:lang w:val="hr-HR"/>
        </w:rPr>
        <w:t>* Podaci iz Izvještaja o obvezama za razdoblje od 1. siječnja do 31. prosinca 2018. i od 1. siječnja do 30. rujna 2019.</w:t>
      </w:r>
    </w:p>
    <w:p w:rsidR="00506C0E" w:rsidRPr="00F70B2A" w:rsidRDefault="00506C0E" w:rsidP="00506C0E">
      <w:pPr>
        <w:spacing w:after="0"/>
        <w:rPr>
          <w:i/>
          <w:sz w:val="20"/>
          <w:lang w:val="hr-HR"/>
        </w:rPr>
      </w:pPr>
      <w:r w:rsidRPr="00F70B2A">
        <w:rPr>
          <w:i/>
          <w:sz w:val="20"/>
          <w:lang w:val="hr-HR"/>
        </w:rPr>
        <w:t>Izvor: Ministarstvo financija</w:t>
      </w:r>
    </w:p>
    <w:p w:rsidR="007B175F" w:rsidRPr="00F70B2A" w:rsidRDefault="00306477" w:rsidP="00155FA2">
      <w:pPr>
        <w:spacing w:before="240" w:after="0" w:line="240" w:lineRule="auto"/>
        <w:rPr>
          <w:i/>
          <w:lang w:val="hr-HR"/>
        </w:rPr>
      </w:pPr>
      <w:r w:rsidRPr="00F70B2A">
        <w:rPr>
          <w:i/>
          <w:lang w:val="hr-HR"/>
        </w:rPr>
        <w:lastRenderedPageBreak/>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3E7929">
        <w:rPr>
          <w:i/>
          <w:noProof/>
          <w:lang w:val="hr-HR"/>
        </w:rPr>
        <w:t>11</w:t>
      </w:r>
      <w:r w:rsidRPr="00F70B2A">
        <w:rPr>
          <w:i/>
          <w:lang w:val="hr-HR"/>
        </w:rPr>
        <w:fldChar w:fldCharType="end"/>
      </w:r>
      <w:r w:rsidRPr="00F70B2A">
        <w:rPr>
          <w:i/>
          <w:lang w:val="hr-HR"/>
        </w:rPr>
        <w:t xml:space="preserve">: </w:t>
      </w:r>
      <w:r w:rsidR="00506C0E" w:rsidRPr="00F70B2A">
        <w:rPr>
          <w:i/>
          <w:lang w:val="hr-HR"/>
        </w:rPr>
        <w:t>Stanje dospjelih nepodmirenih obveza izvanproračunskih korisnika</w:t>
      </w:r>
    </w:p>
    <w:p w:rsidR="00D668A6" w:rsidRPr="00F70B2A" w:rsidRDefault="00415704" w:rsidP="00415704">
      <w:pPr>
        <w:spacing w:before="240" w:after="0" w:line="240" w:lineRule="auto"/>
        <w:rPr>
          <w:i/>
          <w:lang w:val="hr-HR"/>
        </w:rPr>
      </w:pPr>
      <w:r w:rsidRPr="00F70B2A">
        <w:rPr>
          <w:noProof/>
          <w:lang w:val="hr-HR" w:eastAsia="hr-HR"/>
        </w:rPr>
        <w:drawing>
          <wp:inline distT="0" distB="0" distL="0" distR="0" wp14:anchorId="2E775405" wp14:editId="32DF1F9B">
            <wp:extent cx="5760720" cy="150952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509528"/>
                    </a:xfrm>
                    <a:prstGeom prst="rect">
                      <a:avLst/>
                    </a:prstGeom>
                    <a:noFill/>
                    <a:ln>
                      <a:noFill/>
                    </a:ln>
                  </pic:spPr>
                </pic:pic>
              </a:graphicData>
            </a:graphic>
          </wp:inline>
        </w:drawing>
      </w:r>
    </w:p>
    <w:p w:rsidR="00D668A6" w:rsidRPr="00F70B2A" w:rsidRDefault="00D668A6" w:rsidP="00D668A6">
      <w:pPr>
        <w:spacing w:after="0" w:line="240" w:lineRule="auto"/>
        <w:jc w:val="both"/>
        <w:rPr>
          <w:rFonts w:cs="Times New Roman"/>
          <w:i/>
          <w:sz w:val="20"/>
          <w:lang w:val="hr-HR"/>
        </w:rPr>
      </w:pPr>
      <w:r w:rsidRPr="00F70B2A">
        <w:rPr>
          <w:rFonts w:cs="Times New Roman"/>
          <w:i/>
          <w:sz w:val="20"/>
          <w:lang w:val="hr-HR"/>
        </w:rPr>
        <w:t>*Podaci iz Izvještaja o obvezama za razdoblje od 1. siječnja do 31. prosinca 2018. i od 1. siječnja do 30. rujna 2019.</w:t>
      </w:r>
      <w:r w:rsidRPr="00F70B2A">
        <w:rPr>
          <w:rFonts w:cs="Times New Roman"/>
          <w:i/>
          <w:sz w:val="20"/>
          <w:lang w:val="hr-HR"/>
        </w:rPr>
        <w:tab/>
      </w:r>
      <w:r w:rsidRPr="00F70B2A">
        <w:rPr>
          <w:rFonts w:cs="Times New Roman"/>
          <w:i/>
          <w:sz w:val="20"/>
          <w:lang w:val="hr-HR"/>
        </w:rPr>
        <w:tab/>
      </w:r>
      <w:r w:rsidRPr="00F70B2A">
        <w:rPr>
          <w:rFonts w:cs="Times New Roman"/>
          <w:i/>
          <w:sz w:val="20"/>
          <w:lang w:val="hr-HR"/>
        </w:rPr>
        <w:tab/>
      </w:r>
    </w:p>
    <w:p w:rsidR="00D668A6" w:rsidRPr="00F70B2A" w:rsidRDefault="00D668A6" w:rsidP="00D668A6">
      <w:pPr>
        <w:spacing w:after="0"/>
        <w:rPr>
          <w:i/>
          <w:sz w:val="20"/>
          <w:lang w:val="hr-HR"/>
        </w:rPr>
      </w:pPr>
      <w:r w:rsidRPr="00F70B2A">
        <w:rPr>
          <w:i/>
          <w:sz w:val="20"/>
          <w:lang w:val="hr-HR"/>
        </w:rPr>
        <w:t>Izvor: Ministarstvo financija</w:t>
      </w:r>
    </w:p>
    <w:p w:rsidR="00D668A6" w:rsidRPr="00F70B2A" w:rsidRDefault="00D668A6" w:rsidP="005375F4">
      <w:pPr>
        <w:spacing w:after="0"/>
        <w:jc w:val="both"/>
        <w:rPr>
          <w:i/>
          <w:sz w:val="20"/>
          <w:lang w:val="hr-HR"/>
        </w:rPr>
      </w:pPr>
    </w:p>
    <w:p w:rsidR="00306477" w:rsidRPr="00F70B2A" w:rsidRDefault="00306477" w:rsidP="00695821">
      <w:pPr>
        <w:rPr>
          <w:lang w:val="hr-HR"/>
        </w:rPr>
      </w:pPr>
      <w:r w:rsidRPr="00F70B2A">
        <w:rPr>
          <w:lang w:val="hr-HR"/>
        </w:rPr>
        <w:br w:type="page"/>
      </w:r>
    </w:p>
    <w:p w:rsidR="00695821" w:rsidRPr="00F70B2A" w:rsidRDefault="00695821" w:rsidP="0029489C">
      <w:pPr>
        <w:pStyle w:val="Heading1"/>
        <w:numPr>
          <w:ilvl w:val="0"/>
          <w:numId w:val="17"/>
        </w:numPr>
        <w:rPr>
          <w:lang w:val="hr-HR"/>
        </w:rPr>
      </w:pPr>
      <w:bookmarkStart w:id="36" w:name="_Toc23376945"/>
      <w:r w:rsidRPr="00F70B2A">
        <w:rPr>
          <w:lang w:val="hr-HR"/>
        </w:rPr>
        <w:lastRenderedPageBreak/>
        <w:t>PROCJENA UKUPNOG MANJKA</w:t>
      </w:r>
      <w:r w:rsidR="003052F1" w:rsidRPr="00F70B2A">
        <w:rPr>
          <w:lang w:val="hr-HR"/>
        </w:rPr>
        <w:t>/VIŠKA</w:t>
      </w:r>
      <w:r w:rsidRPr="00F70B2A">
        <w:rPr>
          <w:lang w:val="hr-HR"/>
        </w:rPr>
        <w:t xml:space="preserve"> OPĆE DRŽAVE</w:t>
      </w:r>
      <w:bookmarkEnd w:id="36"/>
      <w:r w:rsidRPr="00F70B2A">
        <w:rPr>
          <w:lang w:val="hr-HR"/>
        </w:rPr>
        <w:t xml:space="preserve"> </w:t>
      </w:r>
    </w:p>
    <w:p w:rsidR="00695821" w:rsidRPr="00F70B2A" w:rsidRDefault="00695821" w:rsidP="00695821">
      <w:pPr>
        <w:rPr>
          <w:lang w:val="hr-HR"/>
        </w:rPr>
      </w:pPr>
    </w:p>
    <w:p w:rsidR="00695821" w:rsidRPr="00F70B2A" w:rsidRDefault="00695821" w:rsidP="00492EFE">
      <w:pPr>
        <w:spacing w:line="240" w:lineRule="auto"/>
        <w:jc w:val="both"/>
        <w:rPr>
          <w:lang w:val="hr-HR"/>
        </w:rPr>
      </w:pPr>
      <w:r w:rsidRPr="00F70B2A">
        <w:rPr>
          <w:lang w:val="hr-HR"/>
        </w:rPr>
        <w:t xml:space="preserve">U skladu s projiciranim kretanjima prihoda i rashoda svih razina proračuna opće države, očekuje se </w:t>
      </w:r>
      <w:r w:rsidR="005803D3" w:rsidRPr="0058494D">
        <w:rPr>
          <w:lang w:val="hr-HR"/>
        </w:rPr>
        <w:t xml:space="preserve">planirani manjak od </w:t>
      </w:r>
      <w:r w:rsidR="009500A2" w:rsidRPr="0058494D">
        <w:rPr>
          <w:lang w:val="hr-HR"/>
        </w:rPr>
        <w:t>0,</w:t>
      </w:r>
      <w:r w:rsidR="0058494D" w:rsidRPr="0058494D">
        <w:rPr>
          <w:lang w:val="hr-HR"/>
        </w:rPr>
        <w:t>5</w:t>
      </w:r>
      <w:r w:rsidR="005803D3" w:rsidRPr="0058494D">
        <w:rPr>
          <w:lang w:val="hr-HR"/>
        </w:rPr>
        <w:t>% BDP-a</w:t>
      </w:r>
      <w:r w:rsidRPr="0058494D">
        <w:rPr>
          <w:lang w:val="hr-HR"/>
        </w:rPr>
        <w:t xml:space="preserve"> u</w:t>
      </w:r>
      <w:r w:rsidR="00870D4F" w:rsidRPr="0058494D">
        <w:rPr>
          <w:lang w:val="hr-HR"/>
        </w:rPr>
        <w:t xml:space="preserve"> 2020</w:t>
      </w:r>
      <w:r w:rsidRPr="0058494D">
        <w:rPr>
          <w:lang w:val="hr-HR"/>
        </w:rPr>
        <w:t xml:space="preserve">. </w:t>
      </w:r>
      <w:r w:rsidR="0058494D">
        <w:rPr>
          <w:lang w:val="hr-HR"/>
        </w:rPr>
        <w:t xml:space="preserve">U 2021. godini projicira se višak od 0,1% BDP-a, a u 2022. godini višak od 0,6% BDP-a. </w:t>
      </w:r>
      <w:r w:rsidRPr="00F70B2A">
        <w:rPr>
          <w:lang w:val="hr-HR"/>
        </w:rPr>
        <w:t xml:space="preserve">Pritom će najveći doprinos </w:t>
      </w:r>
      <w:r w:rsidR="00392828" w:rsidRPr="00F70B2A">
        <w:rPr>
          <w:lang w:val="hr-HR"/>
        </w:rPr>
        <w:t xml:space="preserve">kretanju </w:t>
      </w:r>
      <w:r w:rsidRPr="00F70B2A">
        <w:rPr>
          <w:lang w:val="hr-HR"/>
        </w:rPr>
        <w:t>uk</w:t>
      </w:r>
      <w:r w:rsidR="00392828" w:rsidRPr="00F70B2A">
        <w:rPr>
          <w:lang w:val="hr-HR"/>
        </w:rPr>
        <w:t>upnog manjka/viška</w:t>
      </w:r>
      <w:r w:rsidRPr="00F70B2A">
        <w:rPr>
          <w:lang w:val="hr-HR"/>
        </w:rPr>
        <w:t xml:space="preserve"> konsolidirane opće države dati</w:t>
      </w:r>
      <w:r w:rsidR="00492EFE" w:rsidRPr="00F70B2A">
        <w:rPr>
          <w:lang w:val="hr-HR"/>
        </w:rPr>
        <w:t xml:space="preserve"> državni proračun koji će u 20</w:t>
      </w:r>
      <w:r w:rsidR="00870D4F" w:rsidRPr="00F70B2A">
        <w:rPr>
          <w:lang w:val="hr-HR"/>
        </w:rPr>
        <w:t>20</w:t>
      </w:r>
      <w:r w:rsidRPr="00F70B2A">
        <w:rPr>
          <w:lang w:val="hr-HR"/>
        </w:rPr>
        <w:t xml:space="preserve">. </w:t>
      </w:r>
      <w:r w:rsidRPr="0058494D">
        <w:rPr>
          <w:lang w:val="hr-HR"/>
        </w:rPr>
        <w:t xml:space="preserve">zabilježiti manjak od </w:t>
      </w:r>
      <w:r w:rsidR="0058494D" w:rsidRPr="0058494D">
        <w:rPr>
          <w:lang w:val="hr-HR"/>
        </w:rPr>
        <w:t>0,5</w:t>
      </w:r>
      <w:r w:rsidRPr="0058494D">
        <w:rPr>
          <w:lang w:val="hr-HR"/>
        </w:rPr>
        <w:t>% BDP-a, u 20</w:t>
      </w:r>
      <w:r w:rsidR="00B9094E" w:rsidRPr="0058494D">
        <w:rPr>
          <w:lang w:val="hr-HR"/>
        </w:rPr>
        <w:t>2</w:t>
      </w:r>
      <w:r w:rsidR="00870D4F" w:rsidRPr="0058494D">
        <w:rPr>
          <w:lang w:val="hr-HR"/>
        </w:rPr>
        <w:t>1</w:t>
      </w:r>
      <w:r w:rsidRPr="0058494D">
        <w:rPr>
          <w:lang w:val="hr-HR"/>
        </w:rPr>
        <w:t xml:space="preserve">. </w:t>
      </w:r>
      <w:r w:rsidR="0058494D" w:rsidRPr="0058494D">
        <w:rPr>
          <w:lang w:val="hr-HR"/>
        </w:rPr>
        <w:t>proračun će biti uravnotežen</w:t>
      </w:r>
      <w:r w:rsidRPr="0058494D">
        <w:rPr>
          <w:lang w:val="hr-HR"/>
        </w:rPr>
        <w:t xml:space="preserve">, </w:t>
      </w:r>
      <w:r w:rsidR="00392828" w:rsidRPr="0058494D">
        <w:rPr>
          <w:lang w:val="hr-HR"/>
        </w:rPr>
        <w:t>dok će</w:t>
      </w:r>
      <w:r w:rsidRPr="0058494D">
        <w:rPr>
          <w:lang w:val="hr-HR"/>
        </w:rPr>
        <w:t xml:space="preserve"> u 20</w:t>
      </w:r>
      <w:r w:rsidR="006626F8" w:rsidRPr="0058494D">
        <w:rPr>
          <w:lang w:val="hr-HR"/>
        </w:rPr>
        <w:t>2</w:t>
      </w:r>
      <w:r w:rsidR="00870D4F" w:rsidRPr="0058494D">
        <w:rPr>
          <w:lang w:val="hr-HR"/>
        </w:rPr>
        <w:t>2</w:t>
      </w:r>
      <w:r w:rsidRPr="0058494D">
        <w:rPr>
          <w:lang w:val="hr-HR"/>
        </w:rPr>
        <w:t xml:space="preserve">. godini </w:t>
      </w:r>
      <w:r w:rsidR="00392828" w:rsidRPr="0058494D">
        <w:rPr>
          <w:lang w:val="hr-HR"/>
        </w:rPr>
        <w:t xml:space="preserve">zabilježiti </w:t>
      </w:r>
      <w:r w:rsidR="0058494D" w:rsidRPr="0058494D">
        <w:rPr>
          <w:lang w:val="hr-HR"/>
        </w:rPr>
        <w:t>višak</w:t>
      </w:r>
      <w:r w:rsidR="006A24E7" w:rsidRPr="0058494D">
        <w:rPr>
          <w:lang w:val="hr-HR"/>
        </w:rPr>
        <w:t xml:space="preserve"> </w:t>
      </w:r>
      <w:r w:rsidRPr="0058494D">
        <w:rPr>
          <w:lang w:val="hr-HR"/>
        </w:rPr>
        <w:t xml:space="preserve">od </w:t>
      </w:r>
      <w:r w:rsidR="006A24E7" w:rsidRPr="0058494D">
        <w:rPr>
          <w:lang w:val="hr-HR"/>
        </w:rPr>
        <w:t>0,</w:t>
      </w:r>
      <w:r w:rsidR="0058494D" w:rsidRPr="0058494D">
        <w:rPr>
          <w:lang w:val="hr-HR"/>
        </w:rPr>
        <w:t>4</w:t>
      </w:r>
      <w:r w:rsidRPr="0058494D">
        <w:rPr>
          <w:lang w:val="hr-HR"/>
        </w:rPr>
        <w:t>% BDP-a. Izvanproračunski korisnici</w:t>
      </w:r>
      <w:r w:rsidR="0058494D" w:rsidRPr="0058494D">
        <w:rPr>
          <w:lang w:val="hr-HR"/>
        </w:rPr>
        <w:t>, koji od 2020. godine uključuju i Hrvatske autoceste d.o.o., Autocestu Rijeka-Zagreb d.d, HŽ Infrastukturu d.o.o i HŽ putnički prijevoz d.o.o.,</w:t>
      </w:r>
      <w:r w:rsidR="0046714A" w:rsidRPr="0058494D">
        <w:rPr>
          <w:lang w:val="hr-HR"/>
        </w:rPr>
        <w:t xml:space="preserve"> </w:t>
      </w:r>
      <w:r w:rsidR="0058494D" w:rsidRPr="0058494D">
        <w:rPr>
          <w:lang w:val="hr-HR"/>
        </w:rPr>
        <w:t>bilježit</w:t>
      </w:r>
      <w:r w:rsidR="0046714A" w:rsidRPr="0058494D">
        <w:rPr>
          <w:lang w:val="hr-HR"/>
        </w:rPr>
        <w:t xml:space="preserve"> će višak na </w:t>
      </w:r>
      <w:r w:rsidR="00A071E2" w:rsidRPr="0058494D">
        <w:rPr>
          <w:lang w:val="hr-HR"/>
        </w:rPr>
        <w:t xml:space="preserve">prosječnoj </w:t>
      </w:r>
      <w:r w:rsidR="0046714A" w:rsidRPr="0058494D">
        <w:rPr>
          <w:lang w:val="hr-HR"/>
        </w:rPr>
        <w:t>razini od 0,</w:t>
      </w:r>
      <w:r w:rsidR="0058494D" w:rsidRPr="0058494D">
        <w:rPr>
          <w:lang w:val="hr-HR"/>
        </w:rPr>
        <w:t>3</w:t>
      </w:r>
      <w:r w:rsidR="0046714A" w:rsidRPr="0058494D">
        <w:rPr>
          <w:lang w:val="hr-HR"/>
        </w:rPr>
        <w:t>% BDP-a</w:t>
      </w:r>
      <w:r w:rsidR="0058494D" w:rsidRPr="0058494D">
        <w:rPr>
          <w:lang w:val="hr-HR"/>
        </w:rPr>
        <w:t xml:space="preserve"> u promatranom srednjoročnom razdoblju. J</w:t>
      </w:r>
      <w:r w:rsidR="0046714A" w:rsidRPr="0058494D">
        <w:rPr>
          <w:lang w:val="hr-HR"/>
        </w:rPr>
        <w:t>edinic</w:t>
      </w:r>
      <w:r w:rsidR="0058494D" w:rsidRPr="0058494D">
        <w:rPr>
          <w:lang w:val="hr-HR"/>
        </w:rPr>
        <w:t>ama</w:t>
      </w:r>
      <w:r w:rsidR="0046714A" w:rsidRPr="0058494D">
        <w:rPr>
          <w:lang w:val="hr-HR"/>
        </w:rPr>
        <w:t xml:space="preserve"> lokalne i područne (regionalne) samouprave</w:t>
      </w:r>
      <w:r w:rsidR="0058494D" w:rsidRPr="0058494D">
        <w:rPr>
          <w:lang w:val="hr-HR"/>
        </w:rPr>
        <w:t xml:space="preserve"> projiciran je manjak od 0,1% BDP-a u čitavom srednjoročnom razdoblju</w:t>
      </w:r>
      <w:r w:rsidRPr="0058494D">
        <w:rPr>
          <w:lang w:val="hr-HR"/>
        </w:rPr>
        <w:t>.</w:t>
      </w:r>
      <w:r w:rsidR="0046714A" w:rsidRPr="00F70B2A">
        <w:rPr>
          <w:lang w:val="hr-HR"/>
        </w:rPr>
        <w:t xml:space="preserve"> </w:t>
      </w:r>
    </w:p>
    <w:p w:rsidR="00186D57" w:rsidRPr="00F70B2A" w:rsidRDefault="00186D57" w:rsidP="00186D57">
      <w:pPr>
        <w:jc w:val="both"/>
        <w:rPr>
          <w:lang w:val="hr-HR"/>
        </w:rPr>
      </w:pPr>
      <w:r w:rsidRPr="00F70B2A">
        <w:rPr>
          <w:lang w:val="hr-HR"/>
        </w:rPr>
        <w:t>Kada se ovim veličinama pridodaju prilagodbe nacionalne metodologije računskog</w:t>
      </w:r>
      <w:r w:rsidR="001E7956" w:rsidRPr="00F70B2A">
        <w:rPr>
          <w:lang w:val="hr-HR"/>
        </w:rPr>
        <w:t xml:space="preserve"> plana metodologiji ESA 2010 te projekcije manjka/viška trgovačkih društava i ostalih pravnih osoba koje su statistički uključene u sektor opće države prema metodologiji ESA 2010, </w:t>
      </w:r>
      <w:r w:rsidRPr="00F70B2A">
        <w:rPr>
          <w:lang w:val="hr-HR"/>
        </w:rPr>
        <w:t xml:space="preserve">procjenjuje se kako </w:t>
      </w:r>
      <w:r w:rsidRPr="0058494D">
        <w:rPr>
          <w:lang w:val="hr-HR"/>
        </w:rPr>
        <w:t xml:space="preserve">će planirani </w:t>
      </w:r>
      <w:r w:rsidR="0058494D" w:rsidRPr="0058494D">
        <w:rPr>
          <w:lang w:val="hr-HR"/>
        </w:rPr>
        <w:t>višak</w:t>
      </w:r>
      <w:r w:rsidRPr="0058494D">
        <w:rPr>
          <w:lang w:val="hr-HR"/>
        </w:rPr>
        <w:t xml:space="preserve"> općeg proračuna u 20</w:t>
      </w:r>
      <w:r w:rsidR="00870D4F" w:rsidRPr="0058494D">
        <w:rPr>
          <w:lang w:val="hr-HR"/>
        </w:rPr>
        <w:t>20</w:t>
      </w:r>
      <w:r w:rsidRPr="0058494D">
        <w:rPr>
          <w:lang w:val="hr-HR"/>
        </w:rPr>
        <w:t>. godini iznositi 0,</w:t>
      </w:r>
      <w:r w:rsidR="0058494D" w:rsidRPr="0058494D">
        <w:rPr>
          <w:lang w:val="hr-HR"/>
        </w:rPr>
        <w:t>2</w:t>
      </w:r>
      <w:r w:rsidR="0090728A" w:rsidRPr="0058494D">
        <w:rPr>
          <w:lang w:val="hr-HR"/>
        </w:rPr>
        <w:t xml:space="preserve">% </w:t>
      </w:r>
      <w:r w:rsidRPr="0058494D">
        <w:rPr>
          <w:lang w:val="hr-HR"/>
        </w:rPr>
        <w:t>BDP-a</w:t>
      </w:r>
      <w:r w:rsidR="0058494D" w:rsidRPr="0058494D">
        <w:rPr>
          <w:lang w:val="hr-HR"/>
        </w:rPr>
        <w:t>, u 2021</w:t>
      </w:r>
      <w:r w:rsidR="00B9094E" w:rsidRPr="0058494D">
        <w:rPr>
          <w:lang w:val="hr-HR"/>
        </w:rPr>
        <w:t xml:space="preserve">. </w:t>
      </w:r>
      <w:r w:rsidR="0058494D" w:rsidRPr="0058494D">
        <w:rPr>
          <w:lang w:val="hr-HR"/>
        </w:rPr>
        <w:t xml:space="preserve">0,4% BDP-a, a u 2022. </w:t>
      </w:r>
      <w:r w:rsidR="0058494D">
        <w:rPr>
          <w:lang w:val="hr-HR"/>
        </w:rPr>
        <w:t>godini 0,8% BDP-a, što je u skladu s fiskalnim projekcijama predstavljenim u Programu konvergencije RH za razdoblje 2019. - 2022. i Smjernicama ekonomske i fiskalne politike za razdoblje 2020. – 2022.</w:t>
      </w:r>
    </w:p>
    <w:p w:rsidR="00695821" w:rsidRPr="00F70B2A" w:rsidRDefault="00DB0827" w:rsidP="00533F79">
      <w:pPr>
        <w:spacing w:before="240" w:after="0" w:line="240" w:lineRule="auto"/>
        <w:rPr>
          <w:i/>
          <w:lang w:val="hr-HR"/>
        </w:rPr>
      </w:pPr>
      <w:bookmarkStart w:id="37" w:name="_Toc445241799"/>
      <w:r w:rsidRPr="0058494D">
        <w:rPr>
          <w:i/>
          <w:lang w:val="hr-HR"/>
        </w:rPr>
        <w:t xml:space="preserve">Tablica </w:t>
      </w:r>
      <w:r w:rsidR="00533F79" w:rsidRPr="0058494D">
        <w:rPr>
          <w:i/>
          <w:lang w:val="hr-HR"/>
        </w:rPr>
        <w:fldChar w:fldCharType="begin"/>
      </w:r>
      <w:r w:rsidR="00533F79" w:rsidRPr="0058494D">
        <w:rPr>
          <w:i/>
          <w:lang w:val="hr-HR"/>
        </w:rPr>
        <w:instrText xml:space="preserve"> SEQ Tablica \* ARABIC </w:instrText>
      </w:r>
      <w:r w:rsidR="00533F79" w:rsidRPr="0058494D">
        <w:rPr>
          <w:i/>
          <w:lang w:val="hr-HR"/>
        </w:rPr>
        <w:fldChar w:fldCharType="separate"/>
      </w:r>
      <w:r w:rsidR="003E7929">
        <w:rPr>
          <w:i/>
          <w:noProof/>
          <w:lang w:val="hr-HR"/>
        </w:rPr>
        <w:t>12</w:t>
      </w:r>
      <w:r w:rsidR="00533F79" w:rsidRPr="0058494D">
        <w:rPr>
          <w:i/>
          <w:lang w:val="hr-HR"/>
        </w:rPr>
        <w:fldChar w:fldCharType="end"/>
      </w:r>
      <w:r w:rsidR="00695821" w:rsidRPr="0058494D">
        <w:rPr>
          <w:i/>
          <w:lang w:val="hr-HR"/>
        </w:rPr>
        <w:t>: Procjena ukupnog manjka/viška opće države</w:t>
      </w:r>
      <w:bookmarkEnd w:id="37"/>
    </w:p>
    <w:p w:rsidR="00E65518" w:rsidRDefault="0058494D" w:rsidP="00E65518">
      <w:pPr>
        <w:spacing w:before="240" w:after="0"/>
        <w:jc w:val="both"/>
        <w:rPr>
          <w:i/>
          <w:sz w:val="20"/>
          <w:lang w:val="hr-HR"/>
        </w:rPr>
      </w:pPr>
      <w:r w:rsidRPr="0058494D">
        <w:rPr>
          <w:noProof/>
          <w:lang w:val="hr-HR" w:eastAsia="hr-HR"/>
        </w:rPr>
        <w:drawing>
          <wp:inline distT="0" distB="0" distL="0" distR="0" wp14:anchorId="503F823D" wp14:editId="2F742BB6">
            <wp:extent cx="5760720" cy="4265632"/>
            <wp:effectExtent l="0" t="0" r="0" b="190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4265632"/>
                    </a:xfrm>
                    <a:prstGeom prst="rect">
                      <a:avLst/>
                    </a:prstGeom>
                    <a:noFill/>
                    <a:ln>
                      <a:noFill/>
                    </a:ln>
                  </pic:spPr>
                </pic:pic>
              </a:graphicData>
            </a:graphic>
          </wp:inline>
        </w:drawing>
      </w:r>
      <w:r w:rsidR="00E65518">
        <w:rPr>
          <w:i/>
          <w:sz w:val="20"/>
          <w:lang w:val="hr-HR"/>
        </w:rPr>
        <w:t>Napomena: O</w:t>
      </w:r>
      <w:r w:rsidR="00E65518" w:rsidRPr="00E65518">
        <w:rPr>
          <w:i/>
          <w:sz w:val="20"/>
          <w:lang w:val="hr-HR"/>
        </w:rPr>
        <w:t>d 2020. u izvanproračunske korisnike uključena su i trgovačka društva: Hrvatske autoceste</w:t>
      </w:r>
      <w:r w:rsidR="00E65518">
        <w:rPr>
          <w:i/>
          <w:sz w:val="20"/>
          <w:lang w:val="hr-HR"/>
        </w:rPr>
        <w:t xml:space="preserve"> d.o.o.</w:t>
      </w:r>
      <w:r w:rsidR="00E65518" w:rsidRPr="00E65518">
        <w:rPr>
          <w:i/>
          <w:sz w:val="20"/>
          <w:lang w:val="hr-HR"/>
        </w:rPr>
        <w:t>, Autocesta Rijeka-Zagreb</w:t>
      </w:r>
      <w:r w:rsidR="00E65518">
        <w:rPr>
          <w:i/>
          <w:sz w:val="20"/>
          <w:lang w:val="hr-HR"/>
        </w:rPr>
        <w:t xml:space="preserve"> d.d</w:t>
      </w:r>
      <w:r w:rsidR="00E65518" w:rsidRPr="00E65518">
        <w:rPr>
          <w:i/>
          <w:sz w:val="20"/>
          <w:lang w:val="hr-HR"/>
        </w:rPr>
        <w:t>, HŽ Infrastuktura</w:t>
      </w:r>
      <w:r w:rsidR="00E65518">
        <w:rPr>
          <w:i/>
          <w:sz w:val="20"/>
          <w:lang w:val="hr-HR"/>
        </w:rPr>
        <w:t xml:space="preserve"> d.o.o</w:t>
      </w:r>
      <w:r w:rsidR="00E65518" w:rsidRPr="00E65518">
        <w:rPr>
          <w:i/>
          <w:sz w:val="20"/>
          <w:lang w:val="hr-HR"/>
        </w:rPr>
        <w:t>, HŽ putnički prijevoz</w:t>
      </w:r>
      <w:r w:rsidR="00E65518">
        <w:rPr>
          <w:i/>
          <w:sz w:val="20"/>
          <w:lang w:val="hr-HR"/>
        </w:rPr>
        <w:t xml:space="preserve"> d.o.o.  </w:t>
      </w:r>
    </w:p>
    <w:p w:rsidR="00695821" w:rsidRPr="00F70B2A" w:rsidRDefault="00695821" w:rsidP="00E65518">
      <w:pPr>
        <w:jc w:val="both"/>
        <w:rPr>
          <w:i/>
          <w:sz w:val="20"/>
          <w:lang w:val="hr-HR"/>
        </w:rPr>
      </w:pPr>
      <w:r w:rsidRPr="00F70B2A">
        <w:rPr>
          <w:i/>
          <w:sz w:val="20"/>
          <w:lang w:val="hr-HR"/>
        </w:rPr>
        <w:t>Izvor: Ministarstvo financija</w:t>
      </w:r>
    </w:p>
    <w:p w:rsidR="004A1742" w:rsidRPr="00B35390" w:rsidRDefault="0034496D" w:rsidP="002A12E4">
      <w:pPr>
        <w:jc w:val="both"/>
        <w:rPr>
          <w:lang w:val="hr-HR"/>
        </w:rPr>
      </w:pPr>
      <w:r w:rsidRPr="00B35390">
        <w:rPr>
          <w:lang w:val="hr-HR"/>
        </w:rPr>
        <w:lastRenderedPageBreak/>
        <w:t xml:space="preserve">U skladu s kretanjem </w:t>
      </w:r>
      <w:r w:rsidR="00B35390" w:rsidRPr="00B35390">
        <w:rPr>
          <w:lang w:val="hr-HR"/>
        </w:rPr>
        <w:t>salda proračuna opće države</w:t>
      </w:r>
      <w:r w:rsidRPr="00B35390">
        <w:rPr>
          <w:lang w:val="hr-HR"/>
        </w:rPr>
        <w:t xml:space="preserve"> očekuje se i daljnje smanjenje udjela javnog duga u BDP-u i to </w:t>
      </w:r>
      <w:r w:rsidR="00B9094E" w:rsidRPr="00B35390">
        <w:rPr>
          <w:lang w:val="hr-HR"/>
        </w:rPr>
        <w:t xml:space="preserve">na </w:t>
      </w:r>
      <w:r w:rsidR="00B35390" w:rsidRPr="00B35390">
        <w:rPr>
          <w:lang w:val="hr-HR"/>
        </w:rPr>
        <w:t>68</w:t>
      </w:r>
      <w:r w:rsidR="00663D69" w:rsidRPr="00B35390">
        <w:rPr>
          <w:lang w:val="hr-HR"/>
        </w:rPr>
        <w:t>%</w:t>
      </w:r>
      <w:r w:rsidR="00B9094E" w:rsidRPr="00B35390">
        <w:rPr>
          <w:lang w:val="hr-HR"/>
        </w:rPr>
        <w:t xml:space="preserve"> BDP-a u 20</w:t>
      </w:r>
      <w:r w:rsidR="00870D4F" w:rsidRPr="00B35390">
        <w:rPr>
          <w:lang w:val="hr-HR"/>
        </w:rPr>
        <w:t>20</w:t>
      </w:r>
      <w:r w:rsidRPr="00B35390">
        <w:rPr>
          <w:lang w:val="hr-HR"/>
        </w:rPr>
        <w:t xml:space="preserve">., </w:t>
      </w:r>
      <w:r w:rsidR="00B35390" w:rsidRPr="00B35390">
        <w:rPr>
          <w:lang w:val="hr-HR"/>
        </w:rPr>
        <w:t>65</w:t>
      </w:r>
      <w:r w:rsidR="00663D69" w:rsidRPr="00B35390">
        <w:rPr>
          <w:lang w:val="hr-HR"/>
        </w:rPr>
        <w:t>%</w:t>
      </w:r>
      <w:r w:rsidR="00A618FA" w:rsidRPr="00B35390">
        <w:rPr>
          <w:lang w:val="hr-HR"/>
        </w:rPr>
        <w:t xml:space="preserve"> </w:t>
      </w:r>
      <w:r w:rsidRPr="00B35390">
        <w:rPr>
          <w:lang w:val="hr-HR"/>
        </w:rPr>
        <w:t>BDP-a u 20</w:t>
      </w:r>
      <w:r w:rsidR="00B9094E" w:rsidRPr="00B35390">
        <w:rPr>
          <w:lang w:val="hr-HR"/>
        </w:rPr>
        <w:t>2</w:t>
      </w:r>
      <w:r w:rsidR="00870D4F" w:rsidRPr="00B35390">
        <w:rPr>
          <w:lang w:val="hr-HR"/>
        </w:rPr>
        <w:t>1</w:t>
      </w:r>
      <w:r w:rsidRPr="00B35390">
        <w:rPr>
          <w:lang w:val="hr-HR"/>
        </w:rPr>
        <w:t xml:space="preserve">. te </w:t>
      </w:r>
      <w:r w:rsidR="00663D69" w:rsidRPr="00B35390">
        <w:rPr>
          <w:lang w:val="hr-HR"/>
        </w:rPr>
        <w:t>6</w:t>
      </w:r>
      <w:r w:rsidR="00B35390" w:rsidRPr="00B35390">
        <w:rPr>
          <w:lang w:val="hr-HR"/>
        </w:rPr>
        <w:t>1</w:t>
      </w:r>
      <w:r w:rsidR="00663D69" w:rsidRPr="00B35390">
        <w:rPr>
          <w:lang w:val="hr-HR"/>
        </w:rPr>
        <w:t>,6%</w:t>
      </w:r>
      <w:r w:rsidR="00A618FA" w:rsidRPr="00B35390">
        <w:rPr>
          <w:lang w:val="hr-HR"/>
        </w:rPr>
        <w:t xml:space="preserve"> </w:t>
      </w:r>
      <w:r w:rsidRPr="00B35390">
        <w:rPr>
          <w:lang w:val="hr-HR"/>
        </w:rPr>
        <w:t>BDP-a u 202</w:t>
      </w:r>
      <w:r w:rsidR="00870D4F" w:rsidRPr="00B35390">
        <w:rPr>
          <w:lang w:val="hr-HR"/>
        </w:rPr>
        <w:t>2</w:t>
      </w:r>
      <w:r w:rsidRPr="00B35390">
        <w:rPr>
          <w:lang w:val="hr-HR"/>
        </w:rPr>
        <w:t xml:space="preserve">. godini. </w:t>
      </w:r>
    </w:p>
    <w:p w:rsidR="0034496D" w:rsidRPr="00F70B2A" w:rsidRDefault="0034496D" w:rsidP="0034496D">
      <w:pPr>
        <w:spacing w:after="120"/>
        <w:jc w:val="both"/>
        <w:rPr>
          <w:i/>
          <w:lang w:val="hr-HR"/>
        </w:rPr>
      </w:pPr>
      <w:r w:rsidRPr="00B35390">
        <w:rPr>
          <w:i/>
          <w:lang w:val="hr-HR"/>
        </w:rPr>
        <w:t xml:space="preserve">Grafikon </w:t>
      </w:r>
      <w:r w:rsidRPr="00B35390">
        <w:rPr>
          <w:i/>
          <w:lang w:val="hr-HR"/>
        </w:rPr>
        <w:fldChar w:fldCharType="begin"/>
      </w:r>
      <w:r w:rsidRPr="00B35390">
        <w:rPr>
          <w:i/>
          <w:lang w:val="hr-HR"/>
        </w:rPr>
        <w:instrText xml:space="preserve"> SEQ Grafikon \* ARABIC </w:instrText>
      </w:r>
      <w:r w:rsidRPr="00B35390">
        <w:rPr>
          <w:i/>
          <w:lang w:val="hr-HR"/>
        </w:rPr>
        <w:fldChar w:fldCharType="separate"/>
      </w:r>
      <w:r w:rsidR="003E7929">
        <w:rPr>
          <w:i/>
          <w:noProof/>
          <w:lang w:val="hr-HR"/>
        </w:rPr>
        <w:t>1</w:t>
      </w:r>
      <w:r w:rsidRPr="00B35390">
        <w:rPr>
          <w:i/>
          <w:lang w:val="hr-HR"/>
        </w:rPr>
        <w:fldChar w:fldCharType="end"/>
      </w:r>
      <w:r w:rsidRPr="00B35390">
        <w:rPr>
          <w:i/>
          <w:lang w:val="hr-HR"/>
        </w:rPr>
        <w:t>: Javni dug u razdoblju 201</w:t>
      </w:r>
      <w:r w:rsidR="00663D69" w:rsidRPr="00B35390">
        <w:rPr>
          <w:i/>
          <w:lang w:val="hr-HR"/>
        </w:rPr>
        <w:t>5</w:t>
      </w:r>
      <w:r w:rsidRPr="00B35390">
        <w:rPr>
          <w:i/>
          <w:lang w:val="hr-HR"/>
        </w:rPr>
        <w:t>. – 202</w:t>
      </w:r>
      <w:r w:rsidR="00B35390" w:rsidRPr="00B35390">
        <w:rPr>
          <w:i/>
          <w:lang w:val="hr-HR"/>
        </w:rPr>
        <w:t>2</w:t>
      </w:r>
      <w:r w:rsidRPr="00B35390">
        <w:rPr>
          <w:i/>
          <w:lang w:val="hr-HR"/>
        </w:rPr>
        <w:t>.</w:t>
      </w:r>
    </w:p>
    <w:p w:rsidR="0034496D" w:rsidRPr="00F70B2A" w:rsidRDefault="00B35390" w:rsidP="004A1742">
      <w:pPr>
        <w:spacing w:after="0"/>
        <w:jc w:val="both"/>
        <w:rPr>
          <w:highlight w:val="yellow"/>
          <w:lang w:val="hr-HR"/>
        </w:rPr>
      </w:pPr>
      <w:r w:rsidRPr="00B35390">
        <w:rPr>
          <w:noProof/>
          <w:lang w:val="hr-HR" w:eastAsia="hr-HR"/>
        </w:rPr>
        <w:drawing>
          <wp:inline distT="0" distB="0" distL="0" distR="0" wp14:anchorId="530DAB4E" wp14:editId="4E71BE28">
            <wp:extent cx="5760720" cy="2839436"/>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0720" cy="2839436"/>
                    </a:xfrm>
                    <a:prstGeom prst="rect">
                      <a:avLst/>
                    </a:prstGeom>
                    <a:noFill/>
                    <a:ln>
                      <a:noFill/>
                    </a:ln>
                  </pic:spPr>
                </pic:pic>
              </a:graphicData>
            </a:graphic>
          </wp:inline>
        </w:drawing>
      </w:r>
    </w:p>
    <w:p w:rsidR="0034496D" w:rsidRPr="00F70B2A" w:rsidRDefault="0034496D" w:rsidP="0034496D">
      <w:pPr>
        <w:spacing w:after="120"/>
        <w:rPr>
          <w:rFonts w:ascii="Calibri" w:hAnsi="Calibri"/>
          <w:i/>
          <w:sz w:val="20"/>
          <w:szCs w:val="20"/>
          <w:lang w:val="hr-HR"/>
        </w:rPr>
      </w:pPr>
      <w:r w:rsidRPr="00F70B2A">
        <w:rPr>
          <w:rFonts w:ascii="Calibri" w:hAnsi="Calibri"/>
          <w:i/>
          <w:sz w:val="20"/>
          <w:szCs w:val="20"/>
          <w:lang w:val="hr-HR"/>
        </w:rPr>
        <w:t>Izvor: DZS, HNB, Ministarstvo financija</w:t>
      </w:r>
    </w:p>
    <w:p w:rsidR="004A1742" w:rsidRPr="00F70B2A" w:rsidRDefault="004A1742" w:rsidP="0034496D">
      <w:pPr>
        <w:spacing w:after="120"/>
        <w:rPr>
          <w:rFonts w:ascii="Calibri" w:hAnsi="Calibri"/>
          <w:i/>
          <w:sz w:val="20"/>
          <w:szCs w:val="20"/>
          <w:lang w:val="hr-HR"/>
        </w:rPr>
      </w:pPr>
    </w:p>
    <w:sectPr w:rsidR="004A1742" w:rsidRPr="00F70B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DC9" w:rsidRDefault="00802DC9" w:rsidP="007E7900">
      <w:pPr>
        <w:spacing w:after="0" w:line="240" w:lineRule="auto"/>
      </w:pPr>
      <w:r>
        <w:separator/>
      </w:r>
    </w:p>
  </w:endnote>
  <w:endnote w:type="continuationSeparator" w:id="0">
    <w:p w:rsidR="00802DC9" w:rsidRDefault="00802DC9" w:rsidP="007E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005670" w:rsidRPr="00927736" w:rsidRDefault="00005670">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3E7929">
          <w:rPr>
            <w:noProof/>
            <w:sz w:val="20"/>
            <w:szCs w:val="20"/>
          </w:rPr>
          <w:t>2</w:t>
        </w:r>
        <w:r w:rsidRPr="00927736">
          <w:rPr>
            <w:noProof/>
            <w:sz w:val="20"/>
            <w:szCs w:val="20"/>
          </w:rPr>
          <w:fldChar w:fldCharType="end"/>
        </w:r>
      </w:p>
    </w:sdtContent>
  </w:sdt>
  <w:p w:rsidR="00005670" w:rsidRDefault="0000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DC9" w:rsidRDefault="00802DC9" w:rsidP="007E7900">
      <w:pPr>
        <w:spacing w:after="0" w:line="240" w:lineRule="auto"/>
      </w:pPr>
      <w:r>
        <w:separator/>
      </w:r>
    </w:p>
  </w:footnote>
  <w:footnote w:type="continuationSeparator" w:id="0">
    <w:p w:rsidR="00802DC9" w:rsidRDefault="00802DC9" w:rsidP="007E7900">
      <w:pPr>
        <w:spacing w:after="0" w:line="240" w:lineRule="auto"/>
      </w:pPr>
      <w:r>
        <w:continuationSeparator/>
      </w:r>
    </w:p>
  </w:footnote>
  <w:footnote w:id="1">
    <w:p w:rsidR="006A5CEF" w:rsidRPr="006A5CEF" w:rsidRDefault="006A5CEF" w:rsidP="006A5CEF">
      <w:pPr>
        <w:pStyle w:val="FootnoteText"/>
        <w:jc w:val="both"/>
        <w:rPr>
          <w:rFonts w:asciiTheme="minorHAnsi" w:hAnsiTheme="minorHAnsi"/>
        </w:rPr>
      </w:pPr>
      <w:r>
        <w:rPr>
          <w:rStyle w:val="FootnoteReference"/>
        </w:rPr>
        <w:footnoteRef/>
      </w:r>
      <w:r>
        <w:t xml:space="preserve"> </w:t>
      </w:r>
      <w:r w:rsidRPr="006A5CEF">
        <w:rPr>
          <w:rFonts w:asciiTheme="minorHAnsi" w:hAnsiTheme="minorHAnsi"/>
          <w:sz w:val="18"/>
          <w:szCs w:val="18"/>
        </w:rPr>
        <w:t>Međunarodni monetarni fond – World Economic Outlook, listopad 2019., Europska središnja banka - Staff macroeconomic projections for the euro area, rujan 2019., Europska Komisija – Autumn 2019 forecast assumptions</w:t>
      </w:r>
    </w:p>
  </w:footnote>
  <w:footnote w:id="2">
    <w:p w:rsidR="006A5CEF" w:rsidRDefault="006A5CEF" w:rsidP="006A5CEF">
      <w:pPr>
        <w:pStyle w:val="FootnoteText"/>
        <w:jc w:val="both"/>
      </w:pPr>
      <w:r>
        <w:rPr>
          <w:rStyle w:val="FootnoteReference"/>
        </w:rPr>
        <w:footnoteRef/>
      </w:r>
      <w:r>
        <w:t xml:space="preserve"> </w:t>
      </w:r>
      <w:r w:rsidRPr="006A5CEF">
        <w:rPr>
          <w:rFonts w:asciiTheme="minorHAnsi" w:hAnsiTheme="minorHAnsi"/>
          <w:sz w:val="18"/>
          <w:szCs w:val="18"/>
        </w:rPr>
        <w:t xml:space="preserve">Napomenimo ovdje da u </w:t>
      </w:r>
      <w:r w:rsidR="00CF6DEB">
        <w:rPr>
          <w:rFonts w:asciiTheme="minorHAnsi" w:hAnsiTheme="minorHAnsi"/>
          <w:sz w:val="18"/>
          <w:szCs w:val="18"/>
        </w:rPr>
        <w:t>okviru spomenutih projekcija</w:t>
      </w:r>
      <w:r w:rsidRPr="006A5CEF">
        <w:rPr>
          <w:rFonts w:asciiTheme="minorHAnsi" w:hAnsiTheme="minorHAnsi"/>
          <w:sz w:val="18"/>
          <w:szCs w:val="18"/>
        </w:rPr>
        <w:t xml:space="preserve"> međunarodnih institucija jedina skupina zemalja u Europi koja u proteklom razdoblju nije bilježila negativne korekcije gospodarskog rasta bila je skupina europskih zemalja u razvoju, u koje spada i Hrvatska</w:t>
      </w:r>
    </w:p>
  </w:footnote>
  <w:footnote w:id="3">
    <w:p w:rsidR="00C8194C" w:rsidRPr="00C8194C" w:rsidRDefault="00C8194C" w:rsidP="00C8194C">
      <w:pPr>
        <w:pStyle w:val="FootnoteText"/>
        <w:jc w:val="both"/>
        <w:rPr>
          <w:rFonts w:asciiTheme="minorHAnsi" w:hAnsiTheme="minorHAnsi"/>
        </w:rPr>
      </w:pPr>
      <w:r w:rsidRPr="00C8194C">
        <w:rPr>
          <w:rStyle w:val="FootnoteReference"/>
          <w:rFonts w:asciiTheme="minorHAnsi" w:hAnsiTheme="minorHAnsi"/>
        </w:rPr>
        <w:footnoteRef/>
      </w:r>
      <w:r w:rsidRPr="00C8194C">
        <w:rPr>
          <w:rFonts w:asciiTheme="minorHAnsi" w:hAnsiTheme="minorHAnsi"/>
        </w:rPr>
        <w:t xml:space="preserve"> Sukladno nalogu Državnog ureda za reviziju, sredstva za financiranje rashoda zaposlenika osnovnih i srednjih škola u državnom proračunu za razdoblje 2020. - 2022. ne planiraju se više u okviru skupine računa 31 Rashodi za zaposlene, već na odgovarajućim računima Računskog plana za proračunsko računovodstvo, što je utjecalo na usporedivost podataka o rashodima za zaposlene u 2020. godini sa 2019. godinom.</w:t>
      </w:r>
    </w:p>
  </w:footnote>
  <w:footnote w:id="4">
    <w:p w:rsidR="00C8194C" w:rsidRPr="00E5160F" w:rsidRDefault="00C8194C" w:rsidP="00C8194C">
      <w:pPr>
        <w:pStyle w:val="FootnoteText"/>
        <w:jc w:val="both"/>
        <w:rPr>
          <w:rFonts w:asciiTheme="minorHAnsi" w:hAnsiTheme="minorHAnsi"/>
        </w:rPr>
      </w:pPr>
      <w:r w:rsidRPr="00E5160F">
        <w:rPr>
          <w:rStyle w:val="FootnoteReference"/>
          <w:rFonts w:asciiTheme="minorHAnsi" w:hAnsiTheme="minorHAnsi"/>
        </w:rPr>
        <w:footnoteRef/>
      </w:r>
      <w:r w:rsidRPr="00E5160F">
        <w:rPr>
          <w:rFonts w:asciiTheme="minorHAnsi" w:hAnsiTheme="minorHAnsi"/>
        </w:rPr>
        <w:t xml:space="preserve"> U financijskim izvještajima Ministarstva znanosti i obrazovanja, sredstva za bruto plaće, doprinose i ostale rashode za zaposlenike osnovnih i srednjih škola iskazuju se na propisani način - u okviru rashoda za pomoći.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52DE"/>
    <w:multiLevelType w:val="multilevel"/>
    <w:tmpl w:val="A4A845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2E677D3"/>
    <w:multiLevelType w:val="hybridMultilevel"/>
    <w:tmpl w:val="4DAE8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5990F61"/>
    <w:multiLevelType w:val="hybridMultilevel"/>
    <w:tmpl w:val="9334B9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B93B4E"/>
    <w:multiLevelType w:val="multilevel"/>
    <w:tmpl w:val="9F0E7832"/>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9282EAE"/>
    <w:multiLevelType w:val="hybridMultilevel"/>
    <w:tmpl w:val="7744F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8759DF"/>
    <w:multiLevelType w:val="hybridMultilevel"/>
    <w:tmpl w:val="4468C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EB3AE5"/>
    <w:multiLevelType w:val="hybridMultilevel"/>
    <w:tmpl w:val="1256E414"/>
    <w:lvl w:ilvl="0" w:tplc="041A0019">
      <w:start w:val="1"/>
      <w:numFmt w:val="lowerLetter"/>
      <w:lvlText w:val="%1."/>
      <w:lvlJc w:val="left"/>
      <w:pPr>
        <w:ind w:left="720" w:hanging="360"/>
      </w:pPr>
      <w:rPr>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348A4F02"/>
    <w:multiLevelType w:val="multilevel"/>
    <w:tmpl w:val="0CDA6A26"/>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7E76567"/>
    <w:multiLevelType w:val="hybridMultilevel"/>
    <w:tmpl w:val="8E34CA02"/>
    <w:lvl w:ilvl="0" w:tplc="D5FCB39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482162"/>
    <w:multiLevelType w:val="multilevel"/>
    <w:tmpl w:val="D5F472EA"/>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5289111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5F847B1"/>
    <w:multiLevelType w:val="hybridMultilevel"/>
    <w:tmpl w:val="0FF6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615E"/>
    <w:multiLevelType w:val="hybridMultilevel"/>
    <w:tmpl w:val="1D3A94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66454F7"/>
    <w:multiLevelType w:val="hybridMultilevel"/>
    <w:tmpl w:val="7FB48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F63371"/>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D826C4A"/>
    <w:multiLevelType w:val="hybridMultilevel"/>
    <w:tmpl w:val="BBC617B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751D23DE"/>
    <w:multiLevelType w:val="multilevel"/>
    <w:tmpl w:val="C2C6C18C"/>
    <w:lvl w:ilvl="0">
      <w:start w:val="1"/>
      <w:numFmt w:val="decimal"/>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7A4A346C"/>
    <w:multiLevelType w:val="hybridMultilevel"/>
    <w:tmpl w:val="C7163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982F60"/>
    <w:multiLevelType w:val="hybridMultilevel"/>
    <w:tmpl w:val="44F6E8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CB27D00"/>
    <w:multiLevelType w:val="multilevel"/>
    <w:tmpl w:val="5C46834A"/>
    <w:lvl w:ilvl="0">
      <w:start w:val="5"/>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4"/>
  </w:num>
  <w:num w:numId="2">
    <w:abstractNumId w:val="17"/>
  </w:num>
  <w:num w:numId="3">
    <w:abstractNumId w:val="9"/>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1"/>
  </w:num>
  <w:num w:numId="7">
    <w:abstractNumId w:va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6"/>
  </w:num>
  <w:num w:numId="10">
    <w:abstractNumId w:val="3"/>
  </w:num>
  <w:num w:numId="11">
    <w:abstractNumId w:val="5"/>
  </w:num>
  <w:num w:numId="12">
    <w:abstractNumId w:val="18"/>
  </w:num>
  <w:num w:numId="13">
    <w:abstractNumId w:val="10"/>
  </w:num>
  <w:num w:numId="14">
    <w:abstractNumId w:val="2"/>
  </w:num>
  <w:num w:numId="15">
    <w:abstractNumId w:val="0"/>
  </w:num>
  <w:num w:numId="16">
    <w:abstractNumId w:val="14"/>
  </w:num>
  <w:num w:numId="17">
    <w:abstractNumId w:val="7"/>
  </w:num>
  <w:num w:numId="18">
    <w:abstractNumId w:val="1"/>
  </w:num>
  <w:num w:numId="19">
    <w:abstractNumId w:val="13"/>
  </w:num>
  <w:num w:numId="20">
    <w:abstractNumId w:val="15"/>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821"/>
    <w:rsid w:val="00001797"/>
    <w:rsid w:val="000041F9"/>
    <w:rsid w:val="00005670"/>
    <w:rsid w:val="00007108"/>
    <w:rsid w:val="00010B99"/>
    <w:rsid w:val="000146B7"/>
    <w:rsid w:val="00020250"/>
    <w:rsid w:val="00023F21"/>
    <w:rsid w:val="00025DEB"/>
    <w:rsid w:val="000324BA"/>
    <w:rsid w:val="00032F6C"/>
    <w:rsid w:val="00033315"/>
    <w:rsid w:val="00033D9E"/>
    <w:rsid w:val="00035036"/>
    <w:rsid w:val="0004017D"/>
    <w:rsid w:val="000445B7"/>
    <w:rsid w:val="0004782B"/>
    <w:rsid w:val="00055948"/>
    <w:rsid w:val="00057575"/>
    <w:rsid w:val="00060EE2"/>
    <w:rsid w:val="000618B5"/>
    <w:rsid w:val="00072B87"/>
    <w:rsid w:val="000738DE"/>
    <w:rsid w:val="00080B42"/>
    <w:rsid w:val="000821C5"/>
    <w:rsid w:val="000857E3"/>
    <w:rsid w:val="000979A6"/>
    <w:rsid w:val="000A3D36"/>
    <w:rsid w:val="000A418E"/>
    <w:rsid w:val="000A5722"/>
    <w:rsid w:val="000B1E98"/>
    <w:rsid w:val="000B67B5"/>
    <w:rsid w:val="000D27C1"/>
    <w:rsid w:val="000D3692"/>
    <w:rsid w:val="000D50A8"/>
    <w:rsid w:val="000E2E51"/>
    <w:rsid w:val="000E5C14"/>
    <w:rsid w:val="000E73C3"/>
    <w:rsid w:val="000F3D4F"/>
    <w:rsid w:val="000F7890"/>
    <w:rsid w:val="00100006"/>
    <w:rsid w:val="0010391E"/>
    <w:rsid w:val="00105DF3"/>
    <w:rsid w:val="00113CB3"/>
    <w:rsid w:val="001217A8"/>
    <w:rsid w:val="001241B8"/>
    <w:rsid w:val="00125FFF"/>
    <w:rsid w:val="00127676"/>
    <w:rsid w:val="001314C4"/>
    <w:rsid w:val="001331A6"/>
    <w:rsid w:val="00145C68"/>
    <w:rsid w:val="00145D0C"/>
    <w:rsid w:val="001470C9"/>
    <w:rsid w:val="001515B2"/>
    <w:rsid w:val="00153C78"/>
    <w:rsid w:val="00155FA2"/>
    <w:rsid w:val="00156F45"/>
    <w:rsid w:val="00161922"/>
    <w:rsid w:val="00162BCE"/>
    <w:rsid w:val="001675A4"/>
    <w:rsid w:val="00174F1F"/>
    <w:rsid w:val="0017582C"/>
    <w:rsid w:val="001806A2"/>
    <w:rsid w:val="00185784"/>
    <w:rsid w:val="00186684"/>
    <w:rsid w:val="00186D57"/>
    <w:rsid w:val="001909CF"/>
    <w:rsid w:val="00190F82"/>
    <w:rsid w:val="00191121"/>
    <w:rsid w:val="001943D2"/>
    <w:rsid w:val="001971CF"/>
    <w:rsid w:val="001A1C5C"/>
    <w:rsid w:val="001A595D"/>
    <w:rsid w:val="001A77A4"/>
    <w:rsid w:val="001B0D04"/>
    <w:rsid w:val="001B5E11"/>
    <w:rsid w:val="001C074C"/>
    <w:rsid w:val="001C244E"/>
    <w:rsid w:val="001C4ED7"/>
    <w:rsid w:val="001C63C2"/>
    <w:rsid w:val="001D0189"/>
    <w:rsid w:val="001D2009"/>
    <w:rsid w:val="001D4565"/>
    <w:rsid w:val="001D5C86"/>
    <w:rsid w:val="001E7956"/>
    <w:rsid w:val="001F1EBE"/>
    <w:rsid w:val="001F3879"/>
    <w:rsid w:val="001F3B06"/>
    <w:rsid w:val="001F479B"/>
    <w:rsid w:val="001F744E"/>
    <w:rsid w:val="00205AC5"/>
    <w:rsid w:val="00213AAF"/>
    <w:rsid w:val="00217287"/>
    <w:rsid w:val="00217E6B"/>
    <w:rsid w:val="0022189C"/>
    <w:rsid w:val="00227EB9"/>
    <w:rsid w:val="002323A5"/>
    <w:rsid w:val="00235EF2"/>
    <w:rsid w:val="00240C30"/>
    <w:rsid w:val="00241723"/>
    <w:rsid w:val="002505F3"/>
    <w:rsid w:val="002517CB"/>
    <w:rsid w:val="00256EE8"/>
    <w:rsid w:val="002577F6"/>
    <w:rsid w:val="00263DC3"/>
    <w:rsid w:val="00263F53"/>
    <w:rsid w:val="0028075D"/>
    <w:rsid w:val="00283E07"/>
    <w:rsid w:val="002868AC"/>
    <w:rsid w:val="0029489C"/>
    <w:rsid w:val="00295713"/>
    <w:rsid w:val="00296958"/>
    <w:rsid w:val="00296BC3"/>
    <w:rsid w:val="002A12E4"/>
    <w:rsid w:val="002A2EFA"/>
    <w:rsid w:val="002A4AF3"/>
    <w:rsid w:val="002A72F0"/>
    <w:rsid w:val="002B0FC8"/>
    <w:rsid w:val="002B2860"/>
    <w:rsid w:val="002B2F1A"/>
    <w:rsid w:val="002B4FEB"/>
    <w:rsid w:val="002C3027"/>
    <w:rsid w:val="002D2F82"/>
    <w:rsid w:val="002D673F"/>
    <w:rsid w:val="002D77A8"/>
    <w:rsid w:val="002E3DD9"/>
    <w:rsid w:val="002F4321"/>
    <w:rsid w:val="003047CE"/>
    <w:rsid w:val="003052F1"/>
    <w:rsid w:val="00306477"/>
    <w:rsid w:val="00306964"/>
    <w:rsid w:val="00307E3F"/>
    <w:rsid w:val="003144CB"/>
    <w:rsid w:val="00316215"/>
    <w:rsid w:val="00321961"/>
    <w:rsid w:val="003244E2"/>
    <w:rsid w:val="00325CA4"/>
    <w:rsid w:val="003272C9"/>
    <w:rsid w:val="00333255"/>
    <w:rsid w:val="0034496D"/>
    <w:rsid w:val="00350BC6"/>
    <w:rsid w:val="00355F14"/>
    <w:rsid w:val="0036088A"/>
    <w:rsid w:val="003626ED"/>
    <w:rsid w:val="00365C64"/>
    <w:rsid w:val="003750F6"/>
    <w:rsid w:val="0037517B"/>
    <w:rsid w:val="0037667D"/>
    <w:rsid w:val="00392828"/>
    <w:rsid w:val="0039786A"/>
    <w:rsid w:val="003A3AA0"/>
    <w:rsid w:val="003B1211"/>
    <w:rsid w:val="003B4EA0"/>
    <w:rsid w:val="003B7428"/>
    <w:rsid w:val="003B7D7B"/>
    <w:rsid w:val="003C78F6"/>
    <w:rsid w:val="003C7F5A"/>
    <w:rsid w:val="003D6B72"/>
    <w:rsid w:val="003E0702"/>
    <w:rsid w:val="003E1965"/>
    <w:rsid w:val="003E52BF"/>
    <w:rsid w:val="003E7929"/>
    <w:rsid w:val="003F48B4"/>
    <w:rsid w:val="003F5895"/>
    <w:rsid w:val="004104F8"/>
    <w:rsid w:val="00415704"/>
    <w:rsid w:val="00420F2E"/>
    <w:rsid w:val="00421F2A"/>
    <w:rsid w:val="00423C96"/>
    <w:rsid w:val="004247D0"/>
    <w:rsid w:val="00426220"/>
    <w:rsid w:val="004345FE"/>
    <w:rsid w:val="00436F2D"/>
    <w:rsid w:val="004430BD"/>
    <w:rsid w:val="004446C2"/>
    <w:rsid w:val="00456F59"/>
    <w:rsid w:val="004604FB"/>
    <w:rsid w:val="00461775"/>
    <w:rsid w:val="0046251A"/>
    <w:rsid w:val="00463C1F"/>
    <w:rsid w:val="00464AA7"/>
    <w:rsid w:val="004662A4"/>
    <w:rsid w:val="0046714A"/>
    <w:rsid w:val="00467E50"/>
    <w:rsid w:val="00473B4F"/>
    <w:rsid w:val="00483F6A"/>
    <w:rsid w:val="00491633"/>
    <w:rsid w:val="00491E72"/>
    <w:rsid w:val="00492EFE"/>
    <w:rsid w:val="004940AE"/>
    <w:rsid w:val="00497B53"/>
    <w:rsid w:val="004A0346"/>
    <w:rsid w:val="004A1742"/>
    <w:rsid w:val="004A5652"/>
    <w:rsid w:val="004A74FE"/>
    <w:rsid w:val="004B2E80"/>
    <w:rsid w:val="004B307D"/>
    <w:rsid w:val="004C0641"/>
    <w:rsid w:val="004C0CFF"/>
    <w:rsid w:val="004C15BC"/>
    <w:rsid w:val="004C7845"/>
    <w:rsid w:val="004D4824"/>
    <w:rsid w:val="004D6494"/>
    <w:rsid w:val="004E0BEF"/>
    <w:rsid w:val="004E2179"/>
    <w:rsid w:val="004E4030"/>
    <w:rsid w:val="004F4BD2"/>
    <w:rsid w:val="004F4EEE"/>
    <w:rsid w:val="0050234D"/>
    <w:rsid w:val="00503BC8"/>
    <w:rsid w:val="005062F8"/>
    <w:rsid w:val="00506C0E"/>
    <w:rsid w:val="0051136B"/>
    <w:rsid w:val="00514BCC"/>
    <w:rsid w:val="00516520"/>
    <w:rsid w:val="00533F79"/>
    <w:rsid w:val="005353E3"/>
    <w:rsid w:val="005375F4"/>
    <w:rsid w:val="0053782E"/>
    <w:rsid w:val="0054237C"/>
    <w:rsid w:val="00554A96"/>
    <w:rsid w:val="005704FB"/>
    <w:rsid w:val="00570A93"/>
    <w:rsid w:val="00572F2A"/>
    <w:rsid w:val="005803D3"/>
    <w:rsid w:val="00582827"/>
    <w:rsid w:val="0058494D"/>
    <w:rsid w:val="00591803"/>
    <w:rsid w:val="005931F9"/>
    <w:rsid w:val="005973BB"/>
    <w:rsid w:val="00597DE2"/>
    <w:rsid w:val="005A20A6"/>
    <w:rsid w:val="005A3522"/>
    <w:rsid w:val="005B6209"/>
    <w:rsid w:val="005C0F44"/>
    <w:rsid w:val="005C3813"/>
    <w:rsid w:val="005D1929"/>
    <w:rsid w:val="005D267C"/>
    <w:rsid w:val="005D68AA"/>
    <w:rsid w:val="005D77E8"/>
    <w:rsid w:val="006000C7"/>
    <w:rsid w:val="0060160F"/>
    <w:rsid w:val="006070D6"/>
    <w:rsid w:val="00607EA1"/>
    <w:rsid w:val="00621186"/>
    <w:rsid w:val="00627110"/>
    <w:rsid w:val="006342F7"/>
    <w:rsid w:val="00642901"/>
    <w:rsid w:val="00642DCD"/>
    <w:rsid w:val="006465A2"/>
    <w:rsid w:val="00655AD4"/>
    <w:rsid w:val="00656368"/>
    <w:rsid w:val="00657072"/>
    <w:rsid w:val="00661178"/>
    <w:rsid w:val="006626F8"/>
    <w:rsid w:val="00662B50"/>
    <w:rsid w:val="00663D69"/>
    <w:rsid w:val="00663FB6"/>
    <w:rsid w:val="00664729"/>
    <w:rsid w:val="006730D1"/>
    <w:rsid w:val="00673CCE"/>
    <w:rsid w:val="00675955"/>
    <w:rsid w:val="00677FAF"/>
    <w:rsid w:val="00680042"/>
    <w:rsid w:val="00695821"/>
    <w:rsid w:val="006A24E7"/>
    <w:rsid w:val="006A37BE"/>
    <w:rsid w:val="006A3AB7"/>
    <w:rsid w:val="006A5CEF"/>
    <w:rsid w:val="006B3A5F"/>
    <w:rsid w:val="006C1D10"/>
    <w:rsid w:val="006C2AD7"/>
    <w:rsid w:val="006C3F62"/>
    <w:rsid w:val="006C4EB5"/>
    <w:rsid w:val="006C6F8C"/>
    <w:rsid w:val="006D060B"/>
    <w:rsid w:val="006D1634"/>
    <w:rsid w:val="006D17FA"/>
    <w:rsid w:val="006E649F"/>
    <w:rsid w:val="006F296F"/>
    <w:rsid w:val="006F3A28"/>
    <w:rsid w:val="006F55F3"/>
    <w:rsid w:val="006F5837"/>
    <w:rsid w:val="006F6873"/>
    <w:rsid w:val="00702218"/>
    <w:rsid w:val="00704634"/>
    <w:rsid w:val="00705F5F"/>
    <w:rsid w:val="00706027"/>
    <w:rsid w:val="00712A6E"/>
    <w:rsid w:val="0071764A"/>
    <w:rsid w:val="00720D44"/>
    <w:rsid w:val="00725EFC"/>
    <w:rsid w:val="00727048"/>
    <w:rsid w:val="007337A0"/>
    <w:rsid w:val="00735E85"/>
    <w:rsid w:val="0074524D"/>
    <w:rsid w:val="00747F9D"/>
    <w:rsid w:val="007507B8"/>
    <w:rsid w:val="00763999"/>
    <w:rsid w:val="0076453D"/>
    <w:rsid w:val="00766FDC"/>
    <w:rsid w:val="00767EB5"/>
    <w:rsid w:val="00773754"/>
    <w:rsid w:val="00775CFB"/>
    <w:rsid w:val="00787E2C"/>
    <w:rsid w:val="00792B4A"/>
    <w:rsid w:val="00795733"/>
    <w:rsid w:val="007A2F8F"/>
    <w:rsid w:val="007A364C"/>
    <w:rsid w:val="007A7AC2"/>
    <w:rsid w:val="007B175F"/>
    <w:rsid w:val="007B7DD4"/>
    <w:rsid w:val="007C0F11"/>
    <w:rsid w:val="007C3CA9"/>
    <w:rsid w:val="007C5C31"/>
    <w:rsid w:val="007C6AE0"/>
    <w:rsid w:val="007D06F5"/>
    <w:rsid w:val="007D0BF8"/>
    <w:rsid w:val="007D7A1E"/>
    <w:rsid w:val="007E0034"/>
    <w:rsid w:val="007E4D7B"/>
    <w:rsid w:val="007E4ED4"/>
    <w:rsid w:val="007E7900"/>
    <w:rsid w:val="007E7CF4"/>
    <w:rsid w:val="007F332C"/>
    <w:rsid w:val="007F5D03"/>
    <w:rsid w:val="00802DC9"/>
    <w:rsid w:val="00804AE5"/>
    <w:rsid w:val="008106FE"/>
    <w:rsid w:val="00814A34"/>
    <w:rsid w:val="00815360"/>
    <w:rsid w:val="0082741A"/>
    <w:rsid w:val="008279B3"/>
    <w:rsid w:val="00827DAE"/>
    <w:rsid w:val="00827FD5"/>
    <w:rsid w:val="00832BCD"/>
    <w:rsid w:val="00844866"/>
    <w:rsid w:val="00850685"/>
    <w:rsid w:val="0085173D"/>
    <w:rsid w:val="008536D4"/>
    <w:rsid w:val="00860093"/>
    <w:rsid w:val="0087014B"/>
    <w:rsid w:val="00870D4F"/>
    <w:rsid w:val="00875F18"/>
    <w:rsid w:val="008858CD"/>
    <w:rsid w:val="00896FF0"/>
    <w:rsid w:val="008A38AC"/>
    <w:rsid w:val="008A3AFC"/>
    <w:rsid w:val="008B2AD0"/>
    <w:rsid w:val="008B60D2"/>
    <w:rsid w:val="008C1447"/>
    <w:rsid w:val="008C41C8"/>
    <w:rsid w:val="008C454C"/>
    <w:rsid w:val="008C4672"/>
    <w:rsid w:val="008E0275"/>
    <w:rsid w:val="008E51EB"/>
    <w:rsid w:val="008F3FC3"/>
    <w:rsid w:val="00903C01"/>
    <w:rsid w:val="00904773"/>
    <w:rsid w:val="0090728A"/>
    <w:rsid w:val="00910DFE"/>
    <w:rsid w:val="0091736E"/>
    <w:rsid w:val="0092126E"/>
    <w:rsid w:val="00924747"/>
    <w:rsid w:val="00926FAA"/>
    <w:rsid w:val="00927736"/>
    <w:rsid w:val="009301F8"/>
    <w:rsid w:val="00933AA1"/>
    <w:rsid w:val="0093452D"/>
    <w:rsid w:val="00934B66"/>
    <w:rsid w:val="00934D4D"/>
    <w:rsid w:val="00936C84"/>
    <w:rsid w:val="00937528"/>
    <w:rsid w:val="00937BB3"/>
    <w:rsid w:val="00942D33"/>
    <w:rsid w:val="009439B2"/>
    <w:rsid w:val="0094437D"/>
    <w:rsid w:val="00947B0E"/>
    <w:rsid w:val="009500A2"/>
    <w:rsid w:val="00954027"/>
    <w:rsid w:val="009563CD"/>
    <w:rsid w:val="00956C2E"/>
    <w:rsid w:val="009609F4"/>
    <w:rsid w:val="00960F86"/>
    <w:rsid w:val="00973B23"/>
    <w:rsid w:val="00977ECA"/>
    <w:rsid w:val="00984E44"/>
    <w:rsid w:val="00991929"/>
    <w:rsid w:val="00996D08"/>
    <w:rsid w:val="009A2729"/>
    <w:rsid w:val="009A490C"/>
    <w:rsid w:val="009B6802"/>
    <w:rsid w:val="009C0CE9"/>
    <w:rsid w:val="009C54BD"/>
    <w:rsid w:val="009C5E29"/>
    <w:rsid w:val="009C753C"/>
    <w:rsid w:val="009D3EF9"/>
    <w:rsid w:val="009E31F9"/>
    <w:rsid w:val="009E4DB7"/>
    <w:rsid w:val="009F7B1B"/>
    <w:rsid w:val="00A01DAF"/>
    <w:rsid w:val="00A02087"/>
    <w:rsid w:val="00A055CB"/>
    <w:rsid w:val="00A061E8"/>
    <w:rsid w:val="00A071E2"/>
    <w:rsid w:val="00A101E4"/>
    <w:rsid w:val="00A10B3D"/>
    <w:rsid w:val="00A122E9"/>
    <w:rsid w:val="00A25BDD"/>
    <w:rsid w:val="00A32203"/>
    <w:rsid w:val="00A3381B"/>
    <w:rsid w:val="00A33D06"/>
    <w:rsid w:val="00A363F4"/>
    <w:rsid w:val="00A42363"/>
    <w:rsid w:val="00A460F6"/>
    <w:rsid w:val="00A52889"/>
    <w:rsid w:val="00A5515B"/>
    <w:rsid w:val="00A554AD"/>
    <w:rsid w:val="00A56F40"/>
    <w:rsid w:val="00A57597"/>
    <w:rsid w:val="00A618FA"/>
    <w:rsid w:val="00A65DDC"/>
    <w:rsid w:val="00A70D26"/>
    <w:rsid w:val="00A7297B"/>
    <w:rsid w:val="00A729FD"/>
    <w:rsid w:val="00A81C09"/>
    <w:rsid w:val="00A825D0"/>
    <w:rsid w:val="00A82A30"/>
    <w:rsid w:val="00A87002"/>
    <w:rsid w:val="00AA2DA8"/>
    <w:rsid w:val="00AA6062"/>
    <w:rsid w:val="00AA6B2D"/>
    <w:rsid w:val="00AB0E22"/>
    <w:rsid w:val="00AB5918"/>
    <w:rsid w:val="00AB7B0C"/>
    <w:rsid w:val="00AD04AC"/>
    <w:rsid w:val="00AD4B36"/>
    <w:rsid w:val="00AE7E2E"/>
    <w:rsid w:val="00AF062D"/>
    <w:rsid w:val="00B11AB8"/>
    <w:rsid w:val="00B13AFA"/>
    <w:rsid w:val="00B17512"/>
    <w:rsid w:val="00B20ADA"/>
    <w:rsid w:val="00B23699"/>
    <w:rsid w:val="00B24D50"/>
    <w:rsid w:val="00B331E6"/>
    <w:rsid w:val="00B35390"/>
    <w:rsid w:val="00B3639A"/>
    <w:rsid w:val="00B438A8"/>
    <w:rsid w:val="00B60323"/>
    <w:rsid w:val="00B67A38"/>
    <w:rsid w:val="00B71F5D"/>
    <w:rsid w:val="00B76713"/>
    <w:rsid w:val="00B84292"/>
    <w:rsid w:val="00B8554E"/>
    <w:rsid w:val="00B85F1C"/>
    <w:rsid w:val="00B861CC"/>
    <w:rsid w:val="00B9094E"/>
    <w:rsid w:val="00B92FB1"/>
    <w:rsid w:val="00B95D57"/>
    <w:rsid w:val="00BA026E"/>
    <w:rsid w:val="00BA2D11"/>
    <w:rsid w:val="00BA380F"/>
    <w:rsid w:val="00BA4A10"/>
    <w:rsid w:val="00BA521C"/>
    <w:rsid w:val="00BA550E"/>
    <w:rsid w:val="00BB1630"/>
    <w:rsid w:val="00BB1B39"/>
    <w:rsid w:val="00BB1C6B"/>
    <w:rsid w:val="00BC27DE"/>
    <w:rsid w:val="00BC3B17"/>
    <w:rsid w:val="00BC4C46"/>
    <w:rsid w:val="00BD2CF7"/>
    <w:rsid w:val="00BD3399"/>
    <w:rsid w:val="00BD3F20"/>
    <w:rsid w:val="00BD4FC5"/>
    <w:rsid w:val="00BD554A"/>
    <w:rsid w:val="00BE094B"/>
    <w:rsid w:val="00BF15C5"/>
    <w:rsid w:val="00BF185E"/>
    <w:rsid w:val="00BF2FAD"/>
    <w:rsid w:val="00BF4053"/>
    <w:rsid w:val="00C03196"/>
    <w:rsid w:val="00C03AD9"/>
    <w:rsid w:val="00C057B7"/>
    <w:rsid w:val="00C167BD"/>
    <w:rsid w:val="00C22394"/>
    <w:rsid w:val="00C22D93"/>
    <w:rsid w:val="00C253F2"/>
    <w:rsid w:val="00C26DFB"/>
    <w:rsid w:val="00C27606"/>
    <w:rsid w:val="00C27A3C"/>
    <w:rsid w:val="00C31867"/>
    <w:rsid w:val="00C34BB3"/>
    <w:rsid w:val="00C422F0"/>
    <w:rsid w:val="00C43515"/>
    <w:rsid w:val="00C55597"/>
    <w:rsid w:val="00C6059C"/>
    <w:rsid w:val="00C62408"/>
    <w:rsid w:val="00C62B21"/>
    <w:rsid w:val="00C63A59"/>
    <w:rsid w:val="00C64161"/>
    <w:rsid w:val="00C65206"/>
    <w:rsid w:val="00C72229"/>
    <w:rsid w:val="00C74CFB"/>
    <w:rsid w:val="00C77366"/>
    <w:rsid w:val="00C80B9F"/>
    <w:rsid w:val="00C8194C"/>
    <w:rsid w:val="00C83B8B"/>
    <w:rsid w:val="00C850A8"/>
    <w:rsid w:val="00C93283"/>
    <w:rsid w:val="00CA044B"/>
    <w:rsid w:val="00CA7456"/>
    <w:rsid w:val="00CB0E01"/>
    <w:rsid w:val="00CB135A"/>
    <w:rsid w:val="00CB627C"/>
    <w:rsid w:val="00CC3536"/>
    <w:rsid w:val="00CC3BB8"/>
    <w:rsid w:val="00CC5C79"/>
    <w:rsid w:val="00CD3DAF"/>
    <w:rsid w:val="00CD4802"/>
    <w:rsid w:val="00CD7BA1"/>
    <w:rsid w:val="00CE101E"/>
    <w:rsid w:val="00CE39D3"/>
    <w:rsid w:val="00CE460A"/>
    <w:rsid w:val="00CE473C"/>
    <w:rsid w:val="00CE47C9"/>
    <w:rsid w:val="00CE7102"/>
    <w:rsid w:val="00CF0919"/>
    <w:rsid w:val="00CF31A3"/>
    <w:rsid w:val="00CF499C"/>
    <w:rsid w:val="00CF6DEB"/>
    <w:rsid w:val="00D01BA1"/>
    <w:rsid w:val="00D1736C"/>
    <w:rsid w:val="00D23004"/>
    <w:rsid w:val="00D27552"/>
    <w:rsid w:val="00D278F1"/>
    <w:rsid w:val="00D3397B"/>
    <w:rsid w:val="00D43123"/>
    <w:rsid w:val="00D46426"/>
    <w:rsid w:val="00D466BA"/>
    <w:rsid w:val="00D50460"/>
    <w:rsid w:val="00D564EB"/>
    <w:rsid w:val="00D61087"/>
    <w:rsid w:val="00D64605"/>
    <w:rsid w:val="00D647CD"/>
    <w:rsid w:val="00D64D62"/>
    <w:rsid w:val="00D661FE"/>
    <w:rsid w:val="00D668A6"/>
    <w:rsid w:val="00D72B0A"/>
    <w:rsid w:val="00D75FB7"/>
    <w:rsid w:val="00D80132"/>
    <w:rsid w:val="00D9400A"/>
    <w:rsid w:val="00DA3324"/>
    <w:rsid w:val="00DB05E0"/>
    <w:rsid w:val="00DB0827"/>
    <w:rsid w:val="00DC0710"/>
    <w:rsid w:val="00DC21E9"/>
    <w:rsid w:val="00DC514D"/>
    <w:rsid w:val="00DC70BA"/>
    <w:rsid w:val="00DD59A5"/>
    <w:rsid w:val="00DD59D1"/>
    <w:rsid w:val="00DE05DF"/>
    <w:rsid w:val="00DF71B9"/>
    <w:rsid w:val="00DF75EC"/>
    <w:rsid w:val="00DF7C34"/>
    <w:rsid w:val="00E00A8A"/>
    <w:rsid w:val="00E060DD"/>
    <w:rsid w:val="00E06390"/>
    <w:rsid w:val="00E11D36"/>
    <w:rsid w:val="00E14613"/>
    <w:rsid w:val="00E151BD"/>
    <w:rsid w:val="00E22265"/>
    <w:rsid w:val="00E24D6D"/>
    <w:rsid w:val="00E26EC0"/>
    <w:rsid w:val="00E30E0F"/>
    <w:rsid w:val="00E44079"/>
    <w:rsid w:val="00E5160F"/>
    <w:rsid w:val="00E519B3"/>
    <w:rsid w:val="00E54152"/>
    <w:rsid w:val="00E6246C"/>
    <w:rsid w:val="00E65518"/>
    <w:rsid w:val="00E66D53"/>
    <w:rsid w:val="00E71D53"/>
    <w:rsid w:val="00E75075"/>
    <w:rsid w:val="00E823F5"/>
    <w:rsid w:val="00E84063"/>
    <w:rsid w:val="00E843E2"/>
    <w:rsid w:val="00E844E2"/>
    <w:rsid w:val="00E922AE"/>
    <w:rsid w:val="00E95575"/>
    <w:rsid w:val="00EA49B9"/>
    <w:rsid w:val="00EA546D"/>
    <w:rsid w:val="00EA5868"/>
    <w:rsid w:val="00EA7362"/>
    <w:rsid w:val="00EA7C55"/>
    <w:rsid w:val="00EB6D5B"/>
    <w:rsid w:val="00EC16C9"/>
    <w:rsid w:val="00EC2DE1"/>
    <w:rsid w:val="00EC4EE9"/>
    <w:rsid w:val="00EC75FE"/>
    <w:rsid w:val="00ED33C4"/>
    <w:rsid w:val="00ED3BE2"/>
    <w:rsid w:val="00ED4A6C"/>
    <w:rsid w:val="00ED54FC"/>
    <w:rsid w:val="00EE4E69"/>
    <w:rsid w:val="00EE61B9"/>
    <w:rsid w:val="00EF4E64"/>
    <w:rsid w:val="00EF641B"/>
    <w:rsid w:val="00F015CC"/>
    <w:rsid w:val="00F022F8"/>
    <w:rsid w:val="00F038F2"/>
    <w:rsid w:val="00F03B6C"/>
    <w:rsid w:val="00F051D6"/>
    <w:rsid w:val="00F0596B"/>
    <w:rsid w:val="00F10F58"/>
    <w:rsid w:val="00F13202"/>
    <w:rsid w:val="00F13A6D"/>
    <w:rsid w:val="00F13D08"/>
    <w:rsid w:val="00F16145"/>
    <w:rsid w:val="00F162F2"/>
    <w:rsid w:val="00F2632C"/>
    <w:rsid w:val="00F34646"/>
    <w:rsid w:val="00F35F16"/>
    <w:rsid w:val="00F476F4"/>
    <w:rsid w:val="00F53A30"/>
    <w:rsid w:val="00F60595"/>
    <w:rsid w:val="00F66A5D"/>
    <w:rsid w:val="00F70B2A"/>
    <w:rsid w:val="00F76F25"/>
    <w:rsid w:val="00F9105A"/>
    <w:rsid w:val="00F9133A"/>
    <w:rsid w:val="00F949E5"/>
    <w:rsid w:val="00F97A9B"/>
    <w:rsid w:val="00FA279A"/>
    <w:rsid w:val="00FA59A2"/>
    <w:rsid w:val="00FB06A4"/>
    <w:rsid w:val="00FB3975"/>
    <w:rsid w:val="00FB5422"/>
    <w:rsid w:val="00FC0142"/>
    <w:rsid w:val="00FC0EA7"/>
    <w:rsid w:val="00FC12AB"/>
    <w:rsid w:val="00FC3A7B"/>
    <w:rsid w:val="00FC5C72"/>
    <w:rsid w:val="00FD54C6"/>
    <w:rsid w:val="00FD72DB"/>
    <w:rsid w:val="00FE3E0D"/>
    <w:rsid w:val="00FF2E42"/>
    <w:rsid w:val="00FF426B"/>
    <w:rsid w:val="00FF5B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09AE5"/>
  <w15:docId w15:val="{6AF3E18D-2BFF-4549-A112-31A02461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58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66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58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582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5821"/>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695821"/>
    <w:pPr>
      <w:spacing w:line="240" w:lineRule="auto"/>
    </w:pPr>
    <w:rPr>
      <w:b/>
      <w:bCs/>
      <w:color w:val="4F81BD" w:themeColor="accent1"/>
      <w:sz w:val="18"/>
      <w:szCs w:val="18"/>
    </w:rPr>
  </w:style>
  <w:style w:type="paragraph" w:styleId="BodyText">
    <w:name w:val="Body Text"/>
    <w:basedOn w:val="Normal"/>
    <w:link w:val="BodyTextChar"/>
    <w:rsid w:val="00695821"/>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695821"/>
    <w:rPr>
      <w:rFonts w:ascii="Times New Roman" w:eastAsia="Times New Roman" w:hAnsi="Times New Roman" w:cs="Times New Roman"/>
      <w:sz w:val="24"/>
      <w:szCs w:val="20"/>
      <w:lang w:val="hr-HR"/>
    </w:rPr>
  </w:style>
  <w:style w:type="character" w:styleId="Emphasis">
    <w:name w:val="Emphasis"/>
    <w:qFormat/>
    <w:rsid w:val="00695821"/>
    <w:rPr>
      <w:i/>
      <w:iCs/>
    </w:rPr>
  </w:style>
  <w:style w:type="paragraph" w:styleId="BalloonText">
    <w:name w:val="Balloon Text"/>
    <w:basedOn w:val="Normal"/>
    <w:link w:val="BalloonTextChar"/>
    <w:uiPriority w:val="99"/>
    <w:semiHidden/>
    <w:unhideWhenUsed/>
    <w:rsid w:val="00695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21"/>
    <w:rPr>
      <w:rFonts w:ascii="Tahoma" w:hAnsi="Tahoma" w:cs="Tahoma"/>
      <w:sz w:val="16"/>
      <w:szCs w:val="16"/>
    </w:rPr>
  </w:style>
  <w:style w:type="character" w:customStyle="1" w:styleId="Heading2Char">
    <w:name w:val="Heading 2 Char"/>
    <w:basedOn w:val="DefaultParagraphFont"/>
    <w:link w:val="Heading2"/>
    <w:uiPriority w:val="9"/>
    <w:rsid w:val="0037667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C93283"/>
    <w:pPr>
      <w:outlineLvl w:val="9"/>
    </w:pPr>
    <w:rPr>
      <w:lang w:val="en-US" w:eastAsia="ja-JP"/>
    </w:rPr>
  </w:style>
  <w:style w:type="paragraph" w:styleId="TOC1">
    <w:name w:val="toc 1"/>
    <w:basedOn w:val="Normal"/>
    <w:next w:val="Normal"/>
    <w:autoRedefine/>
    <w:uiPriority w:val="39"/>
    <w:unhideWhenUsed/>
    <w:rsid w:val="00C93283"/>
    <w:pPr>
      <w:spacing w:after="100"/>
    </w:pPr>
  </w:style>
  <w:style w:type="paragraph" w:styleId="TOC2">
    <w:name w:val="toc 2"/>
    <w:basedOn w:val="Normal"/>
    <w:next w:val="Normal"/>
    <w:autoRedefine/>
    <w:uiPriority w:val="39"/>
    <w:unhideWhenUsed/>
    <w:rsid w:val="00C93283"/>
    <w:pPr>
      <w:spacing w:after="100"/>
      <w:ind w:left="220"/>
    </w:pPr>
  </w:style>
  <w:style w:type="character" w:styleId="Hyperlink">
    <w:name w:val="Hyperlink"/>
    <w:basedOn w:val="DefaultParagraphFont"/>
    <w:uiPriority w:val="99"/>
    <w:unhideWhenUsed/>
    <w:rsid w:val="00C93283"/>
    <w:rPr>
      <w:color w:val="0000FF" w:themeColor="hyperlink"/>
      <w:u w:val="single"/>
    </w:rPr>
  </w:style>
  <w:style w:type="paragraph" w:styleId="Header">
    <w:name w:val="header"/>
    <w:basedOn w:val="Normal"/>
    <w:link w:val="HeaderChar"/>
    <w:uiPriority w:val="99"/>
    <w:unhideWhenUsed/>
    <w:rsid w:val="007E79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7900"/>
  </w:style>
  <w:style w:type="paragraph" w:styleId="Footer">
    <w:name w:val="footer"/>
    <w:basedOn w:val="Normal"/>
    <w:link w:val="FooterChar"/>
    <w:uiPriority w:val="99"/>
    <w:unhideWhenUsed/>
    <w:rsid w:val="007E79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7900"/>
  </w:style>
  <w:style w:type="paragraph" w:styleId="TableofFigures">
    <w:name w:val="table of figures"/>
    <w:basedOn w:val="Normal"/>
    <w:next w:val="Normal"/>
    <w:uiPriority w:val="99"/>
    <w:unhideWhenUsed/>
    <w:rsid w:val="00680042"/>
    <w:pPr>
      <w:spacing w:after="0"/>
    </w:pPr>
  </w:style>
  <w:style w:type="paragraph" w:styleId="ListParagraph">
    <w:name w:val="List Paragraph"/>
    <w:basedOn w:val="Normal"/>
    <w:uiPriority w:val="34"/>
    <w:qFormat/>
    <w:rsid w:val="007B7DD4"/>
    <w:pPr>
      <w:ind w:left="720"/>
      <w:contextualSpacing/>
    </w:p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rsid w:val="00E06390"/>
    <w:pPr>
      <w:spacing w:after="0" w:line="240" w:lineRule="auto"/>
    </w:pPr>
    <w:rPr>
      <w:rFonts w:ascii="Times New Roman" w:eastAsia="Times New Roman" w:hAnsi="Times New Roman" w:cs="Times New Roman"/>
      <w:sz w:val="20"/>
      <w:szCs w:val="20"/>
      <w:lang w:val="hr-HR" w:eastAsia="hr-HR"/>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rsid w:val="00E06390"/>
    <w:rPr>
      <w:rFonts w:ascii="Times New Roman" w:eastAsia="Times New Roman" w:hAnsi="Times New Roman" w:cs="Times New Roman"/>
      <w:sz w:val="20"/>
      <w:szCs w:val="20"/>
      <w:lang w:val="hr-HR" w:eastAsia="hr-HR"/>
    </w:rPr>
  </w:style>
  <w:style w:type="character" w:styleId="FootnoteReference">
    <w:name w:val="footnote reference"/>
    <w:aliases w:val="BVI fnr"/>
    <w:basedOn w:val="DefaultParagraphFont"/>
    <w:rsid w:val="00E06390"/>
    <w:rPr>
      <w:vertAlign w:val="superscript"/>
    </w:rPr>
  </w:style>
  <w:style w:type="paragraph" w:customStyle="1" w:styleId="Default">
    <w:name w:val="Default"/>
    <w:rsid w:val="00BB1B39"/>
    <w:pPr>
      <w:autoSpaceDE w:val="0"/>
      <w:autoSpaceDN w:val="0"/>
      <w:adjustRightInd w:val="0"/>
      <w:spacing w:after="0" w:line="240" w:lineRule="auto"/>
    </w:pPr>
    <w:rPr>
      <w:rFonts w:ascii="Times New Roman" w:hAnsi="Times New Roman" w:cs="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5065">
      <w:bodyDiv w:val="1"/>
      <w:marLeft w:val="0"/>
      <w:marRight w:val="0"/>
      <w:marTop w:val="0"/>
      <w:marBottom w:val="0"/>
      <w:divBdr>
        <w:top w:val="none" w:sz="0" w:space="0" w:color="auto"/>
        <w:left w:val="none" w:sz="0" w:space="0" w:color="auto"/>
        <w:bottom w:val="none" w:sz="0" w:space="0" w:color="auto"/>
        <w:right w:val="none" w:sz="0" w:space="0" w:color="auto"/>
      </w:divBdr>
    </w:div>
    <w:div w:id="449478543">
      <w:bodyDiv w:val="1"/>
      <w:marLeft w:val="0"/>
      <w:marRight w:val="0"/>
      <w:marTop w:val="0"/>
      <w:marBottom w:val="0"/>
      <w:divBdr>
        <w:top w:val="none" w:sz="0" w:space="0" w:color="auto"/>
        <w:left w:val="none" w:sz="0" w:space="0" w:color="auto"/>
        <w:bottom w:val="none" w:sz="0" w:space="0" w:color="auto"/>
        <w:right w:val="none" w:sz="0" w:space="0" w:color="auto"/>
      </w:divBdr>
    </w:div>
    <w:div w:id="1001618430">
      <w:bodyDiv w:val="1"/>
      <w:marLeft w:val="0"/>
      <w:marRight w:val="0"/>
      <w:marTop w:val="0"/>
      <w:marBottom w:val="0"/>
      <w:divBdr>
        <w:top w:val="none" w:sz="0" w:space="0" w:color="auto"/>
        <w:left w:val="none" w:sz="0" w:space="0" w:color="auto"/>
        <w:bottom w:val="none" w:sz="0" w:space="0" w:color="auto"/>
        <w:right w:val="none" w:sz="0" w:space="0" w:color="auto"/>
      </w:divBdr>
    </w:div>
    <w:div w:id="14039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608C7-5811-4737-AD9D-F421011D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7641</Words>
  <Characters>43559</Characters>
  <Application>Microsoft Office Word</Application>
  <DocSecurity>0</DocSecurity>
  <Lines>362</Lines>
  <Paragraphs>102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Marica Parać</cp:lastModifiedBy>
  <cp:revision>3</cp:revision>
  <cp:lastPrinted>2019-10-31T08:30:00Z</cp:lastPrinted>
  <dcterms:created xsi:type="dcterms:W3CDTF">2019-10-31T04:11:00Z</dcterms:created>
  <dcterms:modified xsi:type="dcterms:W3CDTF">2019-10-31T08:30:00Z</dcterms:modified>
</cp:coreProperties>
</file>