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948" w:rsidRPr="009B5CBF" w:rsidRDefault="00025948" w:rsidP="00025948">
      <w:pPr>
        <w:jc w:val="center"/>
        <w:rPr>
          <w:sz w:val="28"/>
          <w:lang w:val="hr-HR"/>
        </w:rPr>
      </w:pPr>
      <w:r w:rsidRPr="009B5CBF">
        <w:rPr>
          <w:sz w:val="28"/>
          <w:lang w:val="hr-HR"/>
        </w:rPr>
        <w:t>R E P U B L I K A   H R V A T S K A</w:t>
      </w:r>
    </w:p>
    <w:p w:rsidR="00025948" w:rsidRPr="009B5CBF" w:rsidRDefault="00025948" w:rsidP="00025948">
      <w:pPr>
        <w:jc w:val="center"/>
        <w:rPr>
          <w:sz w:val="28"/>
          <w:lang w:val="hr-HR"/>
        </w:rPr>
      </w:pPr>
      <w:r w:rsidRPr="009B5CBF">
        <w:rPr>
          <w:sz w:val="28"/>
          <w:lang w:val="hr-HR"/>
        </w:rPr>
        <w:t>VLADA REPUBLIKE HRVATSKE</w:t>
      </w: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pStyle w:val="Naslov"/>
        <w:jc w:val="center"/>
        <w:rPr>
          <w:lang w:val="hr-HR"/>
        </w:rPr>
      </w:pPr>
      <w:r w:rsidRPr="009B5CBF">
        <w:rPr>
          <w:lang w:val="hr-HR"/>
        </w:rPr>
        <w:t>OBRAZLOŽENJE PRIJEDLOGA IZMJENA I DOPUNA DRŽAVNOG PRORAČUNA REPUBLIKE HRVATSKE I FINANCIJSKIH PLANOVA IZV</w:t>
      </w:r>
      <w:r w:rsidR="003C433B" w:rsidRPr="009B5CBF">
        <w:rPr>
          <w:lang w:val="hr-HR"/>
        </w:rPr>
        <w:t>ANPRORAČUNSKIH KORISNIKA ZA 20</w:t>
      </w:r>
      <w:r w:rsidR="00731F4D">
        <w:rPr>
          <w:lang w:val="hr-HR"/>
        </w:rPr>
        <w:t>21</w:t>
      </w:r>
      <w:r w:rsidRPr="009B5CBF">
        <w:rPr>
          <w:lang w:val="hr-HR"/>
        </w:rPr>
        <w:t>. GODINU</w:t>
      </w: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72362F" w:rsidRPr="009B5CBF" w:rsidRDefault="0072362F" w:rsidP="00025948">
      <w:pPr>
        <w:rPr>
          <w:lang w:val="hr-HR"/>
        </w:rPr>
      </w:pPr>
    </w:p>
    <w:p w:rsidR="0072362F" w:rsidRPr="009B5CBF" w:rsidRDefault="0072362F"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jc w:val="center"/>
        <w:rPr>
          <w:lang w:val="hr-HR"/>
        </w:rPr>
        <w:sectPr w:rsidR="00025948" w:rsidRPr="009B5CBF" w:rsidSect="00927736">
          <w:footerReference w:type="default" r:id="rId8"/>
          <w:pgSz w:w="11906" w:h="16838"/>
          <w:pgMar w:top="1417" w:right="1417" w:bottom="1417" w:left="1417" w:header="708" w:footer="708" w:gutter="0"/>
          <w:cols w:space="708"/>
          <w:titlePg/>
          <w:docGrid w:linePitch="360"/>
        </w:sectPr>
      </w:pPr>
      <w:r w:rsidRPr="009B5CBF">
        <w:rPr>
          <w:lang w:val="hr-HR"/>
        </w:rPr>
        <w:t xml:space="preserve">Zagreb, </w:t>
      </w:r>
      <w:r w:rsidR="000674BE">
        <w:rPr>
          <w:lang w:val="hr-HR"/>
        </w:rPr>
        <w:t>listopad</w:t>
      </w:r>
      <w:r w:rsidR="008C09FB" w:rsidRPr="009B5CBF">
        <w:rPr>
          <w:lang w:val="hr-HR"/>
        </w:rPr>
        <w:t xml:space="preserve"> </w:t>
      </w:r>
      <w:r w:rsidR="003C433B" w:rsidRPr="009B5CBF">
        <w:rPr>
          <w:lang w:val="hr-HR"/>
        </w:rPr>
        <w:t>20</w:t>
      </w:r>
      <w:r w:rsidR="00731F4D">
        <w:rPr>
          <w:lang w:val="hr-HR"/>
        </w:rPr>
        <w:t>21</w:t>
      </w:r>
      <w:r w:rsidRPr="009B5CBF">
        <w:rPr>
          <w:lang w:val="hr-HR"/>
        </w:rPr>
        <w:t>.</w:t>
      </w: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9B5CBF" w:rsidRDefault="00025948">
          <w:pPr>
            <w:pStyle w:val="TOCNaslov"/>
            <w:rPr>
              <w:lang w:val="hr-HR"/>
            </w:rPr>
          </w:pPr>
          <w:r w:rsidRPr="009B5CBF">
            <w:rPr>
              <w:lang w:val="hr-HR"/>
            </w:rPr>
            <w:t>Sadržaj</w:t>
          </w:r>
        </w:p>
        <w:p w:rsidR="00025948" w:rsidRPr="009B5CBF" w:rsidRDefault="00025948" w:rsidP="00025948">
          <w:pPr>
            <w:rPr>
              <w:lang w:val="hr-HR" w:eastAsia="ja-JP"/>
            </w:rPr>
          </w:pPr>
        </w:p>
        <w:p w:rsidR="00EA2577" w:rsidRDefault="00025948">
          <w:pPr>
            <w:pStyle w:val="Sadraj1"/>
            <w:tabs>
              <w:tab w:val="left" w:pos="440"/>
              <w:tab w:val="right" w:leader="dot" w:pos="9062"/>
            </w:tabs>
            <w:rPr>
              <w:rFonts w:eastAsiaTheme="minorEastAsia"/>
              <w:noProof/>
              <w:lang w:val="hr-HR" w:eastAsia="hr-HR"/>
            </w:rPr>
          </w:pPr>
          <w:r w:rsidRPr="009B5CBF">
            <w:rPr>
              <w:lang w:val="hr-HR"/>
            </w:rPr>
            <w:fldChar w:fldCharType="begin"/>
          </w:r>
          <w:r w:rsidRPr="009B5CBF">
            <w:rPr>
              <w:lang w:val="hr-HR"/>
            </w:rPr>
            <w:instrText xml:space="preserve"> TOC \o "1-3" \h \z \u </w:instrText>
          </w:r>
          <w:r w:rsidRPr="009B5CBF">
            <w:rPr>
              <w:lang w:val="hr-HR"/>
            </w:rPr>
            <w:fldChar w:fldCharType="separate"/>
          </w:r>
          <w:hyperlink w:anchor="_Toc86306105" w:history="1">
            <w:r w:rsidR="00EA2577" w:rsidRPr="00B946BB">
              <w:rPr>
                <w:rStyle w:val="Hiperveza"/>
                <w:noProof/>
                <w:lang w:val="hr-HR"/>
              </w:rPr>
              <w:t>1.</w:t>
            </w:r>
            <w:r w:rsidR="00EA2577">
              <w:rPr>
                <w:rFonts w:eastAsiaTheme="minorEastAsia"/>
                <w:noProof/>
                <w:lang w:val="hr-HR" w:eastAsia="hr-HR"/>
              </w:rPr>
              <w:tab/>
            </w:r>
            <w:r w:rsidR="00EA2577" w:rsidRPr="00B946BB">
              <w:rPr>
                <w:rStyle w:val="Hiperveza"/>
                <w:noProof/>
                <w:lang w:val="hr-HR"/>
              </w:rPr>
              <w:t>UVOD</w:t>
            </w:r>
            <w:r w:rsidR="00EA2577">
              <w:rPr>
                <w:noProof/>
                <w:webHidden/>
              </w:rPr>
              <w:tab/>
            </w:r>
            <w:r w:rsidR="00EA2577">
              <w:rPr>
                <w:noProof/>
                <w:webHidden/>
              </w:rPr>
              <w:fldChar w:fldCharType="begin"/>
            </w:r>
            <w:r w:rsidR="00EA2577">
              <w:rPr>
                <w:noProof/>
                <w:webHidden/>
              </w:rPr>
              <w:instrText xml:space="preserve"> PAGEREF _Toc86306105 \h </w:instrText>
            </w:r>
            <w:r w:rsidR="00EA2577">
              <w:rPr>
                <w:noProof/>
                <w:webHidden/>
              </w:rPr>
            </w:r>
            <w:r w:rsidR="00EA2577">
              <w:rPr>
                <w:noProof/>
                <w:webHidden/>
              </w:rPr>
              <w:fldChar w:fldCharType="separate"/>
            </w:r>
            <w:r w:rsidR="00EA2577">
              <w:rPr>
                <w:noProof/>
                <w:webHidden/>
              </w:rPr>
              <w:t>3</w:t>
            </w:r>
            <w:r w:rsidR="00EA2577">
              <w:rPr>
                <w:noProof/>
                <w:webHidden/>
              </w:rPr>
              <w:fldChar w:fldCharType="end"/>
            </w:r>
          </w:hyperlink>
        </w:p>
        <w:p w:rsidR="00EA2577" w:rsidRDefault="00EA2577">
          <w:pPr>
            <w:pStyle w:val="Sadraj1"/>
            <w:tabs>
              <w:tab w:val="left" w:pos="440"/>
              <w:tab w:val="right" w:leader="dot" w:pos="9062"/>
            </w:tabs>
            <w:rPr>
              <w:rFonts w:eastAsiaTheme="minorEastAsia"/>
              <w:noProof/>
              <w:lang w:val="hr-HR" w:eastAsia="hr-HR"/>
            </w:rPr>
          </w:pPr>
          <w:hyperlink w:anchor="_Toc86306106" w:history="1">
            <w:r w:rsidRPr="00B946BB">
              <w:rPr>
                <w:rStyle w:val="Hiperveza"/>
                <w:noProof/>
                <w:lang w:val="hr-HR"/>
              </w:rPr>
              <w:t>2.</w:t>
            </w:r>
            <w:r>
              <w:rPr>
                <w:rFonts w:eastAsiaTheme="minorEastAsia"/>
                <w:noProof/>
                <w:lang w:val="hr-HR" w:eastAsia="hr-HR"/>
              </w:rPr>
              <w:tab/>
            </w:r>
            <w:r w:rsidRPr="00B946BB">
              <w:rPr>
                <w:rStyle w:val="Hiperveza"/>
                <w:noProof/>
                <w:lang w:val="hr-HR"/>
              </w:rPr>
              <w:t>MAKROEKONOMSKI OKVIR</w:t>
            </w:r>
            <w:r>
              <w:rPr>
                <w:noProof/>
                <w:webHidden/>
              </w:rPr>
              <w:tab/>
            </w:r>
            <w:r>
              <w:rPr>
                <w:noProof/>
                <w:webHidden/>
              </w:rPr>
              <w:fldChar w:fldCharType="begin"/>
            </w:r>
            <w:r>
              <w:rPr>
                <w:noProof/>
                <w:webHidden/>
              </w:rPr>
              <w:instrText xml:space="preserve"> PAGEREF _Toc86306106 \h </w:instrText>
            </w:r>
            <w:r>
              <w:rPr>
                <w:noProof/>
                <w:webHidden/>
              </w:rPr>
            </w:r>
            <w:r>
              <w:rPr>
                <w:noProof/>
                <w:webHidden/>
              </w:rPr>
              <w:fldChar w:fldCharType="separate"/>
            </w:r>
            <w:r>
              <w:rPr>
                <w:noProof/>
                <w:webHidden/>
              </w:rPr>
              <w:t>4</w:t>
            </w:r>
            <w:r>
              <w:rPr>
                <w:noProof/>
                <w:webHidden/>
              </w:rPr>
              <w:fldChar w:fldCharType="end"/>
            </w:r>
          </w:hyperlink>
        </w:p>
        <w:p w:rsidR="00EA2577" w:rsidRDefault="00EA2577">
          <w:pPr>
            <w:pStyle w:val="Sadraj1"/>
            <w:tabs>
              <w:tab w:val="left" w:pos="440"/>
              <w:tab w:val="right" w:leader="dot" w:pos="9062"/>
            </w:tabs>
            <w:rPr>
              <w:rFonts w:eastAsiaTheme="minorEastAsia"/>
              <w:noProof/>
              <w:lang w:val="hr-HR" w:eastAsia="hr-HR"/>
            </w:rPr>
          </w:pPr>
          <w:hyperlink w:anchor="_Toc86306107" w:history="1">
            <w:r w:rsidRPr="00B946BB">
              <w:rPr>
                <w:rStyle w:val="Hiperveza"/>
                <w:noProof/>
                <w:lang w:val="hr-HR"/>
              </w:rPr>
              <w:t>3.</w:t>
            </w:r>
            <w:r>
              <w:rPr>
                <w:rFonts w:eastAsiaTheme="minorEastAsia"/>
                <w:noProof/>
                <w:lang w:val="hr-HR" w:eastAsia="hr-HR"/>
              </w:rPr>
              <w:tab/>
            </w:r>
            <w:r w:rsidRPr="00B946BB">
              <w:rPr>
                <w:rStyle w:val="Hiperveza"/>
                <w:noProof/>
                <w:lang w:val="hr-HR"/>
              </w:rPr>
              <w:t>PRIHODI DRŽAVNOG PRORAČUNA</w:t>
            </w:r>
            <w:r>
              <w:rPr>
                <w:noProof/>
                <w:webHidden/>
              </w:rPr>
              <w:tab/>
            </w:r>
            <w:r>
              <w:rPr>
                <w:noProof/>
                <w:webHidden/>
              </w:rPr>
              <w:fldChar w:fldCharType="begin"/>
            </w:r>
            <w:r>
              <w:rPr>
                <w:noProof/>
                <w:webHidden/>
              </w:rPr>
              <w:instrText xml:space="preserve"> PAGEREF _Toc86306107 \h </w:instrText>
            </w:r>
            <w:r>
              <w:rPr>
                <w:noProof/>
                <w:webHidden/>
              </w:rPr>
            </w:r>
            <w:r>
              <w:rPr>
                <w:noProof/>
                <w:webHidden/>
              </w:rPr>
              <w:fldChar w:fldCharType="separate"/>
            </w:r>
            <w:r>
              <w:rPr>
                <w:noProof/>
                <w:webHidden/>
              </w:rPr>
              <w:t>6</w:t>
            </w:r>
            <w:r>
              <w:rPr>
                <w:noProof/>
                <w:webHidden/>
              </w:rPr>
              <w:fldChar w:fldCharType="end"/>
            </w:r>
          </w:hyperlink>
        </w:p>
        <w:p w:rsidR="00EA2577" w:rsidRDefault="00EA2577">
          <w:pPr>
            <w:pStyle w:val="Sadraj1"/>
            <w:tabs>
              <w:tab w:val="left" w:pos="440"/>
              <w:tab w:val="right" w:leader="dot" w:pos="9062"/>
            </w:tabs>
            <w:rPr>
              <w:rFonts w:eastAsiaTheme="minorEastAsia"/>
              <w:noProof/>
              <w:lang w:val="hr-HR" w:eastAsia="hr-HR"/>
            </w:rPr>
          </w:pPr>
          <w:hyperlink w:anchor="_Toc86306108" w:history="1">
            <w:r w:rsidRPr="00B946BB">
              <w:rPr>
                <w:rStyle w:val="Hiperveza"/>
                <w:noProof/>
                <w:lang w:val="hr-HR"/>
              </w:rPr>
              <w:t>4.</w:t>
            </w:r>
            <w:r>
              <w:rPr>
                <w:rFonts w:eastAsiaTheme="minorEastAsia"/>
                <w:noProof/>
                <w:lang w:val="hr-HR" w:eastAsia="hr-HR"/>
              </w:rPr>
              <w:tab/>
            </w:r>
            <w:r w:rsidRPr="00B946BB">
              <w:rPr>
                <w:rStyle w:val="Hiperveza"/>
                <w:noProof/>
                <w:lang w:val="hr-HR"/>
              </w:rPr>
              <w:t>RASHODI DRŽAVNOG PRORAČUNA</w:t>
            </w:r>
            <w:r>
              <w:rPr>
                <w:noProof/>
                <w:webHidden/>
              </w:rPr>
              <w:tab/>
            </w:r>
            <w:r>
              <w:rPr>
                <w:noProof/>
                <w:webHidden/>
              </w:rPr>
              <w:fldChar w:fldCharType="begin"/>
            </w:r>
            <w:r>
              <w:rPr>
                <w:noProof/>
                <w:webHidden/>
              </w:rPr>
              <w:instrText xml:space="preserve"> PAGEREF _Toc86306108 \h </w:instrText>
            </w:r>
            <w:r>
              <w:rPr>
                <w:noProof/>
                <w:webHidden/>
              </w:rPr>
            </w:r>
            <w:r>
              <w:rPr>
                <w:noProof/>
                <w:webHidden/>
              </w:rPr>
              <w:fldChar w:fldCharType="separate"/>
            </w:r>
            <w:r>
              <w:rPr>
                <w:noProof/>
                <w:webHidden/>
              </w:rPr>
              <w:t>10</w:t>
            </w:r>
            <w:r>
              <w:rPr>
                <w:noProof/>
                <w:webHidden/>
              </w:rPr>
              <w:fldChar w:fldCharType="end"/>
            </w:r>
          </w:hyperlink>
        </w:p>
        <w:p w:rsidR="00EA2577" w:rsidRDefault="00EA2577">
          <w:pPr>
            <w:pStyle w:val="Sadraj2"/>
            <w:tabs>
              <w:tab w:val="left" w:pos="880"/>
              <w:tab w:val="right" w:leader="dot" w:pos="9062"/>
            </w:tabs>
            <w:rPr>
              <w:rFonts w:eastAsiaTheme="minorEastAsia"/>
              <w:noProof/>
              <w:lang w:val="hr-HR" w:eastAsia="hr-HR"/>
            </w:rPr>
          </w:pPr>
          <w:hyperlink w:anchor="_Toc86306109" w:history="1">
            <w:r w:rsidRPr="00B946BB">
              <w:rPr>
                <w:rStyle w:val="Hiperveza"/>
                <w:rFonts w:cstheme="minorHAnsi"/>
                <w:noProof/>
                <w:lang w:val="hr-HR"/>
              </w:rPr>
              <w:t>4.1.</w:t>
            </w:r>
            <w:r>
              <w:rPr>
                <w:rFonts w:eastAsiaTheme="minorEastAsia"/>
                <w:noProof/>
                <w:lang w:val="hr-HR" w:eastAsia="hr-HR"/>
              </w:rPr>
              <w:tab/>
            </w:r>
            <w:r w:rsidRPr="00B946BB">
              <w:rPr>
                <w:rStyle w:val="Hiperveza"/>
                <w:rFonts w:cstheme="minorHAnsi"/>
                <w:noProof/>
                <w:lang w:val="hr-HR"/>
              </w:rPr>
              <w:t>Obrazloženje rashoda po ekonomskoj klasifikaciji</w:t>
            </w:r>
            <w:r>
              <w:rPr>
                <w:noProof/>
                <w:webHidden/>
              </w:rPr>
              <w:tab/>
            </w:r>
            <w:r>
              <w:rPr>
                <w:noProof/>
                <w:webHidden/>
              </w:rPr>
              <w:fldChar w:fldCharType="begin"/>
            </w:r>
            <w:r>
              <w:rPr>
                <w:noProof/>
                <w:webHidden/>
              </w:rPr>
              <w:instrText xml:space="preserve"> PAGEREF _Toc86306109 \h </w:instrText>
            </w:r>
            <w:r>
              <w:rPr>
                <w:noProof/>
                <w:webHidden/>
              </w:rPr>
            </w:r>
            <w:r>
              <w:rPr>
                <w:noProof/>
                <w:webHidden/>
              </w:rPr>
              <w:fldChar w:fldCharType="separate"/>
            </w:r>
            <w:r>
              <w:rPr>
                <w:noProof/>
                <w:webHidden/>
              </w:rPr>
              <w:t>11</w:t>
            </w:r>
            <w:r>
              <w:rPr>
                <w:noProof/>
                <w:webHidden/>
              </w:rPr>
              <w:fldChar w:fldCharType="end"/>
            </w:r>
          </w:hyperlink>
        </w:p>
        <w:p w:rsidR="00EA2577" w:rsidRDefault="00EA2577">
          <w:pPr>
            <w:pStyle w:val="Sadraj2"/>
            <w:tabs>
              <w:tab w:val="left" w:pos="880"/>
              <w:tab w:val="right" w:leader="dot" w:pos="9062"/>
            </w:tabs>
            <w:rPr>
              <w:rFonts w:eastAsiaTheme="minorEastAsia"/>
              <w:noProof/>
              <w:lang w:val="hr-HR" w:eastAsia="hr-HR"/>
            </w:rPr>
          </w:pPr>
          <w:hyperlink w:anchor="_Toc86306110" w:history="1">
            <w:r w:rsidRPr="00B946BB">
              <w:rPr>
                <w:rStyle w:val="Hiperveza"/>
                <w:rFonts w:cstheme="minorHAnsi"/>
                <w:noProof/>
                <w:lang w:val="hr-HR"/>
              </w:rPr>
              <w:t>4.2.</w:t>
            </w:r>
            <w:r>
              <w:rPr>
                <w:rFonts w:eastAsiaTheme="minorEastAsia"/>
                <w:noProof/>
                <w:lang w:val="hr-HR" w:eastAsia="hr-HR"/>
              </w:rPr>
              <w:tab/>
            </w:r>
            <w:r w:rsidRPr="00B946BB">
              <w:rPr>
                <w:rStyle w:val="Hiperveza"/>
                <w:rFonts w:cstheme="minorHAnsi"/>
                <w:noProof/>
                <w:lang w:val="hr-HR"/>
              </w:rPr>
              <w:t>Obrazloženje rashoda po funkcijskoj klasifikaciji</w:t>
            </w:r>
            <w:r>
              <w:rPr>
                <w:noProof/>
                <w:webHidden/>
              </w:rPr>
              <w:tab/>
            </w:r>
            <w:r>
              <w:rPr>
                <w:noProof/>
                <w:webHidden/>
              </w:rPr>
              <w:fldChar w:fldCharType="begin"/>
            </w:r>
            <w:r>
              <w:rPr>
                <w:noProof/>
                <w:webHidden/>
              </w:rPr>
              <w:instrText xml:space="preserve"> PAGEREF _Toc86306110 \h </w:instrText>
            </w:r>
            <w:r>
              <w:rPr>
                <w:noProof/>
                <w:webHidden/>
              </w:rPr>
            </w:r>
            <w:r>
              <w:rPr>
                <w:noProof/>
                <w:webHidden/>
              </w:rPr>
              <w:fldChar w:fldCharType="separate"/>
            </w:r>
            <w:r>
              <w:rPr>
                <w:noProof/>
                <w:webHidden/>
              </w:rPr>
              <w:t>13</w:t>
            </w:r>
            <w:r>
              <w:rPr>
                <w:noProof/>
                <w:webHidden/>
              </w:rPr>
              <w:fldChar w:fldCharType="end"/>
            </w:r>
          </w:hyperlink>
        </w:p>
        <w:p w:rsidR="00EA2577" w:rsidRDefault="00EA2577">
          <w:pPr>
            <w:pStyle w:val="Sadraj2"/>
            <w:tabs>
              <w:tab w:val="left" w:pos="880"/>
              <w:tab w:val="right" w:leader="dot" w:pos="9062"/>
            </w:tabs>
            <w:rPr>
              <w:rFonts w:eastAsiaTheme="minorEastAsia"/>
              <w:noProof/>
              <w:lang w:val="hr-HR" w:eastAsia="hr-HR"/>
            </w:rPr>
          </w:pPr>
          <w:hyperlink w:anchor="_Toc86306111" w:history="1">
            <w:r w:rsidRPr="00B946BB">
              <w:rPr>
                <w:rStyle w:val="Hiperveza"/>
                <w:rFonts w:cstheme="minorHAnsi"/>
                <w:noProof/>
                <w:lang w:val="hr-HR"/>
              </w:rPr>
              <w:t>4.3.</w:t>
            </w:r>
            <w:r>
              <w:rPr>
                <w:rFonts w:eastAsiaTheme="minorEastAsia"/>
                <w:noProof/>
                <w:lang w:val="hr-HR" w:eastAsia="hr-HR"/>
              </w:rPr>
              <w:tab/>
            </w:r>
            <w:r w:rsidRPr="00B946BB">
              <w:rPr>
                <w:rStyle w:val="Hiperveza"/>
                <w:rFonts w:cstheme="minorHAnsi"/>
                <w:noProof/>
                <w:lang w:val="hr-HR"/>
              </w:rPr>
              <w:t>Obrazloženje rashoda po izvorima financiranja</w:t>
            </w:r>
            <w:r>
              <w:rPr>
                <w:noProof/>
                <w:webHidden/>
              </w:rPr>
              <w:tab/>
            </w:r>
            <w:r>
              <w:rPr>
                <w:noProof/>
                <w:webHidden/>
              </w:rPr>
              <w:fldChar w:fldCharType="begin"/>
            </w:r>
            <w:r>
              <w:rPr>
                <w:noProof/>
                <w:webHidden/>
              </w:rPr>
              <w:instrText xml:space="preserve"> PAGEREF _Toc86306111 \h </w:instrText>
            </w:r>
            <w:r>
              <w:rPr>
                <w:noProof/>
                <w:webHidden/>
              </w:rPr>
            </w:r>
            <w:r>
              <w:rPr>
                <w:noProof/>
                <w:webHidden/>
              </w:rPr>
              <w:fldChar w:fldCharType="separate"/>
            </w:r>
            <w:r>
              <w:rPr>
                <w:noProof/>
                <w:webHidden/>
              </w:rPr>
              <w:t>14</w:t>
            </w:r>
            <w:r>
              <w:rPr>
                <w:noProof/>
                <w:webHidden/>
              </w:rPr>
              <w:fldChar w:fldCharType="end"/>
            </w:r>
          </w:hyperlink>
        </w:p>
        <w:p w:rsidR="00EA2577" w:rsidRDefault="00EA2577">
          <w:pPr>
            <w:pStyle w:val="Sadraj1"/>
            <w:tabs>
              <w:tab w:val="left" w:pos="440"/>
              <w:tab w:val="right" w:leader="dot" w:pos="9062"/>
            </w:tabs>
            <w:rPr>
              <w:rFonts w:eastAsiaTheme="minorEastAsia"/>
              <w:noProof/>
              <w:lang w:val="hr-HR" w:eastAsia="hr-HR"/>
            </w:rPr>
          </w:pPr>
          <w:hyperlink w:anchor="_Toc86306112" w:history="1">
            <w:r w:rsidRPr="00B946BB">
              <w:rPr>
                <w:rStyle w:val="Hiperveza"/>
                <w:noProof/>
                <w:lang w:val="hr-HR"/>
              </w:rPr>
              <w:t>5.</w:t>
            </w:r>
            <w:r>
              <w:rPr>
                <w:rFonts w:eastAsiaTheme="minorEastAsia"/>
                <w:noProof/>
                <w:lang w:val="hr-HR" w:eastAsia="hr-HR"/>
              </w:rPr>
              <w:tab/>
            </w:r>
            <w:r w:rsidRPr="00B946BB">
              <w:rPr>
                <w:rStyle w:val="Hiperveza"/>
                <w:noProof/>
                <w:lang w:val="hr-HR"/>
              </w:rPr>
              <w:t>UKUPNI MANJAK DRŽAVNOG PRORAČUNA</w:t>
            </w:r>
            <w:r>
              <w:rPr>
                <w:noProof/>
                <w:webHidden/>
              </w:rPr>
              <w:tab/>
            </w:r>
            <w:r>
              <w:rPr>
                <w:noProof/>
                <w:webHidden/>
              </w:rPr>
              <w:fldChar w:fldCharType="begin"/>
            </w:r>
            <w:r>
              <w:rPr>
                <w:noProof/>
                <w:webHidden/>
              </w:rPr>
              <w:instrText xml:space="preserve"> PAGEREF _Toc86306112 \h </w:instrText>
            </w:r>
            <w:r>
              <w:rPr>
                <w:noProof/>
                <w:webHidden/>
              </w:rPr>
            </w:r>
            <w:r>
              <w:rPr>
                <w:noProof/>
                <w:webHidden/>
              </w:rPr>
              <w:fldChar w:fldCharType="separate"/>
            </w:r>
            <w:r>
              <w:rPr>
                <w:noProof/>
                <w:webHidden/>
              </w:rPr>
              <w:t>15</w:t>
            </w:r>
            <w:r>
              <w:rPr>
                <w:noProof/>
                <w:webHidden/>
              </w:rPr>
              <w:fldChar w:fldCharType="end"/>
            </w:r>
          </w:hyperlink>
        </w:p>
        <w:p w:rsidR="00EA2577" w:rsidRDefault="00EA2577">
          <w:pPr>
            <w:pStyle w:val="Sadraj1"/>
            <w:tabs>
              <w:tab w:val="left" w:pos="440"/>
              <w:tab w:val="right" w:leader="dot" w:pos="9062"/>
            </w:tabs>
            <w:rPr>
              <w:rFonts w:eastAsiaTheme="minorEastAsia"/>
              <w:noProof/>
              <w:lang w:val="hr-HR" w:eastAsia="hr-HR"/>
            </w:rPr>
          </w:pPr>
          <w:hyperlink w:anchor="_Toc86306113" w:history="1">
            <w:r w:rsidRPr="00B946BB">
              <w:rPr>
                <w:rStyle w:val="Hiperveza"/>
                <w:noProof/>
                <w:lang w:val="hr-HR"/>
              </w:rPr>
              <w:t>6.</w:t>
            </w:r>
            <w:r>
              <w:rPr>
                <w:rFonts w:eastAsiaTheme="minorEastAsia"/>
                <w:noProof/>
                <w:lang w:val="hr-HR" w:eastAsia="hr-HR"/>
              </w:rPr>
              <w:tab/>
            </w:r>
            <w:r w:rsidRPr="00B946BB">
              <w:rPr>
                <w:rStyle w:val="Hiperveza"/>
                <w:noProof/>
                <w:lang w:val="hr-HR"/>
              </w:rPr>
              <w:t>RAČUN FINANCIRANJA DRŽAVNOG PRORAČUNA</w:t>
            </w:r>
            <w:r>
              <w:rPr>
                <w:noProof/>
                <w:webHidden/>
              </w:rPr>
              <w:tab/>
            </w:r>
            <w:r>
              <w:rPr>
                <w:noProof/>
                <w:webHidden/>
              </w:rPr>
              <w:fldChar w:fldCharType="begin"/>
            </w:r>
            <w:r>
              <w:rPr>
                <w:noProof/>
                <w:webHidden/>
              </w:rPr>
              <w:instrText xml:space="preserve"> PAGEREF _Toc86306113 \h </w:instrText>
            </w:r>
            <w:r>
              <w:rPr>
                <w:noProof/>
                <w:webHidden/>
              </w:rPr>
            </w:r>
            <w:r>
              <w:rPr>
                <w:noProof/>
                <w:webHidden/>
              </w:rPr>
              <w:fldChar w:fldCharType="separate"/>
            </w:r>
            <w:r>
              <w:rPr>
                <w:noProof/>
                <w:webHidden/>
              </w:rPr>
              <w:t>16</w:t>
            </w:r>
            <w:r>
              <w:rPr>
                <w:noProof/>
                <w:webHidden/>
              </w:rPr>
              <w:fldChar w:fldCharType="end"/>
            </w:r>
          </w:hyperlink>
        </w:p>
        <w:p w:rsidR="00EA2577" w:rsidRDefault="00EA2577">
          <w:pPr>
            <w:pStyle w:val="Sadraj1"/>
            <w:tabs>
              <w:tab w:val="left" w:pos="440"/>
              <w:tab w:val="right" w:leader="dot" w:pos="9062"/>
            </w:tabs>
            <w:rPr>
              <w:rFonts w:eastAsiaTheme="minorEastAsia"/>
              <w:noProof/>
              <w:lang w:val="hr-HR" w:eastAsia="hr-HR"/>
            </w:rPr>
          </w:pPr>
          <w:hyperlink w:anchor="_Toc86306114" w:history="1">
            <w:r w:rsidRPr="00B946BB">
              <w:rPr>
                <w:rStyle w:val="Hiperveza"/>
                <w:noProof/>
                <w:lang w:val="hr-HR"/>
              </w:rPr>
              <w:t>7.</w:t>
            </w:r>
            <w:r>
              <w:rPr>
                <w:rFonts w:eastAsiaTheme="minorEastAsia"/>
                <w:noProof/>
                <w:lang w:val="hr-HR" w:eastAsia="hr-HR"/>
              </w:rPr>
              <w:tab/>
            </w:r>
            <w:r w:rsidRPr="00B946BB">
              <w:rPr>
                <w:rStyle w:val="Hiperveza"/>
                <w:noProof/>
                <w:lang w:val="hr-HR"/>
              </w:rPr>
              <w:t>PROCJENA UKUPNOG MANJKA PRORAČUNA OPĆE DRŽAVE</w:t>
            </w:r>
            <w:r>
              <w:rPr>
                <w:noProof/>
                <w:webHidden/>
              </w:rPr>
              <w:tab/>
            </w:r>
            <w:r>
              <w:rPr>
                <w:noProof/>
                <w:webHidden/>
              </w:rPr>
              <w:fldChar w:fldCharType="begin"/>
            </w:r>
            <w:r>
              <w:rPr>
                <w:noProof/>
                <w:webHidden/>
              </w:rPr>
              <w:instrText xml:space="preserve"> PAGEREF _Toc86306114 \h </w:instrText>
            </w:r>
            <w:r>
              <w:rPr>
                <w:noProof/>
                <w:webHidden/>
              </w:rPr>
            </w:r>
            <w:r>
              <w:rPr>
                <w:noProof/>
                <w:webHidden/>
              </w:rPr>
              <w:fldChar w:fldCharType="separate"/>
            </w:r>
            <w:r>
              <w:rPr>
                <w:noProof/>
                <w:webHidden/>
              </w:rPr>
              <w:t>17</w:t>
            </w:r>
            <w:r>
              <w:rPr>
                <w:noProof/>
                <w:webHidden/>
              </w:rPr>
              <w:fldChar w:fldCharType="end"/>
            </w:r>
          </w:hyperlink>
        </w:p>
        <w:p w:rsidR="00025948" w:rsidRPr="009B5CBF" w:rsidRDefault="00025948">
          <w:pPr>
            <w:rPr>
              <w:lang w:val="hr-HR"/>
            </w:rPr>
          </w:pPr>
          <w:r w:rsidRPr="009B5CBF">
            <w:rPr>
              <w:b/>
              <w:bCs/>
              <w:lang w:val="hr-HR"/>
            </w:rPr>
            <w:fldChar w:fldCharType="end"/>
          </w:r>
        </w:p>
      </w:sdtContent>
    </w:sdt>
    <w:p w:rsidR="00C062D4" w:rsidRPr="009B5CBF" w:rsidRDefault="00C062D4" w:rsidP="00025948">
      <w:pPr>
        <w:rPr>
          <w:lang w:val="hr-HR"/>
        </w:rPr>
      </w:pPr>
      <w:bookmarkStart w:id="0" w:name="_GoBack"/>
      <w:bookmarkEnd w:id="0"/>
    </w:p>
    <w:p w:rsidR="00025948" w:rsidRPr="009B5CBF" w:rsidRDefault="00025948" w:rsidP="00025948">
      <w:pPr>
        <w:rPr>
          <w:lang w:val="hr-HR"/>
        </w:rPr>
      </w:pPr>
      <w:r w:rsidRPr="009B5CBF">
        <w:rPr>
          <w:lang w:val="hr-HR"/>
        </w:rPr>
        <w:br w:type="page"/>
      </w:r>
    </w:p>
    <w:p w:rsidR="00025948" w:rsidRPr="00731F4D" w:rsidRDefault="00025948" w:rsidP="00731F4D">
      <w:pPr>
        <w:pStyle w:val="Naslov1"/>
        <w:numPr>
          <w:ilvl w:val="0"/>
          <w:numId w:val="1"/>
        </w:numPr>
        <w:spacing w:after="240"/>
        <w:rPr>
          <w:lang w:val="hr-HR"/>
        </w:rPr>
      </w:pPr>
      <w:bookmarkStart w:id="1" w:name="_Toc468888687"/>
      <w:bookmarkStart w:id="2" w:name="_Toc86306105"/>
      <w:r w:rsidRPr="009B5CBF">
        <w:rPr>
          <w:lang w:val="hr-HR"/>
        </w:rPr>
        <w:lastRenderedPageBreak/>
        <w:t>UVOD</w:t>
      </w:r>
      <w:bookmarkEnd w:id="1"/>
      <w:bookmarkEnd w:id="2"/>
    </w:p>
    <w:p w:rsidR="00412A4D" w:rsidRDefault="00412A4D" w:rsidP="00196F0D">
      <w:pPr>
        <w:jc w:val="both"/>
        <w:rPr>
          <w:lang w:val="hr-HR"/>
        </w:rPr>
      </w:pPr>
      <w:bookmarkStart w:id="3" w:name="_Toc381720705"/>
      <w:bookmarkStart w:id="4" w:name="_Toc497069941"/>
      <w:r w:rsidRPr="00412A4D">
        <w:rPr>
          <w:lang w:val="hr-HR"/>
        </w:rPr>
        <w:t>Iako su gospodarska kretanja i dalje pod utjecajem COVID-19 epidemije, domaće gospodarstvo uspješno se prilagodilo novim uvjetima, što je vidljivo iz snažnog oporavka gospodarske aktivnosti. U prvoj polovici 2021. zabilježen je međugodišnji rast realnog BDP-a od 7,8%, pri čemu je u drugom tromjesečju zabilježena povijesno najveća stopa realnog rasta BDP-a od 16,5%, što je prva pozitivna stopa rasta nakon četiri tromjesečja pada.</w:t>
      </w:r>
      <w:r w:rsidR="00523FC5">
        <w:rPr>
          <w:lang w:val="hr-HR"/>
        </w:rPr>
        <w:t xml:space="preserve"> Snažni gospodarski oporavak pozitivno je utjecao </w:t>
      </w:r>
      <w:r w:rsidR="00B74F0B">
        <w:rPr>
          <w:lang w:val="hr-HR"/>
        </w:rPr>
        <w:t xml:space="preserve">na </w:t>
      </w:r>
      <w:r w:rsidR="00523FC5">
        <w:rPr>
          <w:lang w:val="hr-HR"/>
        </w:rPr>
        <w:t>ostvar</w:t>
      </w:r>
      <w:r w:rsidR="00AA256A">
        <w:rPr>
          <w:lang w:val="hr-HR"/>
        </w:rPr>
        <w:t>enje</w:t>
      </w:r>
      <w:r w:rsidR="00523FC5">
        <w:rPr>
          <w:lang w:val="hr-HR"/>
        </w:rPr>
        <w:t xml:space="preserve"> poreznih prihoda, poglavito poreza na dodanu vrijednost, čije je ostvarenje bilo bolje ne</w:t>
      </w:r>
      <w:r w:rsidR="00B74F0B">
        <w:rPr>
          <w:lang w:val="hr-HR"/>
        </w:rPr>
        <w:t>go što je planirano rebalansom d</w:t>
      </w:r>
      <w:r w:rsidR="00523FC5">
        <w:rPr>
          <w:lang w:val="hr-HR"/>
        </w:rPr>
        <w:t xml:space="preserve">ržavnog proračuna iz lipnja. No, pozitivni efekti koje je gospodarski oporavak imao na ostvarivanje proračunskih prihoda poništila je i dalje prisutna </w:t>
      </w:r>
      <w:proofErr w:type="spellStart"/>
      <w:r w:rsidR="00523FC5">
        <w:rPr>
          <w:lang w:val="hr-HR"/>
        </w:rPr>
        <w:t>pandemija</w:t>
      </w:r>
      <w:proofErr w:type="spellEnd"/>
      <w:r w:rsidR="00523FC5">
        <w:rPr>
          <w:lang w:val="hr-HR"/>
        </w:rPr>
        <w:t xml:space="preserve"> </w:t>
      </w:r>
      <w:proofErr w:type="spellStart"/>
      <w:r w:rsidR="00523FC5">
        <w:rPr>
          <w:lang w:val="hr-HR"/>
        </w:rPr>
        <w:t>koronavirusa</w:t>
      </w:r>
      <w:proofErr w:type="spellEnd"/>
      <w:r w:rsidR="00523FC5">
        <w:rPr>
          <w:lang w:val="hr-HR"/>
        </w:rPr>
        <w:t xml:space="preserve">, koja </w:t>
      </w:r>
      <w:r w:rsidR="00B74F0B">
        <w:rPr>
          <w:lang w:val="hr-HR"/>
        </w:rPr>
        <w:t xml:space="preserve">je </w:t>
      </w:r>
      <w:r w:rsidR="00523FC5">
        <w:rPr>
          <w:lang w:val="hr-HR"/>
        </w:rPr>
        <w:t xml:space="preserve">sa svim svojim popratnim efektima </w:t>
      </w:r>
      <w:r w:rsidR="00AA256A">
        <w:rPr>
          <w:lang w:val="hr-HR"/>
        </w:rPr>
        <w:t>dovela</w:t>
      </w:r>
      <w:r w:rsidR="00523FC5">
        <w:rPr>
          <w:lang w:val="hr-HR"/>
        </w:rPr>
        <w:t xml:space="preserve"> do </w:t>
      </w:r>
      <w:r w:rsidR="00AA256A">
        <w:rPr>
          <w:lang w:val="hr-HR"/>
        </w:rPr>
        <w:t>daljnjeg rasta rashoda državnog proračuna</w:t>
      </w:r>
      <w:r w:rsidR="00523FC5">
        <w:rPr>
          <w:lang w:val="hr-HR"/>
        </w:rPr>
        <w:t xml:space="preserve">. </w:t>
      </w:r>
    </w:p>
    <w:p w:rsidR="00D27947" w:rsidRPr="00B14811" w:rsidRDefault="006F38A8" w:rsidP="00196F0D">
      <w:pPr>
        <w:jc w:val="both"/>
        <w:rPr>
          <w:lang w:val="hr-HR"/>
        </w:rPr>
      </w:pPr>
      <w:r w:rsidRPr="00D27947">
        <w:rPr>
          <w:lang w:val="hr-HR"/>
        </w:rPr>
        <w:t xml:space="preserve">Unatoč padu BDP-a u 2020. godini koje je pratilo rast </w:t>
      </w:r>
      <w:r w:rsidR="00B74F0B">
        <w:rPr>
          <w:lang w:val="hr-HR"/>
        </w:rPr>
        <w:t>manjka</w:t>
      </w:r>
      <w:r w:rsidRPr="00D27947">
        <w:rPr>
          <w:lang w:val="hr-HR"/>
        </w:rPr>
        <w:t xml:space="preserve"> proračuna opće države, kao i rast javnog duga</w:t>
      </w:r>
      <w:r w:rsidR="00C60125" w:rsidRPr="00D27947">
        <w:rPr>
          <w:lang w:val="hr-HR"/>
        </w:rPr>
        <w:t xml:space="preserve">, </w:t>
      </w:r>
      <w:r w:rsidRPr="00D27947">
        <w:rPr>
          <w:lang w:val="hr-HR"/>
        </w:rPr>
        <w:t>odgovorno vođenje</w:t>
      </w:r>
      <w:r w:rsidR="00196F0D" w:rsidRPr="00D27947">
        <w:rPr>
          <w:lang w:val="hr-HR"/>
        </w:rPr>
        <w:t xml:space="preserve"> ekonomske politike</w:t>
      </w:r>
      <w:r w:rsidRPr="00D27947">
        <w:rPr>
          <w:lang w:val="hr-HR"/>
        </w:rPr>
        <w:t xml:space="preserve"> i pravovremeni odgovor na sve šokove koje</w:t>
      </w:r>
      <w:r w:rsidR="00790CDC">
        <w:rPr>
          <w:lang w:val="hr-HR"/>
        </w:rPr>
        <w:t>m</w:t>
      </w:r>
      <w:r w:rsidRPr="00D27947">
        <w:rPr>
          <w:lang w:val="hr-HR"/>
        </w:rPr>
        <w:t xml:space="preserve"> je gospodarstvo </w:t>
      </w:r>
      <w:r w:rsidR="00790CDC">
        <w:rPr>
          <w:lang w:val="hr-HR"/>
        </w:rPr>
        <w:t>bilo izloženo</w:t>
      </w:r>
      <w:r w:rsidR="00B74F0B">
        <w:rPr>
          <w:lang w:val="hr-HR"/>
        </w:rPr>
        <w:t>,</w:t>
      </w:r>
      <w:r w:rsidR="00196F0D" w:rsidRPr="00D27947">
        <w:rPr>
          <w:lang w:val="hr-HR"/>
        </w:rPr>
        <w:t xml:space="preserve"> prepoznato je i od strane međunarodnih financijskih institucija i rejting agencija koje </w:t>
      </w:r>
      <w:r w:rsidR="00B74F0B">
        <w:rPr>
          <w:lang w:val="hr-HR"/>
        </w:rPr>
        <w:t xml:space="preserve">su </w:t>
      </w:r>
      <w:r w:rsidR="00196F0D" w:rsidRPr="00D27947">
        <w:rPr>
          <w:lang w:val="hr-HR"/>
        </w:rPr>
        <w:t>zadržale kreditni rejt</w:t>
      </w:r>
      <w:r w:rsidR="00D27947" w:rsidRPr="00D27947">
        <w:rPr>
          <w:lang w:val="hr-HR"/>
        </w:rPr>
        <w:t>ing RH na razini investicijskog</w:t>
      </w:r>
      <w:r w:rsidR="00196F0D" w:rsidRPr="00D27947">
        <w:rPr>
          <w:lang w:val="hr-HR"/>
        </w:rPr>
        <w:t xml:space="preserve">. </w:t>
      </w:r>
      <w:r w:rsidR="00D27947" w:rsidRPr="00D27947">
        <w:rPr>
          <w:lang w:val="hr-HR"/>
        </w:rPr>
        <w:t>Odgovorno i učinkovito upravljanje krizom rezultiralo je snažnim gospodarskim rastom u 2021.</w:t>
      </w:r>
      <w:r w:rsidR="00B74F0B">
        <w:rPr>
          <w:lang w:val="hr-HR"/>
        </w:rPr>
        <w:t xml:space="preserve"> od 9%, čime je već ove godine premašena </w:t>
      </w:r>
      <w:r w:rsidR="00B74F0B" w:rsidRPr="00B14811">
        <w:rPr>
          <w:lang w:val="hr-HR"/>
        </w:rPr>
        <w:t>razina realnog BDP-a iz 2019. godine.</w:t>
      </w:r>
      <w:r w:rsidR="00D27947" w:rsidRPr="00B14811">
        <w:rPr>
          <w:lang w:val="hr-HR"/>
        </w:rPr>
        <w:t xml:space="preserve"> </w:t>
      </w:r>
    </w:p>
    <w:p w:rsidR="00196F0D" w:rsidRPr="00B74F0B" w:rsidRDefault="00B74F0B" w:rsidP="00196F0D">
      <w:pPr>
        <w:jc w:val="both"/>
        <w:rPr>
          <w:lang w:val="hr-HR"/>
        </w:rPr>
      </w:pPr>
      <w:r w:rsidRPr="00B14811">
        <w:rPr>
          <w:lang w:val="hr-HR"/>
        </w:rPr>
        <w:t>Izvoz roba i usluga</w:t>
      </w:r>
      <w:r w:rsidR="00196F0D" w:rsidRPr="00B14811">
        <w:rPr>
          <w:lang w:val="hr-HR"/>
        </w:rPr>
        <w:t xml:space="preserve"> bit će glavni pokretač rasta u 2021. godini, a snažan doprinos rastu doći će i od </w:t>
      </w:r>
      <w:r w:rsidRPr="00B14811">
        <w:rPr>
          <w:lang w:val="hr-HR"/>
        </w:rPr>
        <w:t xml:space="preserve">osobne potrošnje te od </w:t>
      </w:r>
      <w:r w:rsidR="00196F0D" w:rsidRPr="00B14811">
        <w:rPr>
          <w:lang w:val="hr-HR"/>
        </w:rPr>
        <w:t xml:space="preserve">bruto investicija u fiksni kapital. U manjoj mjeri, rastu BDP-a pozitivno će doprinijeti </w:t>
      </w:r>
      <w:r w:rsidRPr="00B14811">
        <w:rPr>
          <w:lang w:val="hr-HR"/>
        </w:rPr>
        <w:t xml:space="preserve">i </w:t>
      </w:r>
      <w:r w:rsidR="00196F0D" w:rsidRPr="00B14811">
        <w:rPr>
          <w:lang w:val="hr-HR"/>
        </w:rPr>
        <w:t>državna potrošnja</w:t>
      </w:r>
      <w:r w:rsidRPr="00B14811">
        <w:rPr>
          <w:lang w:val="hr-HR"/>
        </w:rPr>
        <w:t>.</w:t>
      </w:r>
    </w:p>
    <w:p w:rsidR="00C41D6F" w:rsidRPr="00C41D6F" w:rsidRDefault="00B50485" w:rsidP="00196F0D">
      <w:pPr>
        <w:jc w:val="both"/>
        <w:rPr>
          <w:lang w:val="hr-HR"/>
        </w:rPr>
      </w:pPr>
      <w:r w:rsidRPr="00C41D6F">
        <w:rPr>
          <w:lang w:val="hr-HR"/>
        </w:rPr>
        <w:t xml:space="preserve">Ovim Izmjenama i dopunama </w:t>
      </w:r>
      <w:r w:rsidR="007A4B97" w:rsidRPr="00C41D6F">
        <w:rPr>
          <w:lang w:val="hr-HR"/>
        </w:rPr>
        <w:t>Državnog proračuna za 2021. godini ukupni prihodi</w:t>
      </w:r>
      <w:r w:rsidR="00EC1365" w:rsidRPr="00C41D6F">
        <w:rPr>
          <w:lang w:val="hr-HR"/>
        </w:rPr>
        <w:t xml:space="preserve"> iznose 15</w:t>
      </w:r>
      <w:r w:rsidR="00003D5E" w:rsidRPr="00C41D6F">
        <w:rPr>
          <w:lang w:val="hr-HR"/>
        </w:rPr>
        <w:t>3</w:t>
      </w:r>
      <w:r w:rsidR="00EC1365" w:rsidRPr="00C41D6F">
        <w:rPr>
          <w:lang w:val="hr-HR"/>
        </w:rPr>
        <w:t>,</w:t>
      </w:r>
      <w:r w:rsidR="00003D5E" w:rsidRPr="00C41D6F">
        <w:rPr>
          <w:lang w:val="hr-HR"/>
        </w:rPr>
        <w:t>6</w:t>
      </w:r>
      <w:r w:rsidR="00EC1365" w:rsidRPr="00C41D6F">
        <w:rPr>
          <w:lang w:val="hr-HR"/>
        </w:rPr>
        <w:t xml:space="preserve"> milijarde kuna, odnosno</w:t>
      </w:r>
      <w:r w:rsidR="007A4B97" w:rsidRPr="00C41D6F">
        <w:rPr>
          <w:lang w:val="hr-HR"/>
        </w:rPr>
        <w:t xml:space="preserve"> povećavaju se za 3</w:t>
      </w:r>
      <w:r w:rsidR="00003D5E" w:rsidRPr="00C41D6F">
        <w:rPr>
          <w:lang w:val="hr-HR"/>
        </w:rPr>
        <w:t>,3</w:t>
      </w:r>
      <w:r w:rsidR="007A4B97" w:rsidRPr="00C41D6F">
        <w:rPr>
          <w:lang w:val="hr-HR"/>
        </w:rPr>
        <w:t xml:space="preserve"> milijarde kuna</w:t>
      </w:r>
      <w:r w:rsidRPr="00C41D6F">
        <w:rPr>
          <w:lang w:val="hr-HR"/>
        </w:rPr>
        <w:t xml:space="preserve"> u odnosu na prvotni </w:t>
      </w:r>
      <w:r w:rsidR="00003D5E" w:rsidRPr="00C41D6F">
        <w:rPr>
          <w:lang w:val="hr-HR"/>
        </w:rPr>
        <w:t xml:space="preserve">rebalans iz lipnja </w:t>
      </w:r>
      <w:r w:rsidRPr="00C41D6F">
        <w:rPr>
          <w:lang w:val="hr-HR"/>
        </w:rPr>
        <w:t>2021. i to</w:t>
      </w:r>
      <w:r w:rsidR="007A4B97" w:rsidRPr="00C41D6F">
        <w:rPr>
          <w:lang w:val="hr-HR"/>
        </w:rPr>
        <w:t xml:space="preserve"> kao rezultat povećanja </w:t>
      </w:r>
      <w:r w:rsidR="00C41D6F" w:rsidRPr="00C41D6F">
        <w:rPr>
          <w:lang w:val="hr-HR"/>
        </w:rPr>
        <w:t xml:space="preserve">ponajviše poreznih prihoda, odnosno PDV-a za 2,5 milijardi kuna. </w:t>
      </w:r>
    </w:p>
    <w:p w:rsidR="007A4B97" w:rsidRPr="000674BE" w:rsidRDefault="007A4B97" w:rsidP="00196F0D">
      <w:pPr>
        <w:jc w:val="both"/>
        <w:rPr>
          <w:highlight w:val="yellow"/>
          <w:lang w:val="hr-HR"/>
        </w:rPr>
      </w:pPr>
      <w:r w:rsidRPr="00C41D6F">
        <w:rPr>
          <w:lang w:val="hr-HR"/>
        </w:rPr>
        <w:t xml:space="preserve">S druge strane, ukupni rashodi državnog proračuna povećavaju se za </w:t>
      </w:r>
      <w:r w:rsidR="00C41D6F" w:rsidRPr="00C41D6F">
        <w:rPr>
          <w:lang w:val="hr-HR"/>
        </w:rPr>
        <w:t>6</w:t>
      </w:r>
      <w:r w:rsidR="001A487B" w:rsidRPr="00C41D6F">
        <w:rPr>
          <w:lang w:val="hr-HR"/>
        </w:rPr>
        <w:t xml:space="preserve"> milijarde kuna odnosno planirani su u iznosu od </w:t>
      </w:r>
      <w:r w:rsidR="00C41D6F" w:rsidRPr="00C41D6F">
        <w:rPr>
          <w:lang w:val="hr-HR"/>
        </w:rPr>
        <w:t>173,3</w:t>
      </w:r>
      <w:r w:rsidR="001A487B" w:rsidRPr="00C41D6F">
        <w:rPr>
          <w:lang w:val="hr-HR"/>
        </w:rPr>
        <w:t xml:space="preserve"> milijarde kuna.</w:t>
      </w:r>
      <w:r w:rsidR="00665B80" w:rsidRPr="00C41D6F">
        <w:rPr>
          <w:lang w:val="hr-HR"/>
        </w:rPr>
        <w:t xml:space="preserve"> Od navedenog povećanja rashodi koji se financiraju iz izvora koji utječu na rezultat proračuna opće države, a to su opći prihodi i primici, doprinosi i namjenski primici, povećavaju se za 7,1 milijardu kuna, dok se rashodi koji se financiraju iz izvora koji ne utječu na rezultat proračuna opće države (EU i ostali izvori) </w:t>
      </w:r>
      <w:r w:rsidR="00C41D6F" w:rsidRPr="00C41D6F">
        <w:rPr>
          <w:lang w:val="hr-HR"/>
        </w:rPr>
        <w:t>smanjuju</w:t>
      </w:r>
      <w:r w:rsidR="00665B80" w:rsidRPr="00C41D6F">
        <w:rPr>
          <w:lang w:val="hr-HR"/>
        </w:rPr>
        <w:t xml:space="preserve"> za </w:t>
      </w:r>
      <w:r w:rsidR="00C41D6F" w:rsidRPr="00C41D6F">
        <w:rPr>
          <w:lang w:val="hr-HR"/>
        </w:rPr>
        <w:t>1,1</w:t>
      </w:r>
      <w:r w:rsidR="00665B80" w:rsidRPr="00C41D6F">
        <w:rPr>
          <w:lang w:val="hr-HR"/>
        </w:rPr>
        <w:t xml:space="preserve"> milijard</w:t>
      </w:r>
      <w:r w:rsidR="00C41D6F" w:rsidRPr="00C41D6F">
        <w:rPr>
          <w:lang w:val="hr-HR"/>
        </w:rPr>
        <w:t>u</w:t>
      </w:r>
      <w:r w:rsidR="00665B80" w:rsidRPr="00C41D6F">
        <w:rPr>
          <w:lang w:val="hr-HR"/>
        </w:rPr>
        <w:t xml:space="preserve"> kuna.</w:t>
      </w:r>
    </w:p>
    <w:p w:rsidR="00196F0D" w:rsidRDefault="001A487B" w:rsidP="00FF472D">
      <w:pPr>
        <w:jc w:val="both"/>
        <w:rPr>
          <w:lang w:val="hr-HR"/>
        </w:rPr>
      </w:pPr>
      <w:r w:rsidRPr="00C41D6F">
        <w:rPr>
          <w:lang w:val="hr-HR"/>
        </w:rPr>
        <w:t xml:space="preserve">Sukladno planiranim prihodima i rashodima, očekuje se da će državni proračun zabilježiti manjak u iznosu od </w:t>
      </w:r>
      <w:r w:rsidR="00C41D6F" w:rsidRPr="00C41D6F">
        <w:rPr>
          <w:lang w:val="hr-HR"/>
        </w:rPr>
        <w:t>19,7</w:t>
      </w:r>
      <w:r w:rsidR="002C4294" w:rsidRPr="00C41D6F">
        <w:rPr>
          <w:lang w:val="hr-HR"/>
        </w:rPr>
        <w:t xml:space="preserve"> milijard</w:t>
      </w:r>
      <w:r w:rsidR="00C41D6F" w:rsidRPr="00C41D6F">
        <w:rPr>
          <w:lang w:val="hr-HR"/>
        </w:rPr>
        <w:t>i</w:t>
      </w:r>
      <w:r w:rsidR="002C4294" w:rsidRPr="00C41D6F">
        <w:rPr>
          <w:lang w:val="hr-HR"/>
        </w:rPr>
        <w:t xml:space="preserve"> kuna ili 4,</w:t>
      </w:r>
      <w:r w:rsidR="00C41D6F" w:rsidRPr="00C41D6F">
        <w:rPr>
          <w:lang w:val="hr-HR"/>
        </w:rPr>
        <w:t>7</w:t>
      </w:r>
      <w:r w:rsidRPr="00C41D6F">
        <w:rPr>
          <w:lang w:val="hr-HR"/>
        </w:rPr>
        <w:t xml:space="preserve">% BDP-a. Opća država prema ESA 2010 metodologiji imat će manjak u iznosu od </w:t>
      </w:r>
      <w:r w:rsidR="00C41D6F" w:rsidRPr="00C41D6F">
        <w:rPr>
          <w:lang w:val="hr-HR"/>
        </w:rPr>
        <w:t>18,9</w:t>
      </w:r>
      <w:r w:rsidRPr="00C41D6F">
        <w:rPr>
          <w:lang w:val="hr-HR"/>
        </w:rPr>
        <w:t xml:space="preserve"> milijardi kuna ili </w:t>
      </w:r>
      <w:r w:rsidR="00C41D6F" w:rsidRPr="00C41D6F">
        <w:rPr>
          <w:lang w:val="hr-HR"/>
        </w:rPr>
        <w:t>4,5</w:t>
      </w:r>
      <w:r w:rsidRPr="00C41D6F">
        <w:rPr>
          <w:lang w:val="hr-HR"/>
        </w:rPr>
        <w:t>% BD</w:t>
      </w:r>
      <w:r w:rsidRPr="00F32EC6">
        <w:rPr>
          <w:lang w:val="hr-HR"/>
        </w:rPr>
        <w:t>P-a. Temeljem kretanja fiskalnog salda proračuna opće države očekuje se da će udio javnog duga u BDP-u u 202</w:t>
      </w:r>
      <w:r w:rsidR="002C4294" w:rsidRPr="00F32EC6">
        <w:rPr>
          <w:lang w:val="hr-HR"/>
        </w:rPr>
        <w:t>1</w:t>
      </w:r>
      <w:r w:rsidRPr="00F32EC6">
        <w:rPr>
          <w:lang w:val="hr-HR"/>
        </w:rPr>
        <w:t xml:space="preserve">. zabilježiti </w:t>
      </w:r>
      <w:r w:rsidR="002C4294" w:rsidRPr="00F32EC6">
        <w:rPr>
          <w:lang w:val="hr-HR"/>
        </w:rPr>
        <w:t xml:space="preserve">smanjenje od </w:t>
      </w:r>
      <w:r w:rsidR="00F32EC6" w:rsidRPr="00F32EC6">
        <w:rPr>
          <w:lang w:val="hr-HR"/>
        </w:rPr>
        <w:t>4</w:t>
      </w:r>
      <w:r w:rsidR="002C4294" w:rsidRPr="00F32EC6">
        <w:rPr>
          <w:lang w:val="hr-HR"/>
        </w:rPr>
        <w:t>,2</w:t>
      </w:r>
      <w:r w:rsidRPr="00F32EC6">
        <w:rPr>
          <w:lang w:val="hr-HR"/>
        </w:rPr>
        <w:t xml:space="preserve"> postotn</w:t>
      </w:r>
      <w:r w:rsidR="002C4294" w:rsidRPr="00F32EC6">
        <w:rPr>
          <w:lang w:val="hr-HR"/>
        </w:rPr>
        <w:t>a</w:t>
      </w:r>
      <w:r w:rsidRPr="00F32EC6">
        <w:rPr>
          <w:lang w:val="hr-HR"/>
        </w:rPr>
        <w:t xml:space="preserve"> boda u odnosu </w:t>
      </w:r>
      <w:r w:rsidR="002C4294" w:rsidRPr="00F32EC6">
        <w:rPr>
          <w:lang w:val="hr-HR"/>
        </w:rPr>
        <w:t>godinu ranije</w:t>
      </w:r>
      <w:r w:rsidRPr="00F32EC6">
        <w:rPr>
          <w:lang w:val="hr-HR"/>
        </w:rPr>
        <w:t xml:space="preserve"> te će iznositi </w:t>
      </w:r>
      <w:r w:rsidR="00F32EC6" w:rsidRPr="00F32EC6">
        <w:rPr>
          <w:lang w:val="hr-HR"/>
        </w:rPr>
        <w:t>83,1</w:t>
      </w:r>
      <w:r w:rsidRPr="00F32EC6">
        <w:rPr>
          <w:lang w:val="hr-HR"/>
        </w:rPr>
        <w:t>% BDP-a.</w:t>
      </w:r>
    </w:p>
    <w:p w:rsidR="00501B37" w:rsidRDefault="00501B37" w:rsidP="00FF472D">
      <w:pPr>
        <w:jc w:val="both"/>
        <w:rPr>
          <w:lang w:val="hr-HR"/>
        </w:rPr>
      </w:pPr>
    </w:p>
    <w:p w:rsidR="00501B37" w:rsidRDefault="00501B37" w:rsidP="00FF472D">
      <w:pPr>
        <w:jc w:val="both"/>
        <w:rPr>
          <w:lang w:val="hr-HR"/>
        </w:rPr>
      </w:pPr>
    </w:p>
    <w:p w:rsidR="00501B37" w:rsidRPr="00FF472D" w:rsidRDefault="00501B37" w:rsidP="00FF472D">
      <w:pPr>
        <w:jc w:val="both"/>
        <w:rPr>
          <w:lang w:val="hr-HR"/>
        </w:rPr>
      </w:pPr>
    </w:p>
    <w:p w:rsidR="00025948" w:rsidRPr="009B5CBF" w:rsidRDefault="00025948" w:rsidP="00025948">
      <w:pPr>
        <w:pStyle w:val="Naslov1"/>
        <w:numPr>
          <w:ilvl w:val="0"/>
          <w:numId w:val="1"/>
        </w:numPr>
        <w:rPr>
          <w:lang w:val="hr-HR"/>
        </w:rPr>
      </w:pPr>
      <w:bookmarkStart w:id="5" w:name="_Toc86306106"/>
      <w:r w:rsidRPr="009B5CBF">
        <w:rPr>
          <w:lang w:val="hr-HR"/>
        </w:rPr>
        <w:lastRenderedPageBreak/>
        <w:t>MAKROEKONOMSKI OKVIR</w:t>
      </w:r>
      <w:bookmarkEnd w:id="3"/>
      <w:bookmarkEnd w:id="4"/>
      <w:bookmarkEnd w:id="5"/>
    </w:p>
    <w:p w:rsidR="004C0D92" w:rsidRDefault="004C0D92" w:rsidP="00196F0D">
      <w:pPr>
        <w:jc w:val="both"/>
        <w:rPr>
          <w:rFonts w:cs="Times New Roman"/>
          <w:lang w:val="hr-HR"/>
        </w:rPr>
      </w:pPr>
    </w:p>
    <w:p w:rsidR="00B14811" w:rsidRPr="00B14811" w:rsidRDefault="00B14811" w:rsidP="00B14811">
      <w:pPr>
        <w:jc w:val="both"/>
        <w:rPr>
          <w:highlight w:val="yellow"/>
          <w:lang w:val="hr-HR"/>
        </w:rPr>
      </w:pPr>
      <w:r w:rsidRPr="00B14811">
        <w:rPr>
          <w:lang w:val="hr-HR"/>
        </w:rPr>
        <w:t>Iako su gospodarska kretanja i dalje pod utjecajem COVID-19 epidemije, domaće gospodarstvo uspješno se prilagodilo novim uvjetima, što je vidljivo iz snažnog oporavka gospodarske aktivnosti. U prvoj polovici 2021. zabilježen je međugodišnji rast realnog BDP-a od 7,8%, pri čemu je u drugom tromjesečju zabilježena stopa realnog rasta BDP-a od 16,5%, što je prva pozitivna stopa rasta nakon četiri tromjesečja pada. U prvoj polovici 2021. rastu realnog BDP-a snažno je doprinijela domaća potražnja, dok je neto inozemna potražnja zabilježila tek blagi pozitivan doprinos. Gledajući pojedinačne komponente s rashodne strane, najveći doprinos povećanju realnog BDP-a u prvoj polovici 2021. stigao je od povećanja izvoza roba i usluga od 20,5% i to ponajprije uslijed snažnog rasta izvoza roba, a u manjoj mjeri i rasta izvoza usluga. Povećanju realnog BDP-a u prvoj polovici 2021. snažno je doprinijelo i međugodišnje povećanje potrošnje kućanstava od 8,5% te međugodišnje povećanje bruto investicija u fiksni kapital od 11,3%. Blagi pozitivan doprinos kretanju BDP-a stigao je i od rasta državne potrošnje od 1,3%. Negativan doprinos kretanju BDP-a u prvom polugodištu 2021. stigao je od rasta uvoza roba i usluga od 14,2%, prvenstveno kao posljedica snažnog međugodišnjeg rasta uvoza roba u drugom tromjesečju 2021.</w:t>
      </w:r>
    </w:p>
    <w:p w:rsidR="00B14811" w:rsidRPr="00B14811" w:rsidRDefault="00B14811" w:rsidP="00B14811">
      <w:pPr>
        <w:pStyle w:val="Opisslike"/>
        <w:spacing w:before="240"/>
        <w:jc w:val="both"/>
        <w:rPr>
          <w:rFonts w:asciiTheme="minorHAnsi" w:hAnsiTheme="minorHAnsi"/>
          <w:b w:val="0"/>
          <w:i/>
          <w:sz w:val="22"/>
          <w:szCs w:val="22"/>
        </w:rPr>
      </w:pPr>
      <w:r w:rsidRPr="00B14811">
        <w:rPr>
          <w:rFonts w:asciiTheme="minorHAnsi" w:hAnsiTheme="minorHAnsi"/>
          <w:b w:val="0"/>
          <w:i/>
          <w:sz w:val="22"/>
          <w:szCs w:val="22"/>
        </w:rPr>
        <w:t xml:space="preserve">Tablica </w:t>
      </w:r>
      <w:r w:rsidRPr="00B14811">
        <w:rPr>
          <w:rFonts w:asciiTheme="minorHAnsi" w:hAnsiTheme="minorHAnsi"/>
          <w:b w:val="0"/>
          <w:i/>
          <w:sz w:val="22"/>
          <w:szCs w:val="22"/>
        </w:rPr>
        <w:fldChar w:fldCharType="begin"/>
      </w:r>
      <w:r w:rsidRPr="00B14811">
        <w:rPr>
          <w:rFonts w:asciiTheme="minorHAnsi" w:hAnsiTheme="minorHAnsi"/>
          <w:b w:val="0"/>
          <w:i/>
          <w:sz w:val="22"/>
          <w:szCs w:val="22"/>
        </w:rPr>
        <w:instrText xml:space="preserve"> SEQ Tablica \* ARABIC </w:instrText>
      </w:r>
      <w:r w:rsidRPr="00B14811">
        <w:rPr>
          <w:rFonts w:asciiTheme="minorHAnsi" w:hAnsiTheme="minorHAnsi"/>
          <w:b w:val="0"/>
          <w:i/>
          <w:sz w:val="22"/>
          <w:szCs w:val="22"/>
        </w:rPr>
        <w:fldChar w:fldCharType="separate"/>
      </w:r>
      <w:r w:rsidR="00CD730D">
        <w:rPr>
          <w:rFonts w:asciiTheme="minorHAnsi" w:hAnsiTheme="minorHAnsi"/>
          <w:b w:val="0"/>
          <w:i/>
          <w:noProof/>
          <w:sz w:val="22"/>
          <w:szCs w:val="22"/>
        </w:rPr>
        <w:t>1</w:t>
      </w:r>
      <w:r w:rsidRPr="00B14811">
        <w:rPr>
          <w:rFonts w:asciiTheme="minorHAnsi" w:hAnsiTheme="minorHAnsi"/>
          <w:b w:val="0"/>
          <w:i/>
          <w:sz w:val="22"/>
          <w:szCs w:val="22"/>
        </w:rPr>
        <w:fldChar w:fldCharType="end"/>
      </w:r>
      <w:r w:rsidRPr="00B14811">
        <w:rPr>
          <w:rFonts w:asciiTheme="minorHAnsi" w:hAnsiTheme="minorHAnsi"/>
          <w:b w:val="0"/>
          <w:i/>
          <w:sz w:val="22"/>
          <w:szCs w:val="22"/>
        </w:rPr>
        <w:t xml:space="preserve">. Osnovni makroekonomski pokazatelji Republike Hrvatske </w:t>
      </w:r>
    </w:p>
    <w:p w:rsidR="00B14811" w:rsidRPr="00B14811" w:rsidRDefault="00B14811" w:rsidP="00B14811">
      <w:pPr>
        <w:rPr>
          <w:lang w:val="hr-HR"/>
        </w:rPr>
      </w:pPr>
      <w:r w:rsidRPr="00B14811">
        <w:rPr>
          <w:noProof/>
          <w:lang w:val="hr-HR" w:eastAsia="hr-HR"/>
        </w:rPr>
        <w:drawing>
          <wp:inline distT="0" distB="0" distL="0" distR="0" wp14:anchorId="58AF7B60" wp14:editId="5F1D05B6">
            <wp:extent cx="5943600" cy="2752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752725"/>
                    </a:xfrm>
                    <a:prstGeom prst="rect">
                      <a:avLst/>
                    </a:prstGeom>
                    <a:noFill/>
                    <a:ln>
                      <a:noFill/>
                    </a:ln>
                  </pic:spPr>
                </pic:pic>
              </a:graphicData>
            </a:graphic>
          </wp:inline>
        </w:drawing>
      </w:r>
      <w:r w:rsidRPr="00B14811">
        <w:rPr>
          <w:lang w:val="hr-HR"/>
        </w:rPr>
        <w:br/>
      </w:r>
      <w:r w:rsidRPr="00B14811">
        <w:rPr>
          <w:rFonts w:cs="Times New Roman"/>
          <w:i/>
          <w:color w:val="000000"/>
          <w:lang w:val="hr-HR"/>
        </w:rPr>
        <w:t xml:space="preserve">Izvor: Državni zavod za statistiku, Hrvatski zavod za mirovinsko osiguranje </w:t>
      </w:r>
    </w:p>
    <w:p w:rsidR="00B14811" w:rsidRPr="00B14811" w:rsidRDefault="00B14811" w:rsidP="00B14811">
      <w:pPr>
        <w:jc w:val="both"/>
        <w:rPr>
          <w:lang w:val="hr-HR"/>
        </w:rPr>
      </w:pPr>
      <w:r w:rsidRPr="00B14811">
        <w:rPr>
          <w:lang w:val="hr-HR"/>
        </w:rPr>
        <w:t xml:space="preserve">Visokofrekventni pokazatelji ukazuju na nastavak snažnog oporavka gospodarske aktivnosti tijekom trećeg tromjesečja ove godine. Izrazito povoljna epidemiološka situacija u kombinaciji s kvalitetnom pripremom za novu turističku sezonu dovela je do turističkih rezultata iznad svih očekivanja. Prema podacima sustava </w:t>
      </w:r>
      <w:proofErr w:type="spellStart"/>
      <w:r w:rsidRPr="00B14811">
        <w:rPr>
          <w:lang w:val="hr-HR"/>
        </w:rPr>
        <w:t>eVisitor</w:t>
      </w:r>
      <w:proofErr w:type="spellEnd"/>
      <w:r w:rsidRPr="00B14811">
        <w:rPr>
          <w:lang w:val="hr-HR"/>
        </w:rPr>
        <w:t xml:space="preserve">, u trećem tromjesečju 2021. ostvareno je 65% više turističkih noćenja u komercijalnom smještaju u odnosu na isto razdoblje prethodne godine, odnosno tek 10% manje noćenja u odnosu na treće tromjesečje 2019. godine. Nadalje, industrijska proizvodnja u je u srpnju i kolovozu rasla po prosječnoj međugodišnjoj stopi od 4,6%, obujam građevinskih radova je u istom razdoblju zabilježio međugodišnji rast od 8,5%, dok je promet u trgovini na malo bio veći za prosječnih 15,6%. Također, tijekom ove godine prisutan je snažan oporavak na tržištu rada. Tako se broj osiguranika mirovinskog osiguranja u trećem tromjesečju 2021. prosječno povećao za 3,3% u odnosu na isto razdoblje 2021., pri čemu je za 0,6% nadmašio </w:t>
      </w:r>
      <w:proofErr w:type="spellStart"/>
      <w:r w:rsidRPr="00B14811">
        <w:rPr>
          <w:lang w:val="hr-HR"/>
        </w:rPr>
        <w:t>pretkrizne</w:t>
      </w:r>
      <w:proofErr w:type="spellEnd"/>
      <w:r w:rsidRPr="00B14811">
        <w:rPr>
          <w:lang w:val="hr-HR"/>
        </w:rPr>
        <w:t xml:space="preserve"> razine iz istog razdoblja 2019. Broj </w:t>
      </w:r>
      <w:r w:rsidRPr="00B14811">
        <w:rPr>
          <w:lang w:val="hr-HR"/>
        </w:rPr>
        <w:lastRenderedPageBreak/>
        <w:t>nezaposlenih osoba krajem rujna iznosio je 119,1 tisuća te je, prema sezonski prilagođenim podacima, nastavio bilježiti smanjenje, dok je administrativna stopa nezaposlenosti u rujnu iznosila 7,0%.</w:t>
      </w:r>
    </w:p>
    <w:p w:rsidR="00B14811" w:rsidRPr="00B14811" w:rsidRDefault="00B14811" w:rsidP="00B14811">
      <w:pPr>
        <w:jc w:val="both"/>
        <w:rPr>
          <w:rFonts w:eastAsia="Calibri" w:cs="Times New Roman"/>
          <w:lang w:val="hr-HR"/>
        </w:rPr>
      </w:pPr>
      <w:r w:rsidRPr="00B14811">
        <w:rPr>
          <w:rFonts w:eastAsia="Calibri" w:cs="Times New Roman"/>
          <w:lang w:val="hr-HR"/>
        </w:rPr>
        <w:t xml:space="preserve">Nakon snažnog pada BDP-a od 8,1% u 2020. godini, očekuje se kako će domaće gospodarstvo uz stopu rasta od 9,0% već u 2021. godini dostići </w:t>
      </w:r>
      <w:proofErr w:type="spellStart"/>
      <w:r w:rsidRPr="00B14811">
        <w:rPr>
          <w:rFonts w:eastAsia="Calibri" w:cs="Times New Roman"/>
          <w:lang w:val="hr-HR"/>
        </w:rPr>
        <w:t>pretkriznu</w:t>
      </w:r>
      <w:proofErr w:type="spellEnd"/>
      <w:r w:rsidRPr="00B14811">
        <w:rPr>
          <w:rFonts w:eastAsia="Calibri" w:cs="Times New Roman"/>
          <w:lang w:val="hr-HR"/>
        </w:rPr>
        <w:t xml:space="preserve"> razinu iz 2019. Tako se očekuje snažan pozitivan doprinos gospodarskom rastu od strane domaće potražnje, ali i od neto inozemne potražnje, dok će blagi negativan doprinos doći od kategorije promjena zaliha. U usporedbi s makroekonomskim projekcijama iz Programa konvergencije Vlade RH (iz travnja 2021. godine), realni rast BDP-a u 2021. je promijenjen značajno naviše uslijed povoljnijih ostvarenja u dosadašnjem dijelu godinu. Za sve sastavnice BDP-a, izuzev bruto investicija u fiksni kapital te promjena zaliha, u 2021. se očekuju povoljnija ostvarenja u odnosu na prethodne projekcije, a posebno se to odnosi na izvoz roba i usluga te osobnu potrošnju. Investicije su u 2021. korigirane naniže unatoč nastavku snažnog rasta u građevinskoj djelatnosti, u većem djelu zbog nepovoljne dinamike preostalih vrsta bruto investicija u privatnom sektoru, te u manjem djelu zbog blage korekcije investicija u fiksni kapital na razini opće države.</w:t>
      </w:r>
    </w:p>
    <w:p w:rsidR="00B14811" w:rsidRPr="00B14811" w:rsidRDefault="00B14811" w:rsidP="00B14811">
      <w:pPr>
        <w:pStyle w:val="Opisslike"/>
        <w:spacing w:before="240"/>
        <w:jc w:val="both"/>
        <w:rPr>
          <w:rFonts w:asciiTheme="minorHAnsi" w:hAnsiTheme="minorHAnsi"/>
          <w:b w:val="0"/>
          <w:i/>
          <w:sz w:val="22"/>
          <w:szCs w:val="22"/>
        </w:rPr>
      </w:pPr>
      <w:r w:rsidRPr="00B14811">
        <w:rPr>
          <w:rFonts w:asciiTheme="minorHAnsi" w:hAnsiTheme="minorHAnsi"/>
          <w:b w:val="0"/>
          <w:i/>
          <w:sz w:val="22"/>
          <w:szCs w:val="22"/>
        </w:rPr>
        <w:t xml:space="preserve">Tablica </w:t>
      </w:r>
      <w:r w:rsidRPr="00B14811">
        <w:rPr>
          <w:rFonts w:asciiTheme="minorHAnsi" w:hAnsiTheme="minorHAnsi"/>
          <w:b w:val="0"/>
          <w:i/>
          <w:sz w:val="22"/>
          <w:szCs w:val="22"/>
        </w:rPr>
        <w:fldChar w:fldCharType="begin"/>
      </w:r>
      <w:r w:rsidRPr="00B14811">
        <w:rPr>
          <w:rFonts w:asciiTheme="minorHAnsi" w:hAnsiTheme="minorHAnsi"/>
          <w:b w:val="0"/>
          <w:i/>
          <w:sz w:val="22"/>
          <w:szCs w:val="22"/>
        </w:rPr>
        <w:instrText xml:space="preserve"> SEQ Tablica \* ARABIC </w:instrText>
      </w:r>
      <w:r w:rsidRPr="00B14811">
        <w:rPr>
          <w:rFonts w:asciiTheme="minorHAnsi" w:hAnsiTheme="minorHAnsi"/>
          <w:b w:val="0"/>
          <w:i/>
          <w:sz w:val="22"/>
          <w:szCs w:val="22"/>
        </w:rPr>
        <w:fldChar w:fldCharType="separate"/>
      </w:r>
      <w:r w:rsidR="00CD730D">
        <w:rPr>
          <w:rFonts w:asciiTheme="minorHAnsi" w:hAnsiTheme="minorHAnsi"/>
          <w:b w:val="0"/>
          <w:i/>
          <w:noProof/>
          <w:sz w:val="22"/>
          <w:szCs w:val="22"/>
        </w:rPr>
        <w:t>2</w:t>
      </w:r>
      <w:r w:rsidRPr="00B14811">
        <w:rPr>
          <w:rFonts w:asciiTheme="minorHAnsi" w:hAnsiTheme="minorHAnsi"/>
          <w:b w:val="0"/>
          <w:i/>
          <w:sz w:val="22"/>
          <w:szCs w:val="22"/>
        </w:rPr>
        <w:fldChar w:fldCharType="end"/>
      </w:r>
      <w:r w:rsidRPr="00B14811">
        <w:rPr>
          <w:rFonts w:asciiTheme="minorHAnsi" w:hAnsiTheme="minorHAnsi"/>
          <w:b w:val="0"/>
          <w:i/>
          <w:sz w:val="22"/>
          <w:szCs w:val="22"/>
        </w:rPr>
        <w:t xml:space="preserve">. </w:t>
      </w:r>
      <w:r w:rsidRPr="00B14811">
        <w:rPr>
          <w:rFonts w:asciiTheme="minorHAnsi" w:hAnsiTheme="minorHAnsi" w:cstheme="minorHAnsi"/>
          <w:b w:val="0"/>
          <w:i/>
          <w:sz w:val="22"/>
          <w:szCs w:val="22"/>
        </w:rPr>
        <w:t>Makroekonomski</w:t>
      </w:r>
      <w:r w:rsidRPr="00B14811">
        <w:rPr>
          <w:rFonts w:ascii="Calibri" w:hAnsi="Calibri"/>
          <w:b w:val="0"/>
          <w:i/>
          <w:sz w:val="24"/>
          <w:szCs w:val="24"/>
        </w:rPr>
        <w:t xml:space="preserve"> okvir</w:t>
      </w:r>
    </w:p>
    <w:p w:rsidR="00B14811" w:rsidRPr="00B14811" w:rsidRDefault="00B32FA6" w:rsidP="00B14811">
      <w:pPr>
        <w:rPr>
          <w:lang w:val="hr-HR"/>
        </w:rPr>
      </w:pPr>
      <w:r w:rsidRPr="00B32FA6">
        <w:drawing>
          <wp:inline distT="0" distB="0" distL="0" distR="0">
            <wp:extent cx="5627077" cy="3551972"/>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0043" cy="3553844"/>
                    </a:xfrm>
                    <a:prstGeom prst="rect">
                      <a:avLst/>
                    </a:prstGeom>
                    <a:noFill/>
                    <a:ln>
                      <a:noFill/>
                    </a:ln>
                  </pic:spPr>
                </pic:pic>
              </a:graphicData>
            </a:graphic>
          </wp:inline>
        </w:drawing>
      </w:r>
      <w:r w:rsidR="00B14811" w:rsidRPr="00B14811">
        <w:rPr>
          <w:lang w:val="hr-HR"/>
        </w:rPr>
        <w:br/>
      </w:r>
      <w:r w:rsidR="00B14811" w:rsidRPr="00B14811">
        <w:rPr>
          <w:rFonts w:ascii="Calibri" w:hAnsi="Calibri"/>
          <w:bCs/>
          <w:i/>
          <w:sz w:val="20"/>
          <w:szCs w:val="20"/>
          <w:lang w:val="hr-HR"/>
        </w:rPr>
        <w:t>Izvor: DZS, Ministarstvo financija</w:t>
      </w:r>
    </w:p>
    <w:p w:rsidR="00B14811" w:rsidRPr="00B14811" w:rsidRDefault="00B14811" w:rsidP="00B14811">
      <w:pPr>
        <w:jc w:val="both"/>
        <w:rPr>
          <w:lang w:val="hr-HR"/>
        </w:rPr>
      </w:pPr>
    </w:p>
    <w:p w:rsidR="00025948" w:rsidRPr="00B14811" w:rsidRDefault="00025948" w:rsidP="002F1167">
      <w:pPr>
        <w:jc w:val="both"/>
        <w:rPr>
          <w:rFonts w:cs="Times New Roman"/>
          <w:color w:val="000000"/>
          <w:lang w:val="hr-HR"/>
        </w:rPr>
      </w:pPr>
      <w:r w:rsidRPr="00B14811">
        <w:rPr>
          <w:lang w:val="hr-HR"/>
        </w:rPr>
        <w:br w:type="page"/>
      </w:r>
    </w:p>
    <w:p w:rsidR="00025948" w:rsidRPr="009B5CBF" w:rsidRDefault="00025948" w:rsidP="00025948">
      <w:pPr>
        <w:pStyle w:val="Naslov1"/>
        <w:numPr>
          <w:ilvl w:val="0"/>
          <w:numId w:val="1"/>
        </w:numPr>
        <w:rPr>
          <w:lang w:val="hr-HR"/>
        </w:rPr>
      </w:pPr>
      <w:bookmarkStart w:id="6" w:name="_Toc86306107"/>
      <w:r w:rsidRPr="009B5CBF">
        <w:rPr>
          <w:lang w:val="hr-HR"/>
        </w:rPr>
        <w:lastRenderedPageBreak/>
        <w:t>PRIHODI DRŽAVNOG PRORAČUNA</w:t>
      </w:r>
      <w:bookmarkEnd w:id="6"/>
      <w:r w:rsidRPr="009B5CBF">
        <w:rPr>
          <w:lang w:val="hr-HR"/>
        </w:rPr>
        <w:t xml:space="preserve"> </w:t>
      </w:r>
    </w:p>
    <w:p w:rsidR="00ED0B28" w:rsidRPr="00ED0B28" w:rsidRDefault="00ED0B28" w:rsidP="00ED0B28">
      <w:pPr>
        <w:spacing w:before="240"/>
        <w:jc w:val="both"/>
        <w:rPr>
          <w:rFonts w:cstheme="minorHAnsi"/>
          <w:lang w:val="hr-HR"/>
        </w:rPr>
      </w:pPr>
      <w:r w:rsidRPr="00ED0B28">
        <w:rPr>
          <w:rFonts w:cstheme="minorHAnsi"/>
          <w:lang w:val="hr-HR"/>
        </w:rPr>
        <w:t>Prihod</w:t>
      </w:r>
      <w:r w:rsidR="00C1059A">
        <w:rPr>
          <w:rFonts w:cstheme="minorHAnsi"/>
          <w:lang w:val="hr-HR"/>
        </w:rPr>
        <w:t>i državnog proračuna planirani I</w:t>
      </w:r>
      <w:r w:rsidRPr="00ED0B28">
        <w:rPr>
          <w:rFonts w:cstheme="minorHAnsi"/>
          <w:lang w:val="hr-HR"/>
        </w:rPr>
        <w:t xml:space="preserve">zmjenama i dopunama Državnog proračuna Republike Hrvatske za 2021. godinu temelje se na oporavku gospodarske aktivnosti i vrlo dobroj turističkoj sezoni uzimajući u obzir fiskalne učinke poreznih izmjena u okviru sustava poreza na dobit, poreza na dohodak i poreza na dodanu vrijednost te trošarinskih propisa. Značajan učinak na prihode proračuna ima i povlačenje sredstva iz EU fondova, ponajprije iz tekućeg Višegodišnjeg financijskog okvira 2014.- 2020., ali i korištenje sredstava iz Fonda solidarnosti u svrhu sanacije šteta od potresa te iz Mehanizma za oporavak i otpornost, koja će se usmjeriti za jačanje oporavka i otpornosti gospodarstva kroz razvojne, strateške i reformske projekte. </w:t>
      </w:r>
    </w:p>
    <w:p w:rsidR="00ED0B28" w:rsidRPr="00ED0B28" w:rsidRDefault="00C1059A" w:rsidP="00ED0B28">
      <w:pPr>
        <w:spacing w:before="240"/>
        <w:jc w:val="both"/>
        <w:rPr>
          <w:rFonts w:cstheme="minorHAnsi"/>
          <w:lang w:val="hr-HR"/>
        </w:rPr>
      </w:pPr>
      <w:r>
        <w:rPr>
          <w:rFonts w:cstheme="minorHAnsi"/>
          <w:lang w:val="hr-HR"/>
        </w:rPr>
        <w:t>Drugim I</w:t>
      </w:r>
      <w:r w:rsidR="00ED0B28" w:rsidRPr="00ED0B28">
        <w:rPr>
          <w:rFonts w:cstheme="minorHAnsi"/>
          <w:lang w:val="hr-HR"/>
        </w:rPr>
        <w:t xml:space="preserve">zmjenama i dopunama državnog proračuna za 2021. godinu ukupni proračunski prihodi povećavaju se za 3,3 milijarde kuna, što prvenstveno proizlazi iz bolje ostvarenih poreznih prihoda koji su u odnosu na prethodni plan povećani za 2,4 milijarde kuna. Povećanje proračunskih prihoda rezultat je bolje turističke sezone i jačanja gospodarske aktivnosti više nego li je to bilo planirano. </w:t>
      </w:r>
    </w:p>
    <w:p w:rsidR="00684659" w:rsidRPr="00ED0B28" w:rsidRDefault="00ED0B28" w:rsidP="00ED0B28">
      <w:pPr>
        <w:spacing w:before="240"/>
        <w:jc w:val="both"/>
        <w:rPr>
          <w:rFonts w:cstheme="minorHAnsi"/>
          <w:lang w:val="hr-HR"/>
        </w:rPr>
      </w:pPr>
      <w:r w:rsidRPr="00ED0B28">
        <w:rPr>
          <w:rFonts w:cstheme="minorHAnsi"/>
          <w:lang w:val="hr-HR"/>
        </w:rPr>
        <w:t>Novim planom proračuna za 2021. godinu ukupni prihodi iznose 153,6 milijardi kuna. Pritom prihodi poslovanja iznose 152,9 milijardi kuna, a prihodi od prodaje nefinancijske imovine 768,9 milijuna kuna.</w:t>
      </w:r>
    </w:p>
    <w:p w:rsidR="00E57CFF" w:rsidRPr="00ED0B28" w:rsidRDefault="00E57CFF" w:rsidP="00E57CFF">
      <w:pPr>
        <w:spacing w:before="240"/>
        <w:jc w:val="both"/>
        <w:rPr>
          <w:rFonts w:cstheme="minorHAnsi"/>
          <w:b/>
          <w:lang w:val="hr-HR"/>
        </w:rPr>
      </w:pPr>
      <w:r w:rsidRPr="00ED0B28">
        <w:rPr>
          <w:rFonts w:cstheme="minorHAnsi"/>
          <w:b/>
          <w:lang w:val="hr-HR"/>
        </w:rPr>
        <w:t>Prihodi od poreza</w:t>
      </w:r>
    </w:p>
    <w:p w:rsidR="00ED0B28" w:rsidRPr="00ED0B28" w:rsidRDefault="00ED0B28" w:rsidP="00E57CFF">
      <w:pPr>
        <w:spacing w:before="240"/>
        <w:jc w:val="both"/>
        <w:rPr>
          <w:rFonts w:cstheme="minorHAnsi"/>
          <w:b/>
          <w:lang w:val="hr-HR"/>
        </w:rPr>
      </w:pPr>
      <w:r w:rsidRPr="00ED0B28">
        <w:rPr>
          <w:rFonts w:eastAsia="Times New Roman" w:cstheme="minorHAnsi"/>
          <w:lang w:val="hr-HR"/>
        </w:rPr>
        <w:t xml:space="preserve">Prihodi od poreza su novim planom za 2021. godinu planirani u iznosu od 82,2 milijarde kuna, što je povećanje od 2,4 milijarde kuna u odnosu na plan </w:t>
      </w:r>
      <w:r w:rsidR="00C1059A">
        <w:rPr>
          <w:rFonts w:eastAsia="Times New Roman" w:cstheme="minorHAnsi"/>
          <w:lang w:val="hr-HR"/>
        </w:rPr>
        <w:t>proračuna iz lipnja 2021. Pritom</w:t>
      </w:r>
      <w:r w:rsidRPr="00ED0B28">
        <w:rPr>
          <w:rFonts w:eastAsia="Times New Roman" w:cstheme="minorHAnsi"/>
          <w:lang w:val="hr-HR"/>
        </w:rPr>
        <w:t xml:space="preserve"> najveće pozitivne promjene bilježi prihod od PDV-a.</w:t>
      </w:r>
    </w:p>
    <w:p w:rsidR="00E57CFF" w:rsidRPr="00ED0B28" w:rsidRDefault="00E57CFF" w:rsidP="00E57CFF">
      <w:pPr>
        <w:spacing w:before="240"/>
        <w:jc w:val="both"/>
        <w:rPr>
          <w:rFonts w:cstheme="minorHAnsi"/>
          <w:b/>
          <w:i/>
          <w:lang w:val="hr-HR"/>
        </w:rPr>
      </w:pPr>
      <w:r w:rsidRPr="00ED0B28">
        <w:rPr>
          <w:rFonts w:cstheme="minorHAnsi"/>
          <w:b/>
          <w:i/>
          <w:lang w:val="hr-HR"/>
        </w:rPr>
        <w:t>Porez na dobit</w:t>
      </w:r>
    </w:p>
    <w:p w:rsidR="00ED0B28" w:rsidRPr="00ED0B28" w:rsidRDefault="00ED0B28" w:rsidP="00ED0B28">
      <w:pPr>
        <w:spacing w:after="120"/>
        <w:jc w:val="both"/>
        <w:rPr>
          <w:rFonts w:eastAsia="Times New Roman" w:cstheme="minorHAnsi"/>
          <w:lang w:val="hr-HR"/>
        </w:rPr>
      </w:pPr>
      <w:r w:rsidRPr="00ED0B28">
        <w:rPr>
          <w:rFonts w:eastAsia="Times New Roman" w:cstheme="minorHAnsi"/>
          <w:lang w:val="hr-HR"/>
        </w:rPr>
        <w:t>Prihod od poreza na dobit prema novom planu za 2021. godinu iznosi 7,9 milijardi kuna i za 503,5 milijuna kuna je manji od prethodno planiranog. Smanjenje ove prihodne kategorije rezultat je manje uplate prihoda od poreza na dobit po osnovi godiš</w:t>
      </w:r>
      <w:r w:rsidR="00C1059A">
        <w:rPr>
          <w:rFonts w:eastAsia="Times New Roman" w:cstheme="minorHAnsi"/>
          <w:lang w:val="hr-HR"/>
        </w:rPr>
        <w:t xml:space="preserve">njeg obračuna dobiti za 2020. godinu </w:t>
      </w:r>
      <w:r w:rsidRPr="00ED0B28">
        <w:rPr>
          <w:rFonts w:eastAsia="Times New Roman" w:cstheme="minorHAnsi"/>
          <w:lang w:val="hr-HR"/>
        </w:rPr>
        <w:t xml:space="preserve">te posljedično manje uplaćenim akontacijama nego li se to očekivalo. Naime, zbog manjeg prihoda poduzetnika kao posljedice pada gospodarske aktivnosti uslijed </w:t>
      </w:r>
      <w:proofErr w:type="spellStart"/>
      <w:r w:rsidRPr="00ED0B28">
        <w:rPr>
          <w:rFonts w:eastAsia="Times New Roman" w:cstheme="minorHAnsi"/>
          <w:lang w:val="hr-HR"/>
        </w:rPr>
        <w:t>pandemije</w:t>
      </w:r>
      <w:proofErr w:type="spellEnd"/>
      <w:r w:rsidRPr="00ED0B28">
        <w:rPr>
          <w:rFonts w:eastAsia="Times New Roman" w:cstheme="minorHAnsi"/>
          <w:lang w:val="hr-HR"/>
        </w:rPr>
        <w:t xml:space="preserve"> </w:t>
      </w:r>
      <w:proofErr w:type="spellStart"/>
      <w:r w:rsidRPr="00ED0B28">
        <w:rPr>
          <w:rFonts w:eastAsia="Times New Roman" w:cstheme="minorHAnsi"/>
          <w:lang w:val="hr-HR"/>
        </w:rPr>
        <w:t>koronavirusa</w:t>
      </w:r>
      <w:proofErr w:type="spellEnd"/>
      <w:r w:rsidRPr="00ED0B28">
        <w:rPr>
          <w:rFonts w:eastAsia="Times New Roman" w:cstheme="minorHAnsi"/>
          <w:lang w:val="hr-HR"/>
        </w:rPr>
        <w:t xml:space="preserve">, manja je i njihova dobit, te sukladno tome i uplate ovog prihoda u državni proračun.    </w:t>
      </w:r>
    </w:p>
    <w:p w:rsidR="00E57CFF" w:rsidRPr="00ED0B28" w:rsidRDefault="00E57CFF" w:rsidP="00E57CFF">
      <w:pPr>
        <w:spacing w:before="240"/>
        <w:jc w:val="both"/>
        <w:rPr>
          <w:rFonts w:cstheme="minorHAnsi"/>
          <w:b/>
          <w:i/>
          <w:lang w:val="hr-HR"/>
        </w:rPr>
      </w:pPr>
      <w:r w:rsidRPr="00ED0B28">
        <w:rPr>
          <w:rFonts w:cstheme="minorHAnsi"/>
          <w:b/>
          <w:i/>
          <w:lang w:val="hr-HR"/>
        </w:rPr>
        <w:t>Porez na dodanu vrijednost</w:t>
      </w:r>
    </w:p>
    <w:p w:rsidR="0061798F" w:rsidRPr="007F57ED" w:rsidRDefault="00ED0B28" w:rsidP="00ED0B28">
      <w:pPr>
        <w:spacing w:after="120"/>
        <w:jc w:val="both"/>
        <w:rPr>
          <w:rFonts w:eastAsia="Times New Roman" w:cstheme="minorHAnsi"/>
          <w:lang w:val="hr-HR"/>
        </w:rPr>
      </w:pPr>
      <w:r w:rsidRPr="007F57ED">
        <w:rPr>
          <w:rFonts w:eastAsia="Times New Roman" w:cstheme="minorHAnsi"/>
          <w:lang w:val="hr-HR"/>
        </w:rPr>
        <w:t xml:space="preserve">Novi plan prihoda od poreza na dodanu vrijednost iznosi 56 milijardi kuna i veći je u odnosu na prihode planirane u lipnju za 2,5 milijardi kuna. Projekcija prihoda od PDV-a temelji se na boljim rezultatima turističke sezone te očekivanom kretanju nominalnog iznosa osobne potrošnje u ostatku godine. </w:t>
      </w:r>
    </w:p>
    <w:p w:rsidR="00E57CFF" w:rsidRPr="007F57ED" w:rsidRDefault="00E57CFF" w:rsidP="00E57CFF">
      <w:pPr>
        <w:spacing w:before="240"/>
        <w:jc w:val="both"/>
        <w:rPr>
          <w:rFonts w:cstheme="minorHAnsi"/>
          <w:b/>
          <w:i/>
          <w:lang w:val="hr-HR"/>
        </w:rPr>
      </w:pPr>
      <w:r w:rsidRPr="007F57ED">
        <w:rPr>
          <w:rFonts w:cstheme="minorHAnsi"/>
          <w:b/>
          <w:i/>
          <w:lang w:val="hr-HR"/>
        </w:rPr>
        <w:t>Posebni porezi i trošarine</w:t>
      </w:r>
    </w:p>
    <w:p w:rsidR="00ED0B28" w:rsidRPr="00ED0B28" w:rsidRDefault="00ED0B28" w:rsidP="00ED0B28">
      <w:pPr>
        <w:suppressAutoHyphens/>
        <w:spacing w:after="120"/>
        <w:jc w:val="both"/>
        <w:textAlignment w:val="baseline"/>
        <w:rPr>
          <w:rFonts w:eastAsia="Times New Roman" w:cstheme="minorHAnsi"/>
          <w:lang w:val="hr-HR"/>
        </w:rPr>
      </w:pPr>
      <w:r w:rsidRPr="007F57ED">
        <w:rPr>
          <w:rFonts w:eastAsia="Times New Roman" w:cstheme="minorHAnsi"/>
          <w:lang w:val="hr-HR"/>
        </w:rPr>
        <w:t>Prihodi od posebnih poreza i trošarina prema prijedlogu drugih Izmjena i dopuna proračuna za 2021. godinu bilježe povećanje od 267,2 milijuna kuna u odnosu na planirane u lipnju, a iznose 16,1 milijardu kuna. Izmjena projekcije ovih prihoda rezultat je bolje turističke sezone nego li se to očekivalo kod prvih izmjena i dopuna državnog proračuna te veće potrošnje pojedinih trošarinskih proizvoda</w:t>
      </w:r>
      <w:r w:rsidRPr="00ED0B28">
        <w:rPr>
          <w:rFonts w:eastAsia="Times New Roman" w:cstheme="minorHAnsi"/>
          <w:lang w:val="hr-HR"/>
        </w:rPr>
        <w:t xml:space="preserve">. </w:t>
      </w:r>
    </w:p>
    <w:p w:rsidR="00ED0B28" w:rsidRPr="00ED0B28" w:rsidRDefault="00ED0B28" w:rsidP="00ED0B28">
      <w:pPr>
        <w:spacing w:after="120"/>
        <w:jc w:val="both"/>
        <w:rPr>
          <w:rFonts w:eastAsia="Times New Roman" w:cstheme="minorHAnsi"/>
          <w:lang w:val="hr-HR"/>
        </w:rPr>
      </w:pPr>
      <w:r w:rsidRPr="00ED0B28">
        <w:rPr>
          <w:rFonts w:eastAsia="Times New Roman" w:cstheme="minorHAnsi"/>
          <w:lang w:val="hr-HR"/>
        </w:rPr>
        <w:lastRenderedPageBreak/>
        <w:t xml:space="preserve">Najveće promjene u prikupljenim prihodima, u odnosu na plan iz lipnja, očekuju se kod trošarina na duhanske proizvode čija je potrošnja također dijelom pod utjecajem dobre turističke sezone. Rast prihoda po osnovi posebnih porezna očekuje se i kod trošarina na pivo, trošarina na alkohol i alkoholna pića te posebnog poreza na bezalkoholna pića, dok se smanjenje prihoda očekuje kod posebnog poreza na kavu. </w:t>
      </w:r>
    </w:p>
    <w:p w:rsidR="00ED0B28" w:rsidRPr="00ED0B28" w:rsidRDefault="00ED0B28" w:rsidP="00E57CFF">
      <w:pPr>
        <w:spacing w:before="240"/>
        <w:jc w:val="both"/>
        <w:rPr>
          <w:rFonts w:cstheme="minorHAnsi"/>
          <w:b/>
          <w:i/>
          <w:lang w:val="hr-HR"/>
        </w:rPr>
      </w:pPr>
      <w:r w:rsidRPr="00ED0B28">
        <w:rPr>
          <w:rFonts w:cstheme="minorHAnsi"/>
          <w:b/>
          <w:i/>
          <w:lang w:val="hr-HR"/>
        </w:rPr>
        <w:t>Naknade za priređivanje igara na sreću</w:t>
      </w:r>
    </w:p>
    <w:p w:rsidR="00ED0B28" w:rsidRPr="00ED0B28" w:rsidRDefault="00ED0B28" w:rsidP="00ED0B28">
      <w:pPr>
        <w:spacing w:after="120"/>
        <w:jc w:val="both"/>
        <w:rPr>
          <w:rFonts w:eastAsia="Times New Roman" w:cstheme="minorHAnsi"/>
          <w:lang w:val="hr-HR"/>
        </w:rPr>
      </w:pPr>
      <w:r w:rsidRPr="00424966">
        <w:rPr>
          <w:rFonts w:eastAsia="Times New Roman" w:cstheme="minorHAnsi"/>
          <w:lang w:val="hr-HR"/>
        </w:rPr>
        <w:t>Plan naknada za priređivanje igara na sreću novim planom proračuna za 2021. godinu povećava se za 40,1 milijun kuna te iznosi 1,1 milijardu kuna.</w:t>
      </w:r>
      <w:r w:rsidRPr="00ED0B28">
        <w:rPr>
          <w:rFonts w:eastAsia="Times New Roman" w:cstheme="minorHAnsi"/>
          <w:lang w:val="hr-HR"/>
        </w:rPr>
        <w:t xml:space="preserve"> </w:t>
      </w:r>
    </w:p>
    <w:p w:rsidR="00ED0B28" w:rsidRPr="00ED0B28" w:rsidRDefault="00ED0B28" w:rsidP="00E57CFF">
      <w:pPr>
        <w:spacing w:before="240"/>
        <w:jc w:val="both"/>
        <w:rPr>
          <w:rFonts w:cstheme="minorHAnsi"/>
          <w:b/>
          <w:i/>
          <w:lang w:val="hr-HR"/>
        </w:rPr>
      </w:pPr>
      <w:r w:rsidRPr="00ED0B28">
        <w:rPr>
          <w:rFonts w:cstheme="minorHAnsi"/>
          <w:b/>
          <w:i/>
          <w:lang w:val="hr-HR"/>
        </w:rPr>
        <w:t>Porezi na međunarodnu trgovinu i transakcije</w:t>
      </w:r>
    </w:p>
    <w:p w:rsidR="00ED0B28" w:rsidRPr="00ED0B28" w:rsidRDefault="00ED0B28" w:rsidP="00ED0B28">
      <w:pPr>
        <w:spacing w:after="120"/>
        <w:jc w:val="both"/>
        <w:rPr>
          <w:rFonts w:eastAsia="Times New Roman" w:cstheme="minorHAnsi"/>
          <w:lang w:val="hr-HR"/>
        </w:rPr>
      </w:pPr>
      <w:r w:rsidRPr="003E4F61">
        <w:rPr>
          <w:rFonts w:eastAsia="Times New Roman" w:cstheme="minorHAnsi"/>
          <w:lang w:val="hr-HR"/>
        </w:rPr>
        <w:t>Prihod od poreza na međunarodnu trgovinu i transakcije novim planom proračuna za 2021. godinu planiran je u iznosu od 414,3 milijuna kuna, što je povećanje od 54,4 milijuna kuna u odnosu na prvotni plan. Povećanje ove kategorije proračunskih prihoda rezultat je promjene propisa po kojem državi članici EU ostaje udio od 25% naplaćenih carinskih prihoda, a ne 20%, kako je to bilo ranije.</w:t>
      </w:r>
      <w:r w:rsidRPr="00ED0B28">
        <w:rPr>
          <w:rFonts w:eastAsia="Times New Roman" w:cstheme="minorHAnsi"/>
          <w:lang w:val="hr-HR"/>
        </w:rPr>
        <w:t xml:space="preserve"> </w:t>
      </w:r>
    </w:p>
    <w:p w:rsidR="00E57CFF" w:rsidRPr="00ED0B28" w:rsidRDefault="00E57CFF" w:rsidP="00E57CFF">
      <w:pPr>
        <w:spacing w:before="240"/>
        <w:jc w:val="both"/>
        <w:rPr>
          <w:rFonts w:cstheme="minorHAnsi"/>
          <w:b/>
          <w:i/>
          <w:lang w:val="hr-HR"/>
        </w:rPr>
      </w:pPr>
      <w:r w:rsidRPr="00ED0B28">
        <w:rPr>
          <w:rFonts w:cstheme="minorHAnsi"/>
          <w:b/>
          <w:i/>
          <w:lang w:val="hr-HR"/>
        </w:rPr>
        <w:t>Doprinosi</w:t>
      </w:r>
    </w:p>
    <w:p w:rsidR="0061798F" w:rsidRPr="00ED0B28" w:rsidRDefault="00ED0B28" w:rsidP="00ED0B28">
      <w:pPr>
        <w:spacing w:after="120"/>
        <w:jc w:val="both"/>
        <w:rPr>
          <w:rFonts w:eastAsia="Times New Roman" w:cstheme="minorHAnsi"/>
          <w:lang w:val="hr-HR"/>
        </w:rPr>
      </w:pPr>
      <w:r w:rsidRPr="00862D60">
        <w:rPr>
          <w:rFonts w:eastAsia="Times New Roman" w:cstheme="minorHAnsi"/>
          <w:lang w:val="hr-HR"/>
        </w:rPr>
        <w:t>Drugim Izmjenama i dopunama državnog proračuna za 2021. godinu, prihodi od doprinosa smanjuju se za 219,7 milijuna kuna i iznose 24,8 milijardi kuna. Ovi prihodi smanjuju se sukladno kretanjima na tržištu rada.</w:t>
      </w:r>
      <w:r w:rsidRPr="00ED0B28">
        <w:rPr>
          <w:rFonts w:eastAsia="Times New Roman" w:cstheme="minorHAnsi"/>
          <w:lang w:val="hr-HR"/>
        </w:rPr>
        <w:t xml:space="preserve"> </w:t>
      </w:r>
    </w:p>
    <w:p w:rsidR="00E57CFF" w:rsidRPr="00ED0B28" w:rsidRDefault="00E57CFF" w:rsidP="00E57CFF">
      <w:pPr>
        <w:spacing w:before="240"/>
        <w:jc w:val="both"/>
        <w:rPr>
          <w:rFonts w:cstheme="minorHAnsi"/>
          <w:b/>
          <w:i/>
          <w:lang w:val="hr-HR"/>
        </w:rPr>
      </w:pPr>
      <w:r w:rsidRPr="00ED0B28">
        <w:rPr>
          <w:rFonts w:cstheme="minorHAnsi"/>
          <w:b/>
          <w:i/>
          <w:lang w:val="hr-HR"/>
        </w:rPr>
        <w:t>Pomoći</w:t>
      </w:r>
    </w:p>
    <w:p w:rsidR="00ED0B28" w:rsidRPr="00ED0B28" w:rsidRDefault="00ED0B28" w:rsidP="00ED0B28">
      <w:pPr>
        <w:spacing w:after="120"/>
        <w:jc w:val="both"/>
        <w:rPr>
          <w:rFonts w:eastAsia="Times New Roman" w:cstheme="minorHAnsi"/>
          <w:lang w:val="hr-HR"/>
        </w:rPr>
      </w:pPr>
      <w:r w:rsidRPr="00ED0B28">
        <w:rPr>
          <w:rFonts w:eastAsia="Times New Roman" w:cstheme="minorHAnsi"/>
          <w:lang w:val="hr-HR"/>
        </w:rPr>
        <w:t xml:space="preserve">Prihodi od pomoći </w:t>
      </w:r>
      <w:r w:rsidRPr="001C0A3F">
        <w:rPr>
          <w:rFonts w:eastAsia="Times New Roman" w:cstheme="minorHAnsi"/>
          <w:lang w:val="hr-HR"/>
        </w:rPr>
        <w:t xml:space="preserve">prema novom planu za 2021. planirani su u iznosu od 24,2 milijarde kuna i u odnosu na prethodni plan smanjuju se za 2 milijarde kuna. Ovi prihodi izravno su vezani uz projekte financirane iz EU proračuna, ali i uz </w:t>
      </w:r>
      <w:r w:rsidR="009F7E77">
        <w:rPr>
          <w:rFonts w:eastAsia="Times New Roman" w:cstheme="minorHAnsi"/>
          <w:lang w:val="hr-HR"/>
        </w:rPr>
        <w:t xml:space="preserve">dodatna </w:t>
      </w:r>
      <w:r w:rsidRPr="001C0A3F">
        <w:rPr>
          <w:rFonts w:eastAsia="Times New Roman" w:cstheme="minorHAnsi"/>
          <w:lang w:val="hr-HR"/>
        </w:rPr>
        <w:t xml:space="preserve">sredstva dodijeljena RH iz fondova EU i to u okviru pomoći u financiranju posljedica </w:t>
      </w:r>
      <w:proofErr w:type="spellStart"/>
      <w:r w:rsidRPr="001C0A3F">
        <w:rPr>
          <w:rFonts w:eastAsia="Times New Roman" w:cstheme="minorHAnsi"/>
          <w:lang w:val="hr-HR"/>
        </w:rPr>
        <w:t>koronavirusa</w:t>
      </w:r>
      <w:proofErr w:type="spellEnd"/>
      <w:r w:rsidRPr="001C0A3F">
        <w:rPr>
          <w:rFonts w:eastAsia="Times New Roman" w:cstheme="minorHAnsi"/>
          <w:lang w:val="hr-HR"/>
        </w:rPr>
        <w:t>, sredstva dodijeljena iz Fonda solidarnosti</w:t>
      </w:r>
      <w:r w:rsidRPr="00ED0B28">
        <w:rPr>
          <w:rFonts w:eastAsia="Times New Roman" w:cstheme="minorHAnsi"/>
          <w:lang w:val="hr-HR"/>
        </w:rPr>
        <w:t xml:space="preserve"> EU za financiranje dijela obnove javne infrastrukture oštećene u potresu te sredstva iz novog instrumenta EU Nove generacije odnosno Mehanizma za oporavak i otpornost.</w:t>
      </w:r>
    </w:p>
    <w:p w:rsidR="00E57CFF" w:rsidRPr="00ED0B28" w:rsidRDefault="00E57CFF" w:rsidP="00E57CFF">
      <w:pPr>
        <w:spacing w:before="240"/>
        <w:jc w:val="both"/>
        <w:rPr>
          <w:rFonts w:cstheme="minorHAnsi"/>
          <w:b/>
          <w:i/>
          <w:lang w:val="hr-HR"/>
        </w:rPr>
      </w:pPr>
      <w:r w:rsidRPr="00ED0B28">
        <w:rPr>
          <w:rFonts w:cstheme="minorHAnsi"/>
          <w:b/>
          <w:i/>
          <w:lang w:val="hr-HR"/>
        </w:rPr>
        <w:t>Prihodi od imovine</w:t>
      </w:r>
    </w:p>
    <w:p w:rsidR="00ED0B28" w:rsidRPr="00ED0B28" w:rsidRDefault="00ED0B28" w:rsidP="00ED0B28">
      <w:pPr>
        <w:spacing w:after="120"/>
        <w:jc w:val="both"/>
        <w:rPr>
          <w:rFonts w:eastAsia="Times New Roman" w:cstheme="minorHAnsi"/>
          <w:lang w:val="hr-HR"/>
        </w:rPr>
      </w:pPr>
      <w:r w:rsidRPr="00ED0B28">
        <w:rPr>
          <w:rFonts w:eastAsia="Times New Roman" w:cstheme="minorHAnsi"/>
          <w:lang w:val="hr-HR"/>
        </w:rPr>
        <w:t xml:space="preserve">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w:t>
      </w:r>
      <w:r w:rsidRPr="005116C4">
        <w:rPr>
          <w:rFonts w:eastAsia="Times New Roman" w:cstheme="minorHAnsi"/>
          <w:lang w:val="hr-HR"/>
        </w:rPr>
        <w:t>bazi, a dijelom kao jednokratni prihodi. Prihodi od imovine novim planom proračuna za 2021. godinu iznose 2,9 milijardi kuna što je povećanje za 409,7 milijuna kuna u odnosu na plan proračuna iz lipnja. Prihodi se uglavnom povećavaju zbog jednokratne uplate koncesija za telekomunikacije zbog prelaska na 5G mrežu. Također, dio povećanja ovih prihoda</w:t>
      </w:r>
      <w:r w:rsidRPr="00ED0B28">
        <w:rPr>
          <w:rFonts w:eastAsia="Times New Roman" w:cstheme="minorHAnsi"/>
          <w:lang w:val="hr-HR"/>
        </w:rPr>
        <w:t xml:space="preserve"> odnosi se na više uplaćene prihode od dobiti trgovačkih društava, kreditnih i ostalih financijskih institucija po posebnim propisima te više uplaćenih prihoda od dividendi</w:t>
      </w:r>
      <w:r w:rsidR="00C1059A">
        <w:rPr>
          <w:rFonts w:eastAsia="Times New Roman" w:cstheme="minorHAnsi"/>
          <w:lang w:val="hr-HR"/>
        </w:rPr>
        <w:t xml:space="preserve"> u odnosu na planirane</w:t>
      </w:r>
      <w:r w:rsidRPr="00ED0B28">
        <w:rPr>
          <w:rFonts w:eastAsia="Times New Roman" w:cstheme="minorHAnsi"/>
          <w:lang w:val="hr-HR"/>
        </w:rPr>
        <w:t xml:space="preserve">. </w:t>
      </w:r>
    </w:p>
    <w:p w:rsidR="00ED0B28" w:rsidRDefault="00ED0B28" w:rsidP="00E57CFF">
      <w:pPr>
        <w:spacing w:before="240"/>
        <w:jc w:val="both"/>
        <w:rPr>
          <w:rFonts w:cstheme="minorHAnsi"/>
          <w:b/>
          <w:i/>
          <w:lang w:val="hr-HR"/>
        </w:rPr>
      </w:pPr>
    </w:p>
    <w:p w:rsidR="00E57CFF" w:rsidRPr="00ED0B28" w:rsidRDefault="00E57CFF" w:rsidP="00E57CFF">
      <w:pPr>
        <w:spacing w:before="240"/>
        <w:jc w:val="both"/>
        <w:rPr>
          <w:rFonts w:cstheme="minorHAnsi"/>
          <w:b/>
          <w:i/>
          <w:lang w:val="hr-HR"/>
        </w:rPr>
      </w:pPr>
      <w:r w:rsidRPr="00ED0B28">
        <w:rPr>
          <w:rFonts w:cstheme="minorHAnsi"/>
          <w:b/>
          <w:i/>
          <w:lang w:val="hr-HR"/>
        </w:rPr>
        <w:lastRenderedPageBreak/>
        <w:t>Prihodi od upravnih i administrativnih pristojbi, pristojbi po posebnim propisima i naknada</w:t>
      </w:r>
    </w:p>
    <w:p w:rsidR="00ED0B28" w:rsidRPr="00ED0B28" w:rsidRDefault="00ED0B28" w:rsidP="00ED0B28">
      <w:pPr>
        <w:spacing w:after="120"/>
        <w:jc w:val="both"/>
        <w:rPr>
          <w:rFonts w:eastAsia="Times New Roman" w:cstheme="minorHAnsi"/>
          <w:lang w:val="hr-HR"/>
        </w:rPr>
      </w:pPr>
      <w:r w:rsidRPr="00ED0B28">
        <w:rPr>
          <w:rFonts w:eastAsia="Times New Roman" w:cstheme="minorHAnsi"/>
          <w:lang w:val="hr-HR"/>
        </w:rPr>
        <w:t xml:space="preserve">Prihodi od upravnih i administrativnih pristojbi, pristojbi po posebnim propisima i naknada novim planom za 2021. godinu planirani su na </w:t>
      </w:r>
      <w:r w:rsidRPr="00CD15C6">
        <w:rPr>
          <w:rFonts w:eastAsia="Times New Roman" w:cstheme="minorHAnsi"/>
          <w:lang w:val="hr-HR"/>
        </w:rPr>
        <w:t>razini od 6,2 milijarde kuna, a rastu za 1,7 milijardi kuna u odnosu na plan iz lipnja 2021.</w:t>
      </w:r>
      <w:r w:rsidRPr="00ED0B28">
        <w:rPr>
          <w:rFonts w:eastAsia="Times New Roman" w:cstheme="minorHAnsi"/>
          <w:lang w:val="hr-HR"/>
        </w:rPr>
        <w:t xml:space="preserve">  </w:t>
      </w:r>
    </w:p>
    <w:p w:rsidR="00695A3B" w:rsidRPr="00695A3B" w:rsidRDefault="00ED0B28" w:rsidP="00695A3B">
      <w:pPr>
        <w:spacing w:after="120"/>
        <w:jc w:val="both"/>
        <w:rPr>
          <w:rFonts w:eastAsia="Times New Roman" w:cstheme="minorHAnsi"/>
          <w:lang w:val="hr-HR"/>
        </w:rPr>
      </w:pPr>
      <w:r w:rsidRPr="00ED0B28">
        <w:rPr>
          <w:rFonts w:eastAsia="Times New Roman" w:cstheme="minorHAnsi"/>
          <w:lang w:val="hr-HR"/>
        </w:rPr>
        <w:t xml:space="preserve">Pri tome, prihodi po posebnim propisima novim planom za 2021. </w:t>
      </w:r>
      <w:r w:rsidRPr="00CD15C6">
        <w:rPr>
          <w:rFonts w:eastAsia="Times New Roman" w:cstheme="minorHAnsi"/>
          <w:lang w:val="hr-HR"/>
        </w:rPr>
        <w:t>iznose 5,4</w:t>
      </w:r>
      <w:r w:rsidRPr="00ED0B28">
        <w:rPr>
          <w:rFonts w:eastAsia="Times New Roman" w:cstheme="minorHAnsi"/>
          <w:lang w:val="hr-HR"/>
        </w:rPr>
        <w:t xml:space="preserve"> milijarde kuna,</w:t>
      </w:r>
      <w:r w:rsidR="00695A3B">
        <w:rPr>
          <w:rFonts w:eastAsia="Times New Roman" w:cstheme="minorHAnsi"/>
          <w:lang w:val="hr-HR"/>
        </w:rPr>
        <w:t xml:space="preserve"> </w:t>
      </w:r>
      <w:r w:rsidR="00695A3B" w:rsidRPr="00695A3B">
        <w:rPr>
          <w:rFonts w:eastAsia="Times New Roman" w:cstheme="minorHAnsi"/>
          <w:lang w:val="hr-HR"/>
        </w:rPr>
        <w:t xml:space="preserve">a oni uključuju i dio namjenskih prihoda u sustavu znanosti i drugih proračunskih korisnika kao i </w:t>
      </w:r>
      <w:r w:rsidR="00C1059A">
        <w:rPr>
          <w:rFonts w:eastAsia="Times New Roman" w:cstheme="minorHAnsi"/>
          <w:lang w:val="hr-HR"/>
        </w:rPr>
        <w:t xml:space="preserve">jednokratnu </w:t>
      </w:r>
      <w:r w:rsidR="00695A3B" w:rsidRPr="00695A3B">
        <w:rPr>
          <w:rFonts w:eastAsia="Times New Roman" w:cstheme="minorHAnsi"/>
          <w:lang w:val="hr-HR"/>
        </w:rPr>
        <w:t xml:space="preserve">uplatu Hrvatske agencije za osiguranje depozita na ime povrata sredstava plaćenih iz državnog proračuna u ranijim godinama.  </w:t>
      </w:r>
    </w:p>
    <w:p w:rsidR="00ED0B28" w:rsidRPr="00ED0B28" w:rsidRDefault="00695A3B" w:rsidP="00ED0B28">
      <w:pPr>
        <w:spacing w:after="120"/>
        <w:jc w:val="both"/>
        <w:rPr>
          <w:rFonts w:eastAsia="Times New Roman" w:cstheme="minorHAnsi"/>
          <w:lang w:val="hr-HR"/>
        </w:rPr>
      </w:pPr>
      <w:r>
        <w:rPr>
          <w:rFonts w:eastAsia="Times New Roman" w:cstheme="minorHAnsi"/>
          <w:lang w:val="hr-HR"/>
        </w:rPr>
        <w:t>P</w:t>
      </w:r>
      <w:r w:rsidR="00ED0B28" w:rsidRPr="00ED0B28">
        <w:rPr>
          <w:rFonts w:eastAsia="Times New Roman" w:cstheme="minorHAnsi"/>
          <w:lang w:val="hr-HR"/>
        </w:rPr>
        <w:t xml:space="preserve">rihodi od administrativnih pristojbi </w:t>
      </w:r>
      <w:r w:rsidR="00ED0B28" w:rsidRPr="00CD15C6">
        <w:rPr>
          <w:rFonts w:eastAsia="Times New Roman" w:cstheme="minorHAnsi"/>
          <w:lang w:val="hr-HR"/>
        </w:rPr>
        <w:t>iznose 815,8</w:t>
      </w:r>
      <w:r w:rsidR="00ED0B28" w:rsidRPr="00ED0B28">
        <w:rPr>
          <w:rFonts w:eastAsia="Times New Roman" w:cstheme="minorHAnsi"/>
          <w:lang w:val="hr-HR"/>
        </w:rPr>
        <w:t xml:space="preserve"> milijuna kuna i ne mijenjaju se u odnosu na prethodni plan. </w:t>
      </w:r>
    </w:p>
    <w:p w:rsidR="00E57CFF" w:rsidRPr="00ED0B28" w:rsidRDefault="00E57CFF" w:rsidP="00E57CFF">
      <w:pPr>
        <w:spacing w:before="240"/>
        <w:jc w:val="both"/>
        <w:rPr>
          <w:rFonts w:cstheme="minorHAnsi"/>
          <w:b/>
          <w:i/>
          <w:lang w:val="hr-HR"/>
        </w:rPr>
      </w:pPr>
      <w:r w:rsidRPr="00ED0B28">
        <w:rPr>
          <w:rFonts w:cstheme="minorHAnsi"/>
          <w:b/>
          <w:i/>
          <w:lang w:val="hr-HR"/>
        </w:rPr>
        <w:t>Prihodi od prodaje proizvoda i roba te pruženih usluga i prihodi od donacija</w:t>
      </w:r>
    </w:p>
    <w:p w:rsidR="00ED0B28" w:rsidRPr="00ED0B28" w:rsidRDefault="00ED0B28" w:rsidP="00ED0B28">
      <w:pPr>
        <w:spacing w:after="120"/>
        <w:jc w:val="both"/>
        <w:rPr>
          <w:rFonts w:eastAsia="Times New Roman" w:cstheme="minorHAnsi"/>
          <w:lang w:val="hr-HR"/>
        </w:rPr>
      </w:pPr>
      <w:r w:rsidRPr="00ED0B28">
        <w:rPr>
          <w:rFonts w:eastAsia="Times New Roman" w:cstheme="minorHAnsi"/>
          <w:lang w:val="hr-HR"/>
        </w:rPr>
        <w:t xml:space="preserve">Prihode od prodaje proizvoda i roba te pruženih usluga i prihode od donacija planiraju sami korisnici i to su njihovi namjenski prihodi. Ovi prihodi novim </w:t>
      </w:r>
      <w:r w:rsidRPr="00CD15C6">
        <w:rPr>
          <w:rFonts w:eastAsia="Times New Roman" w:cstheme="minorHAnsi"/>
          <w:lang w:val="hr-HR"/>
        </w:rPr>
        <w:t xml:space="preserve">planom za 2021. godinu planirani su u iznosu od 1,5 milijardi kuna i </w:t>
      </w:r>
      <w:r w:rsidR="00CD15C6" w:rsidRPr="00CD15C6">
        <w:rPr>
          <w:rFonts w:eastAsia="Times New Roman" w:cstheme="minorHAnsi"/>
          <w:lang w:val="hr-HR"/>
        </w:rPr>
        <w:t>smanjuju</w:t>
      </w:r>
      <w:r w:rsidRPr="00CD15C6">
        <w:rPr>
          <w:rFonts w:eastAsia="Times New Roman" w:cstheme="minorHAnsi"/>
          <w:lang w:val="hr-HR"/>
        </w:rPr>
        <w:t xml:space="preserve"> se za 25,7 milijuna kuna u odnosu na iznos planiran proračunom iz lipnja 2021. godine.</w:t>
      </w:r>
      <w:r w:rsidRPr="00ED0B28">
        <w:rPr>
          <w:rFonts w:eastAsia="Times New Roman" w:cstheme="minorHAnsi"/>
          <w:lang w:val="hr-HR"/>
        </w:rPr>
        <w:t xml:space="preserve"> </w:t>
      </w:r>
    </w:p>
    <w:p w:rsidR="00E57CFF" w:rsidRPr="00ED0B28" w:rsidRDefault="00E57CFF" w:rsidP="00E57CFF">
      <w:pPr>
        <w:spacing w:before="240"/>
        <w:jc w:val="both"/>
        <w:rPr>
          <w:rFonts w:cstheme="minorHAnsi"/>
          <w:b/>
          <w:i/>
          <w:lang w:val="hr-HR"/>
        </w:rPr>
      </w:pPr>
      <w:r w:rsidRPr="00ED0B28">
        <w:rPr>
          <w:rFonts w:cstheme="minorHAnsi"/>
          <w:b/>
          <w:i/>
          <w:lang w:val="hr-HR"/>
        </w:rPr>
        <w:t>Prihodi iz nadležnog proračuna i od HZZO-a temeljem ugovornih obveza</w:t>
      </w:r>
    </w:p>
    <w:p w:rsidR="00ED0B28" w:rsidRPr="00ED0B28" w:rsidRDefault="00ED0B28" w:rsidP="00ED0B28">
      <w:pPr>
        <w:spacing w:after="120"/>
        <w:jc w:val="both"/>
        <w:rPr>
          <w:rFonts w:eastAsia="Times New Roman" w:cstheme="minorHAnsi"/>
          <w:lang w:val="hr-HR"/>
        </w:rPr>
      </w:pPr>
      <w:r w:rsidRPr="00ED0B28">
        <w:rPr>
          <w:rFonts w:eastAsia="Times New Roman" w:cstheme="minorHAnsi"/>
          <w:lang w:val="hr-HR"/>
        </w:rPr>
        <w:t xml:space="preserve">Novim planom za 2021. godinu očekuje se kako će prihodi iz nadležnog proračuna i od HZZO-a temeljem ugovornih obveza </w:t>
      </w:r>
      <w:r w:rsidRPr="00716AF3">
        <w:rPr>
          <w:rFonts w:eastAsia="Times New Roman" w:cstheme="minorHAnsi"/>
          <w:lang w:val="hr-HR"/>
        </w:rPr>
        <w:t>iznositi 10,3 milijarde kuna, što je povećanje od 1,1 milijardu</w:t>
      </w:r>
      <w:r w:rsidRPr="00ED0B28">
        <w:rPr>
          <w:rFonts w:eastAsia="Times New Roman" w:cstheme="minorHAnsi"/>
          <w:lang w:val="hr-HR"/>
        </w:rPr>
        <w:t xml:space="preserve"> kuna u odnosu na prethodni plan.</w:t>
      </w:r>
    </w:p>
    <w:p w:rsidR="00E57CFF" w:rsidRPr="00ED0B28" w:rsidRDefault="00E57CFF" w:rsidP="00E57CFF">
      <w:pPr>
        <w:spacing w:before="240"/>
        <w:jc w:val="both"/>
        <w:rPr>
          <w:rFonts w:cstheme="minorHAnsi"/>
          <w:b/>
          <w:i/>
          <w:lang w:val="hr-HR"/>
        </w:rPr>
      </w:pPr>
      <w:r w:rsidRPr="00ED0B28">
        <w:rPr>
          <w:rFonts w:cstheme="minorHAnsi"/>
          <w:b/>
          <w:i/>
          <w:lang w:val="hr-HR"/>
        </w:rPr>
        <w:t>Kazne, upravne mjere i ostali prihodi</w:t>
      </w:r>
    </w:p>
    <w:p w:rsidR="00ED0B28" w:rsidRPr="00ED0B28" w:rsidRDefault="00ED0B28" w:rsidP="00ED0B28">
      <w:pPr>
        <w:spacing w:after="120"/>
        <w:jc w:val="both"/>
        <w:rPr>
          <w:rFonts w:eastAsia="Times New Roman" w:cstheme="minorHAnsi"/>
          <w:lang w:val="hr-HR"/>
        </w:rPr>
      </w:pPr>
      <w:r w:rsidRPr="00263C6F">
        <w:rPr>
          <w:rFonts w:eastAsia="Times New Roman" w:cstheme="minorHAnsi"/>
          <w:lang w:val="hr-HR"/>
        </w:rPr>
        <w:t>Prihodi od kazni, upravnih mjera i ostalih prihoda novim planom za 2021. godinu iznose 754,5 milijuna kuna i povećavaju se za 82,9 milijuna kuna u odnosu na plan iz lipnja. Ovi prihodi planirani su sukladno ostvarenju proračunskih prihoda po ovoj osnovi u prvih devet</w:t>
      </w:r>
      <w:r w:rsidRPr="00ED0B28">
        <w:rPr>
          <w:rFonts w:eastAsia="Times New Roman" w:cstheme="minorHAnsi"/>
          <w:lang w:val="hr-HR"/>
        </w:rPr>
        <w:t xml:space="preserve"> mjeseci ove godine, te očekivanim kretanjima do kraja godine.  </w:t>
      </w:r>
    </w:p>
    <w:p w:rsidR="00E57CFF" w:rsidRPr="00ED0B28" w:rsidRDefault="00E57CFF" w:rsidP="00E57CFF">
      <w:pPr>
        <w:spacing w:before="240"/>
        <w:jc w:val="both"/>
        <w:rPr>
          <w:rFonts w:cstheme="minorHAnsi"/>
          <w:b/>
          <w:lang w:val="hr-HR"/>
        </w:rPr>
      </w:pPr>
      <w:r w:rsidRPr="00ED0B28">
        <w:rPr>
          <w:rFonts w:cstheme="minorHAnsi"/>
          <w:b/>
          <w:lang w:val="hr-HR"/>
        </w:rPr>
        <w:t>Prihodi od prodaje nefinancijske imovine</w:t>
      </w:r>
    </w:p>
    <w:p w:rsidR="00ED0B28" w:rsidRPr="00ED0B28" w:rsidRDefault="00ED0B28" w:rsidP="00ED0B28">
      <w:pPr>
        <w:spacing w:after="120"/>
        <w:jc w:val="both"/>
        <w:rPr>
          <w:rFonts w:eastAsia="Times New Roman" w:cstheme="minorHAnsi"/>
          <w:lang w:val="hr-HR"/>
        </w:rPr>
      </w:pPr>
      <w:r w:rsidRPr="00ED0B28">
        <w:rPr>
          <w:rFonts w:eastAsia="Times New Roman" w:cstheme="minorHAnsi"/>
          <w:lang w:val="hr-HR"/>
        </w:rPr>
        <w:t xml:space="preserve">Prihodi od prodaje nefinancijske imovine drugim Izmjenama i dopunama proračuna za 2021. godinu </w:t>
      </w:r>
      <w:r w:rsidRPr="00263C6F">
        <w:rPr>
          <w:rFonts w:eastAsia="Times New Roman" w:cstheme="minorHAnsi"/>
          <w:lang w:val="hr-HR"/>
        </w:rPr>
        <w:t>planiraju se u iznosu od 768,9 milijuna kuna i smanjuju se za 155,1 milijun kuna u odnosu na planirane</w:t>
      </w:r>
      <w:r w:rsidRPr="00ED0B28">
        <w:rPr>
          <w:rFonts w:eastAsia="Times New Roman" w:cstheme="minorHAnsi"/>
          <w:lang w:val="hr-HR"/>
        </w:rPr>
        <w:t xml:space="preserve"> u lipnju. Ovi se prihodi najvećim dijelom odnose na prihode od prodaje građevinskih objekata, dok se ostatak odnosi na prihode od prodaje zemljišta, prijevoznih sredstava, postrojenja i opreme te prihode od prodaje zaliha. </w:t>
      </w:r>
    </w:p>
    <w:p w:rsidR="00ED0B28" w:rsidRDefault="00ED0B28" w:rsidP="0076522F">
      <w:pPr>
        <w:pStyle w:val="Opisslike"/>
        <w:spacing w:before="240" w:after="120"/>
        <w:jc w:val="both"/>
        <w:rPr>
          <w:rFonts w:asciiTheme="minorHAnsi" w:hAnsiTheme="minorHAnsi"/>
          <w:b w:val="0"/>
          <w:i/>
          <w:sz w:val="22"/>
          <w:szCs w:val="22"/>
        </w:rPr>
      </w:pPr>
    </w:p>
    <w:p w:rsidR="00ED0B28" w:rsidRDefault="00ED0B28" w:rsidP="0076522F">
      <w:pPr>
        <w:pStyle w:val="Opisslike"/>
        <w:spacing w:before="240" w:after="120"/>
        <w:jc w:val="both"/>
        <w:rPr>
          <w:rFonts w:asciiTheme="minorHAnsi" w:hAnsiTheme="minorHAnsi"/>
          <w:b w:val="0"/>
          <w:i/>
          <w:sz w:val="22"/>
          <w:szCs w:val="22"/>
        </w:rPr>
      </w:pPr>
    </w:p>
    <w:p w:rsidR="00ED0B28" w:rsidRDefault="00ED0B28" w:rsidP="0076522F">
      <w:pPr>
        <w:pStyle w:val="Opisslike"/>
        <w:spacing w:before="240" w:after="120"/>
        <w:jc w:val="both"/>
        <w:rPr>
          <w:rFonts w:asciiTheme="minorHAnsi" w:hAnsiTheme="minorHAnsi"/>
          <w:b w:val="0"/>
          <w:i/>
          <w:sz w:val="22"/>
          <w:szCs w:val="22"/>
        </w:rPr>
      </w:pPr>
    </w:p>
    <w:p w:rsidR="003B24C8" w:rsidRDefault="003B24C8" w:rsidP="0076522F">
      <w:pPr>
        <w:pStyle w:val="Opisslike"/>
        <w:spacing w:before="240" w:after="120"/>
        <w:jc w:val="both"/>
        <w:rPr>
          <w:rFonts w:asciiTheme="minorHAnsi" w:hAnsiTheme="minorHAnsi"/>
          <w:b w:val="0"/>
          <w:i/>
          <w:sz w:val="22"/>
          <w:szCs w:val="22"/>
        </w:rPr>
      </w:pPr>
    </w:p>
    <w:p w:rsidR="00025948" w:rsidRDefault="00025948" w:rsidP="0076522F">
      <w:pPr>
        <w:pStyle w:val="Opisslike"/>
        <w:spacing w:before="240" w:after="120"/>
        <w:jc w:val="both"/>
        <w:rPr>
          <w:rFonts w:asciiTheme="minorHAnsi" w:hAnsiTheme="minorHAnsi"/>
          <w:b w:val="0"/>
          <w:i/>
          <w:sz w:val="22"/>
          <w:szCs w:val="22"/>
        </w:rPr>
      </w:pPr>
      <w:r w:rsidRPr="00ED0B28">
        <w:rPr>
          <w:rFonts w:asciiTheme="minorHAnsi" w:hAnsiTheme="minorHAnsi"/>
          <w:b w:val="0"/>
          <w:i/>
          <w:sz w:val="22"/>
          <w:szCs w:val="22"/>
        </w:rPr>
        <w:lastRenderedPageBreak/>
        <w:t xml:space="preserve">Tablica </w:t>
      </w:r>
      <w:r w:rsidRPr="00ED0B28">
        <w:rPr>
          <w:rFonts w:asciiTheme="minorHAnsi" w:hAnsiTheme="minorHAnsi"/>
          <w:b w:val="0"/>
          <w:i/>
          <w:sz w:val="22"/>
          <w:szCs w:val="22"/>
        </w:rPr>
        <w:fldChar w:fldCharType="begin"/>
      </w:r>
      <w:r w:rsidRPr="00ED0B28">
        <w:rPr>
          <w:rFonts w:asciiTheme="minorHAnsi" w:hAnsiTheme="minorHAnsi"/>
          <w:b w:val="0"/>
          <w:i/>
          <w:sz w:val="22"/>
          <w:szCs w:val="22"/>
        </w:rPr>
        <w:instrText xml:space="preserve"> SEQ Tablica \* ARABIC </w:instrText>
      </w:r>
      <w:r w:rsidRPr="00ED0B28">
        <w:rPr>
          <w:rFonts w:asciiTheme="minorHAnsi" w:hAnsiTheme="minorHAnsi"/>
          <w:b w:val="0"/>
          <w:i/>
          <w:sz w:val="22"/>
          <w:szCs w:val="22"/>
        </w:rPr>
        <w:fldChar w:fldCharType="separate"/>
      </w:r>
      <w:r w:rsidR="00CD730D">
        <w:rPr>
          <w:rFonts w:asciiTheme="minorHAnsi" w:hAnsiTheme="minorHAnsi"/>
          <w:b w:val="0"/>
          <w:i/>
          <w:noProof/>
          <w:sz w:val="22"/>
          <w:szCs w:val="22"/>
        </w:rPr>
        <w:t>3</w:t>
      </w:r>
      <w:r w:rsidRPr="00ED0B28">
        <w:rPr>
          <w:rFonts w:asciiTheme="minorHAnsi" w:hAnsiTheme="minorHAnsi"/>
          <w:b w:val="0"/>
          <w:i/>
          <w:sz w:val="22"/>
          <w:szCs w:val="22"/>
        </w:rPr>
        <w:fldChar w:fldCharType="end"/>
      </w:r>
      <w:r w:rsidRPr="00ED0B28">
        <w:rPr>
          <w:rFonts w:asciiTheme="minorHAnsi" w:hAnsiTheme="minorHAnsi"/>
          <w:b w:val="0"/>
          <w:i/>
          <w:sz w:val="22"/>
          <w:szCs w:val="22"/>
        </w:rPr>
        <w:t>. Prihodi državnog proračuna za 20</w:t>
      </w:r>
      <w:r w:rsidR="00890A93" w:rsidRPr="00ED0B28">
        <w:rPr>
          <w:rFonts w:asciiTheme="minorHAnsi" w:hAnsiTheme="minorHAnsi"/>
          <w:b w:val="0"/>
          <w:i/>
          <w:sz w:val="22"/>
          <w:szCs w:val="22"/>
        </w:rPr>
        <w:t>2</w:t>
      </w:r>
      <w:r w:rsidR="000674BE" w:rsidRPr="00ED0B28">
        <w:rPr>
          <w:rFonts w:asciiTheme="minorHAnsi" w:hAnsiTheme="minorHAnsi"/>
          <w:b w:val="0"/>
          <w:i/>
          <w:sz w:val="22"/>
          <w:szCs w:val="22"/>
        </w:rPr>
        <w:t>1</w:t>
      </w:r>
      <w:r w:rsidRPr="00ED0B28">
        <w:rPr>
          <w:rFonts w:asciiTheme="minorHAnsi" w:hAnsiTheme="minorHAnsi"/>
          <w:b w:val="0"/>
          <w:i/>
          <w:sz w:val="22"/>
          <w:szCs w:val="22"/>
        </w:rPr>
        <w:t>. godinu</w:t>
      </w:r>
    </w:p>
    <w:p w:rsidR="000D3576" w:rsidRPr="00364E3D" w:rsidRDefault="00970185" w:rsidP="00364E3D">
      <w:pPr>
        <w:spacing w:after="0"/>
        <w:rPr>
          <w:noProof/>
          <w:lang w:val="hr-HR" w:eastAsia="hr-HR"/>
        </w:rPr>
      </w:pPr>
      <w:r w:rsidRPr="00970185">
        <w:rPr>
          <w:noProof/>
          <w:lang w:val="hr-HR" w:eastAsia="hr-HR"/>
        </w:rPr>
        <w:drawing>
          <wp:inline distT="0" distB="0" distL="0" distR="0">
            <wp:extent cx="5760720" cy="5026744"/>
            <wp:effectExtent l="0" t="0" r="0" b="254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26744"/>
                    </a:xfrm>
                    <a:prstGeom prst="rect">
                      <a:avLst/>
                    </a:prstGeom>
                    <a:noFill/>
                    <a:ln>
                      <a:noFill/>
                    </a:ln>
                  </pic:spPr>
                </pic:pic>
              </a:graphicData>
            </a:graphic>
          </wp:inline>
        </w:drawing>
      </w:r>
    </w:p>
    <w:p w:rsidR="00025948" w:rsidRPr="00A22498" w:rsidRDefault="00025948" w:rsidP="00A22498">
      <w:pPr>
        <w:jc w:val="both"/>
        <w:rPr>
          <w:rFonts w:cs="Times New Roman"/>
          <w:i/>
          <w:color w:val="000000"/>
          <w:lang w:val="hr-HR"/>
        </w:rPr>
      </w:pPr>
      <w:r w:rsidRPr="009B5CBF">
        <w:rPr>
          <w:rFonts w:cs="Times New Roman"/>
          <w:i/>
          <w:color w:val="000000"/>
          <w:lang w:val="hr-HR"/>
        </w:rPr>
        <w:t>Izvor: Ministarstvo financija</w:t>
      </w:r>
      <w:r w:rsidRPr="009B5CBF">
        <w:rPr>
          <w:lang w:val="hr-HR"/>
        </w:rPr>
        <w:br w:type="page"/>
      </w:r>
    </w:p>
    <w:p w:rsidR="00A461B3" w:rsidRDefault="00A461B3" w:rsidP="00A461B3">
      <w:pPr>
        <w:pStyle w:val="Naslov1"/>
        <w:numPr>
          <w:ilvl w:val="0"/>
          <w:numId w:val="1"/>
        </w:numPr>
        <w:rPr>
          <w:lang w:val="hr-HR"/>
        </w:rPr>
      </w:pPr>
      <w:bookmarkStart w:id="7" w:name="_Toc381720707"/>
      <w:bookmarkStart w:id="8" w:name="_Toc497069943"/>
      <w:bookmarkStart w:id="9" w:name="_Toc23378480"/>
      <w:bookmarkStart w:id="10" w:name="_Toc86306108"/>
      <w:r w:rsidRPr="006C489E">
        <w:rPr>
          <w:lang w:val="hr-HR"/>
        </w:rPr>
        <w:lastRenderedPageBreak/>
        <w:t>RASHODI DRŽAVNOG PRORAČUNA</w:t>
      </w:r>
      <w:bookmarkEnd w:id="7"/>
      <w:bookmarkEnd w:id="8"/>
      <w:bookmarkEnd w:id="9"/>
      <w:bookmarkEnd w:id="10"/>
      <w:r w:rsidRPr="006C489E">
        <w:rPr>
          <w:lang w:val="hr-HR"/>
        </w:rPr>
        <w:t xml:space="preserve"> </w:t>
      </w:r>
    </w:p>
    <w:p w:rsidR="00D92DB5" w:rsidRDefault="00D92DB5" w:rsidP="00D92DB5">
      <w:pPr>
        <w:shd w:val="clear" w:color="auto" w:fill="FFFFFF"/>
        <w:spacing w:after="0" w:line="240" w:lineRule="auto"/>
        <w:jc w:val="both"/>
        <w:rPr>
          <w:rFonts w:cstheme="minorHAnsi"/>
          <w:sz w:val="24"/>
          <w:szCs w:val="24"/>
          <w:lang w:val="hr-HR"/>
        </w:rPr>
      </w:pPr>
    </w:p>
    <w:p w:rsidR="007C5725" w:rsidRPr="007C5725" w:rsidRDefault="007C5725" w:rsidP="007C5725">
      <w:pPr>
        <w:shd w:val="clear" w:color="auto" w:fill="FFFFFF"/>
        <w:jc w:val="both"/>
        <w:rPr>
          <w:rFonts w:eastAsia="Times New Roman" w:cstheme="minorHAnsi"/>
          <w:lang w:val="hr-HR" w:eastAsia="hr-HR"/>
        </w:rPr>
      </w:pPr>
      <w:r w:rsidRPr="007C5725">
        <w:rPr>
          <w:rFonts w:cstheme="minorHAnsi"/>
          <w:lang w:val="hr-HR"/>
        </w:rPr>
        <w:t xml:space="preserve">Ovim drugim Izmjenama i dopunama Državnog proračuna za 2021. godinu se i nadalje, kao što je bio slučaj i kod Izmjena i dopuna državnog proračuna iz lipnja 2021. godine, osiguravaju potrebna </w:t>
      </w:r>
      <w:r w:rsidRPr="007C5725">
        <w:rPr>
          <w:rFonts w:eastAsia="Times New Roman" w:cstheme="minorHAnsi"/>
          <w:lang w:val="hr-HR" w:eastAsia="hr-HR"/>
        </w:rPr>
        <w:t xml:space="preserve">dodatna sredstva za podmirenje dugova zdravstvenog sustava te dodatna sredstva za </w:t>
      </w:r>
      <w:r w:rsidRPr="007C5725">
        <w:rPr>
          <w:rFonts w:cstheme="minorHAnsi"/>
          <w:lang w:val="hr-HR"/>
        </w:rPr>
        <w:t xml:space="preserve">mjeru </w:t>
      </w:r>
      <w:r w:rsidRPr="007C5725">
        <w:rPr>
          <w:rFonts w:eastAsia="Times New Roman" w:cstheme="minorHAnsi"/>
          <w:lang w:val="hr-HR" w:eastAsia="hr-HR"/>
        </w:rPr>
        <w:t xml:space="preserve">potpore za očuvanje radnih mjesta u djelatnostima pogođenim </w:t>
      </w:r>
      <w:r w:rsidRPr="007C5725">
        <w:rPr>
          <w:rFonts w:cstheme="minorHAnsi"/>
          <w:lang w:val="hr-HR"/>
        </w:rPr>
        <w:t xml:space="preserve">epidemijom </w:t>
      </w:r>
      <w:r w:rsidRPr="007C5725">
        <w:rPr>
          <w:rFonts w:eastAsia="Times New Roman" w:cstheme="minorHAnsi"/>
          <w:lang w:val="hr-HR" w:eastAsia="hr-HR"/>
        </w:rPr>
        <w:t xml:space="preserve">COVID-19.  Sredstva za mjeru potpore za očuvanje radnih mjesta osiguravaju se u okviru općih prihoda i to dijelom za buduće isplate, a dijelom kako bi se omogućilo da se dio već isplaćenih sredstava iz izvora financiranja pomoći EU preraspodijeli na izvor financiranja opći prihodi i primici. Ujedno, osiguravaju se i sredstva za rast osnovica za obračun plaća u državnim i javnim službama. </w:t>
      </w:r>
    </w:p>
    <w:p w:rsidR="007C5725" w:rsidRPr="007C5725" w:rsidRDefault="007C5725" w:rsidP="007C5725">
      <w:pPr>
        <w:shd w:val="clear" w:color="auto" w:fill="FFFFFF"/>
        <w:jc w:val="both"/>
        <w:rPr>
          <w:rFonts w:cstheme="minorHAnsi"/>
          <w:lang w:val="hr-HR"/>
        </w:rPr>
      </w:pPr>
      <w:r w:rsidRPr="007C5725">
        <w:rPr>
          <w:rFonts w:eastAsia="Times New Roman" w:cstheme="minorHAnsi"/>
          <w:lang w:val="hr-HR" w:eastAsia="hr-HR"/>
        </w:rPr>
        <w:t>Slijedom navedenog o</w:t>
      </w:r>
      <w:r w:rsidRPr="007C5725">
        <w:rPr>
          <w:rFonts w:cstheme="minorHAnsi"/>
          <w:lang w:val="hr-HR"/>
        </w:rPr>
        <w:t>vim Izmjenama i dopunama Državnog proračuna ukupni rashodi povećavaju se za 6,0 milijardi kuna, odnosno sa 167,3 milijarde kuna na 173,3 milijarde kuna.</w:t>
      </w:r>
    </w:p>
    <w:p w:rsidR="007C5725" w:rsidRPr="007C5725" w:rsidRDefault="007C5725" w:rsidP="007C5725">
      <w:pPr>
        <w:jc w:val="both"/>
        <w:rPr>
          <w:rFonts w:cstheme="minorHAnsi"/>
          <w:lang w:val="hr-HR"/>
        </w:rPr>
      </w:pPr>
      <w:r w:rsidRPr="007C5725">
        <w:rPr>
          <w:rFonts w:cstheme="minorHAnsi"/>
          <w:lang w:val="hr-HR"/>
        </w:rPr>
        <w:t>Od navedenog povećanja rashodi koji se financiraju iz općih prihoda i primitaka, doprinosa i namjenskih primitaka, povećavaju se za 7,1 milijardu kuna, dok se rashodi koji se financiraju iz EU i ostalih izvora smanjuju za 1,1 milijardu kuna.</w:t>
      </w:r>
    </w:p>
    <w:p w:rsidR="007C5725" w:rsidRPr="007C5725" w:rsidRDefault="007C5725" w:rsidP="007C5725">
      <w:pPr>
        <w:jc w:val="both"/>
        <w:rPr>
          <w:rFonts w:cstheme="minorHAnsi"/>
          <w:lang w:val="hr-HR"/>
        </w:rPr>
      </w:pPr>
      <w:r w:rsidRPr="007C5725">
        <w:rPr>
          <w:rFonts w:cstheme="minorHAnsi"/>
          <w:lang w:val="hr-HR"/>
        </w:rPr>
        <w:t>Unutar rashoda financiranih iz općih prihoda i primitaka, doprinosa i namjenskih primitaka najznačajnija povećanja odnose se na:</w:t>
      </w:r>
    </w:p>
    <w:p w:rsidR="007C5725" w:rsidRPr="007C5725" w:rsidRDefault="007C5725" w:rsidP="007C5725">
      <w:pPr>
        <w:numPr>
          <w:ilvl w:val="0"/>
          <w:numId w:val="6"/>
        </w:numPr>
        <w:spacing w:after="0"/>
        <w:contextualSpacing/>
        <w:jc w:val="both"/>
        <w:rPr>
          <w:rFonts w:cstheme="minorHAnsi"/>
          <w:lang w:val="hr-HR"/>
        </w:rPr>
      </w:pPr>
      <w:r w:rsidRPr="007C5725">
        <w:rPr>
          <w:rFonts w:cstheme="minorHAnsi"/>
          <w:lang w:val="hr-HR"/>
        </w:rPr>
        <w:t>osiguranje sredstava za nabavu borbenih aviona 2,4 milijarde kuna,</w:t>
      </w:r>
    </w:p>
    <w:p w:rsidR="007C5725" w:rsidRPr="007C5725" w:rsidRDefault="007C5725" w:rsidP="007C5725">
      <w:pPr>
        <w:numPr>
          <w:ilvl w:val="0"/>
          <w:numId w:val="6"/>
        </w:numPr>
        <w:spacing w:after="0"/>
        <w:contextualSpacing/>
        <w:jc w:val="both"/>
        <w:rPr>
          <w:rFonts w:cstheme="minorHAnsi"/>
          <w:lang w:val="hr-HR"/>
        </w:rPr>
      </w:pPr>
      <w:r w:rsidRPr="007C5725">
        <w:rPr>
          <w:rFonts w:cstheme="minorHAnsi"/>
          <w:lang w:val="hr-HR"/>
        </w:rPr>
        <w:t>dodatna sredstva za rashode za zaposlene (uključujući rashode za zaposlene u osnovnom i srednjem školstvu) u iznosu od 928,8 milijuna kuna,</w:t>
      </w:r>
    </w:p>
    <w:p w:rsidR="007C5725" w:rsidRPr="007C5725" w:rsidRDefault="007C5725" w:rsidP="007C5725">
      <w:pPr>
        <w:numPr>
          <w:ilvl w:val="0"/>
          <w:numId w:val="6"/>
        </w:numPr>
        <w:spacing w:after="0"/>
        <w:contextualSpacing/>
        <w:jc w:val="both"/>
        <w:rPr>
          <w:rFonts w:cstheme="minorHAnsi"/>
          <w:lang w:val="hr-HR"/>
        </w:rPr>
      </w:pPr>
      <w:r w:rsidRPr="007C5725">
        <w:rPr>
          <w:rFonts w:cstheme="minorHAnsi"/>
          <w:lang w:val="hr-HR"/>
        </w:rPr>
        <w:t xml:space="preserve">dodatna sredstva za sanaciju ustanova u zdravstvu u iznosu od 735,9 milijuna kuna i dodatna sredstva za isplatu razlike uvećanja plaće za prekovremeni rad u iznosu od 64,1 milijun kuna, </w:t>
      </w:r>
    </w:p>
    <w:p w:rsidR="007C5725" w:rsidRPr="007C5725" w:rsidRDefault="007C5725" w:rsidP="007C5725">
      <w:pPr>
        <w:numPr>
          <w:ilvl w:val="0"/>
          <w:numId w:val="6"/>
        </w:numPr>
        <w:spacing w:after="0"/>
        <w:contextualSpacing/>
        <w:jc w:val="both"/>
        <w:rPr>
          <w:rFonts w:cstheme="minorHAnsi"/>
          <w:lang w:val="hr-HR"/>
        </w:rPr>
      </w:pPr>
      <w:r w:rsidRPr="007C5725">
        <w:rPr>
          <w:rFonts w:cstheme="minorHAnsi"/>
          <w:lang w:val="hr-HR"/>
        </w:rPr>
        <w:t>povećani transfer Hrvatskom zavodu za zdravstveno osiguranje u iznosu od 700,0 milijuna kuna,</w:t>
      </w:r>
    </w:p>
    <w:p w:rsidR="007C5725" w:rsidRPr="007C5725" w:rsidRDefault="007C5725" w:rsidP="007C5725">
      <w:pPr>
        <w:numPr>
          <w:ilvl w:val="0"/>
          <w:numId w:val="6"/>
        </w:numPr>
        <w:spacing w:after="0"/>
        <w:contextualSpacing/>
        <w:jc w:val="both"/>
        <w:rPr>
          <w:rFonts w:cstheme="minorHAnsi"/>
          <w:lang w:val="hr-HR"/>
        </w:rPr>
      </w:pPr>
      <w:r w:rsidRPr="007C5725">
        <w:rPr>
          <w:rFonts w:cstheme="minorHAnsi"/>
          <w:lang w:val="hr-HR"/>
        </w:rPr>
        <w:t>dodatna sredstava za mirovine u iznosu od 672,2 milijuna kuna,</w:t>
      </w:r>
    </w:p>
    <w:p w:rsidR="007C5725" w:rsidRPr="007C5725" w:rsidRDefault="007C5725" w:rsidP="007C5725">
      <w:pPr>
        <w:numPr>
          <w:ilvl w:val="0"/>
          <w:numId w:val="6"/>
        </w:numPr>
        <w:spacing w:after="0"/>
        <w:contextualSpacing/>
        <w:jc w:val="both"/>
        <w:rPr>
          <w:rFonts w:cstheme="minorHAnsi"/>
          <w:lang w:val="hr-HR"/>
        </w:rPr>
      </w:pPr>
      <w:r w:rsidRPr="007C5725">
        <w:rPr>
          <w:rFonts w:cstheme="minorHAnsi"/>
          <w:lang w:val="hr-HR"/>
        </w:rPr>
        <w:t xml:space="preserve">povećana izdvajanja za potpore za očuvanje radnih mjesta u djelatnostima pogođenima </w:t>
      </w:r>
      <w:proofErr w:type="spellStart"/>
      <w:r w:rsidRPr="007C5725">
        <w:rPr>
          <w:rFonts w:cstheme="minorHAnsi"/>
          <w:lang w:val="hr-HR"/>
        </w:rPr>
        <w:t>koronavirusom</w:t>
      </w:r>
      <w:proofErr w:type="spellEnd"/>
      <w:r w:rsidRPr="007C5725">
        <w:rPr>
          <w:rFonts w:cstheme="minorHAnsi"/>
          <w:lang w:val="hr-HR"/>
        </w:rPr>
        <w:t xml:space="preserve"> u iznosu 607,8 milijuna kuna,</w:t>
      </w:r>
    </w:p>
    <w:p w:rsidR="007C5725" w:rsidRPr="007C5725" w:rsidRDefault="007C5725" w:rsidP="007C5725">
      <w:pPr>
        <w:numPr>
          <w:ilvl w:val="0"/>
          <w:numId w:val="6"/>
        </w:numPr>
        <w:spacing w:after="0"/>
        <w:contextualSpacing/>
        <w:jc w:val="both"/>
        <w:rPr>
          <w:rFonts w:cstheme="minorHAnsi"/>
          <w:lang w:val="hr-HR"/>
        </w:rPr>
      </w:pPr>
      <w:r w:rsidRPr="007C5725">
        <w:rPr>
          <w:rFonts w:cstheme="minorHAnsi"/>
          <w:lang w:val="hr-HR"/>
        </w:rPr>
        <w:t>dodatna sredstva za doprinos Republike Hrvatske proračunu Europske unije 494,9 milijuna kuna.</w:t>
      </w:r>
    </w:p>
    <w:p w:rsidR="007C5725" w:rsidRPr="007C5725" w:rsidRDefault="007C5725" w:rsidP="007C5725">
      <w:pPr>
        <w:spacing w:after="0"/>
        <w:jc w:val="both"/>
        <w:rPr>
          <w:rFonts w:cstheme="minorHAnsi"/>
          <w:lang w:val="hr-HR"/>
        </w:rPr>
      </w:pPr>
    </w:p>
    <w:p w:rsidR="003C1F05" w:rsidRPr="007C5725" w:rsidRDefault="007C5725" w:rsidP="007C5725">
      <w:pPr>
        <w:jc w:val="both"/>
        <w:rPr>
          <w:rFonts w:cstheme="minorHAnsi"/>
          <w:lang w:val="hr-HR"/>
        </w:rPr>
      </w:pPr>
      <w:r w:rsidRPr="007C5725">
        <w:rPr>
          <w:rFonts w:cstheme="minorHAnsi"/>
          <w:lang w:val="hr-HR"/>
        </w:rPr>
        <w:t>U okviru rashoda koji se financiraju iz EU i ostalih izvora smanjenje je prvenstveno rezultat smanjenja rashoda vezanih uz projekte sanacije štete nastale uslijed potresa zbog dinamike  provedbe istih.</w:t>
      </w:r>
    </w:p>
    <w:p w:rsidR="002F3F2E" w:rsidRPr="007C5725" w:rsidRDefault="002F3F2E" w:rsidP="007C5725">
      <w:pPr>
        <w:rPr>
          <w:rFonts w:cstheme="minorHAnsi"/>
          <w:highlight w:val="yellow"/>
          <w:lang w:val="hr-HR"/>
        </w:rPr>
      </w:pPr>
    </w:p>
    <w:p w:rsidR="003C1F05" w:rsidRPr="007C5725" w:rsidRDefault="003C1F05" w:rsidP="007C5725">
      <w:pPr>
        <w:rPr>
          <w:rFonts w:cstheme="minorHAnsi"/>
          <w:highlight w:val="yellow"/>
          <w:lang w:val="hr-HR"/>
        </w:rPr>
      </w:pPr>
    </w:p>
    <w:p w:rsidR="003C1F05" w:rsidRPr="007C5725" w:rsidRDefault="003C1F05" w:rsidP="007C5725">
      <w:pPr>
        <w:rPr>
          <w:rFonts w:cstheme="minorHAnsi"/>
          <w:highlight w:val="yellow"/>
          <w:lang w:val="hr-HR"/>
        </w:rPr>
      </w:pPr>
    </w:p>
    <w:p w:rsidR="003C1F05" w:rsidRPr="007C5725" w:rsidRDefault="003C1F05" w:rsidP="007C5725">
      <w:pPr>
        <w:rPr>
          <w:rFonts w:cstheme="minorHAnsi"/>
          <w:highlight w:val="yellow"/>
          <w:lang w:val="hr-HR"/>
        </w:rPr>
      </w:pPr>
    </w:p>
    <w:p w:rsidR="003C1F05" w:rsidRPr="007C5725" w:rsidRDefault="003C1F05" w:rsidP="007C5725">
      <w:pPr>
        <w:rPr>
          <w:rFonts w:cstheme="minorHAnsi"/>
          <w:highlight w:val="yellow"/>
          <w:lang w:val="hr-HR"/>
        </w:rPr>
      </w:pPr>
    </w:p>
    <w:p w:rsidR="003C1F05" w:rsidRPr="007C5725" w:rsidRDefault="003C1F05" w:rsidP="007C5725">
      <w:pPr>
        <w:rPr>
          <w:rFonts w:cstheme="minorHAnsi"/>
          <w:highlight w:val="yellow"/>
          <w:lang w:val="hr-HR"/>
        </w:rPr>
      </w:pPr>
    </w:p>
    <w:p w:rsidR="00796C59" w:rsidRPr="007C5725" w:rsidRDefault="00796C59" w:rsidP="007C5725">
      <w:pPr>
        <w:pStyle w:val="Opisslike"/>
        <w:spacing w:before="240" w:after="120" w:line="276" w:lineRule="auto"/>
        <w:jc w:val="both"/>
        <w:rPr>
          <w:rFonts w:asciiTheme="minorHAnsi" w:hAnsiTheme="minorHAnsi" w:cstheme="minorHAnsi"/>
          <w:b w:val="0"/>
          <w:i/>
          <w:sz w:val="22"/>
          <w:szCs w:val="22"/>
        </w:rPr>
      </w:pPr>
      <w:r w:rsidRPr="007C5725">
        <w:rPr>
          <w:rFonts w:asciiTheme="minorHAnsi" w:hAnsiTheme="minorHAnsi" w:cstheme="minorHAnsi"/>
          <w:b w:val="0"/>
          <w:i/>
          <w:sz w:val="22"/>
          <w:szCs w:val="22"/>
        </w:rPr>
        <w:lastRenderedPageBreak/>
        <w:t xml:space="preserve">Tablica </w:t>
      </w:r>
      <w:r w:rsidRPr="007C5725">
        <w:rPr>
          <w:rFonts w:asciiTheme="minorHAnsi" w:hAnsiTheme="minorHAnsi" w:cstheme="minorHAnsi"/>
          <w:b w:val="0"/>
          <w:i/>
          <w:sz w:val="22"/>
          <w:szCs w:val="22"/>
        </w:rPr>
        <w:fldChar w:fldCharType="begin"/>
      </w:r>
      <w:r w:rsidRPr="007C5725">
        <w:rPr>
          <w:rFonts w:asciiTheme="minorHAnsi" w:hAnsiTheme="minorHAnsi" w:cstheme="minorHAnsi"/>
          <w:b w:val="0"/>
          <w:i/>
          <w:sz w:val="22"/>
          <w:szCs w:val="22"/>
        </w:rPr>
        <w:instrText xml:space="preserve"> SEQ Tablica \* ARABIC </w:instrText>
      </w:r>
      <w:r w:rsidRPr="007C5725">
        <w:rPr>
          <w:rFonts w:asciiTheme="minorHAnsi" w:hAnsiTheme="minorHAnsi" w:cstheme="minorHAnsi"/>
          <w:b w:val="0"/>
          <w:i/>
          <w:sz w:val="22"/>
          <w:szCs w:val="22"/>
        </w:rPr>
        <w:fldChar w:fldCharType="separate"/>
      </w:r>
      <w:r w:rsidR="00CD730D">
        <w:rPr>
          <w:rFonts w:asciiTheme="minorHAnsi" w:hAnsiTheme="minorHAnsi" w:cstheme="minorHAnsi"/>
          <w:b w:val="0"/>
          <w:i/>
          <w:noProof/>
          <w:sz w:val="22"/>
          <w:szCs w:val="22"/>
        </w:rPr>
        <w:t>4</w:t>
      </w:r>
      <w:r w:rsidRPr="007C5725">
        <w:rPr>
          <w:rFonts w:asciiTheme="minorHAnsi" w:hAnsiTheme="minorHAnsi" w:cstheme="minorHAnsi"/>
          <w:b w:val="0"/>
          <w:i/>
          <w:sz w:val="22"/>
          <w:szCs w:val="22"/>
        </w:rPr>
        <w:fldChar w:fldCharType="end"/>
      </w:r>
      <w:r w:rsidRPr="007C5725">
        <w:rPr>
          <w:rFonts w:asciiTheme="minorHAnsi" w:hAnsiTheme="minorHAnsi" w:cstheme="minorHAnsi"/>
          <w:b w:val="0"/>
          <w:i/>
          <w:sz w:val="22"/>
          <w:szCs w:val="22"/>
        </w:rPr>
        <w:t>. Ukupni rashodi državnog proračuna po ekonomskoj klasifikaciji</w:t>
      </w:r>
    </w:p>
    <w:p w:rsidR="00A461B3" w:rsidRPr="007C5725" w:rsidRDefault="007C5725" w:rsidP="007C5725">
      <w:pPr>
        <w:spacing w:after="0"/>
        <w:rPr>
          <w:rFonts w:cstheme="minorHAnsi"/>
          <w:noProof/>
          <w:highlight w:val="yellow"/>
          <w:lang w:val="hr-HR" w:eastAsia="hr-HR"/>
        </w:rPr>
      </w:pPr>
      <w:r w:rsidRPr="007C5725">
        <w:rPr>
          <w:rFonts w:cstheme="minorHAnsi"/>
          <w:noProof/>
          <w:lang w:val="hr-HR" w:eastAsia="hr-HR"/>
        </w:rPr>
        <w:drawing>
          <wp:inline distT="0" distB="0" distL="0" distR="0" wp14:anchorId="1E508DD7" wp14:editId="135E36DE">
            <wp:extent cx="5759450" cy="2263313"/>
            <wp:effectExtent l="0" t="0" r="0" b="381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263313"/>
                    </a:xfrm>
                    <a:prstGeom prst="rect">
                      <a:avLst/>
                    </a:prstGeom>
                    <a:noFill/>
                    <a:ln>
                      <a:noFill/>
                    </a:ln>
                  </pic:spPr>
                </pic:pic>
              </a:graphicData>
            </a:graphic>
          </wp:inline>
        </w:drawing>
      </w:r>
    </w:p>
    <w:p w:rsidR="000722F3" w:rsidRPr="007C5725" w:rsidRDefault="00A461B3" w:rsidP="007C5725">
      <w:pPr>
        <w:jc w:val="both"/>
        <w:rPr>
          <w:rFonts w:cstheme="minorHAnsi"/>
          <w:i/>
          <w:color w:val="000000"/>
          <w:lang w:val="hr-HR"/>
        </w:rPr>
      </w:pPr>
      <w:r w:rsidRPr="007C5725">
        <w:rPr>
          <w:rFonts w:cstheme="minorHAnsi"/>
          <w:i/>
          <w:color w:val="000000"/>
          <w:lang w:val="hr-HR"/>
        </w:rPr>
        <w:t>Izvor: Ministarstvo financija</w:t>
      </w:r>
    </w:p>
    <w:p w:rsidR="003C1F05" w:rsidRPr="007C5725" w:rsidRDefault="003C1F05" w:rsidP="007C5725">
      <w:pPr>
        <w:jc w:val="both"/>
        <w:rPr>
          <w:rFonts w:cstheme="minorHAnsi"/>
          <w:i/>
          <w:color w:val="000000"/>
          <w:lang w:val="hr-HR"/>
        </w:rPr>
      </w:pPr>
    </w:p>
    <w:p w:rsidR="002F3F2E" w:rsidRPr="007C5725" w:rsidRDefault="00A461B3" w:rsidP="007C5725">
      <w:pPr>
        <w:pStyle w:val="Naslov2"/>
        <w:numPr>
          <w:ilvl w:val="1"/>
          <w:numId w:val="3"/>
        </w:numPr>
        <w:ind w:left="993" w:hanging="567"/>
        <w:rPr>
          <w:rFonts w:asciiTheme="minorHAnsi" w:hAnsiTheme="minorHAnsi" w:cstheme="minorHAnsi"/>
          <w:sz w:val="22"/>
          <w:szCs w:val="22"/>
          <w:lang w:val="hr-HR"/>
        </w:rPr>
      </w:pPr>
      <w:bookmarkStart w:id="11" w:name="_Toc23378481"/>
      <w:bookmarkStart w:id="12" w:name="_Toc86306109"/>
      <w:r w:rsidRPr="007C5725">
        <w:rPr>
          <w:rFonts w:asciiTheme="minorHAnsi" w:hAnsiTheme="minorHAnsi" w:cstheme="minorHAnsi"/>
          <w:sz w:val="22"/>
          <w:szCs w:val="22"/>
          <w:lang w:val="hr-HR"/>
        </w:rPr>
        <w:t>Obrazloženje rashoda po ekonomskoj klasifikaciji</w:t>
      </w:r>
      <w:bookmarkEnd w:id="11"/>
      <w:bookmarkEnd w:id="12"/>
    </w:p>
    <w:p w:rsidR="005A232D" w:rsidRPr="007C5725" w:rsidRDefault="005A232D" w:rsidP="007C5725">
      <w:pPr>
        <w:spacing w:after="0"/>
        <w:jc w:val="both"/>
        <w:rPr>
          <w:rFonts w:cstheme="minorHAnsi"/>
          <w:highlight w:val="yellow"/>
          <w:lang w:val="hr-HR"/>
        </w:rPr>
      </w:pPr>
    </w:p>
    <w:p w:rsidR="00FF472D" w:rsidRPr="007C5725" w:rsidRDefault="00FF472D" w:rsidP="007C5725">
      <w:pPr>
        <w:jc w:val="both"/>
        <w:rPr>
          <w:rFonts w:cstheme="minorHAnsi"/>
          <w:b/>
          <w:lang w:val="hr-HR"/>
        </w:rPr>
      </w:pPr>
      <w:r w:rsidRPr="007C5725">
        <w:rPr>
          <w:rFonts w:cstheme="minorHAnsi"/>
          <w:b/>
          <w:lang w:val="hr-HR"/>
        </w:rPr>
        <w:t>Rashodi poslovanja</w:t>
      </w:r>
    </w:p>
    <w:p w:rsidR="007C5725" w:rsidRPr="007C5725" w:rsidRDefault="007C5725" w:rsidP="007C5725">
      <w:pPr>
        <w:jc w:val="both"/>
        <w:rPr>
          <w:rFonts w:cstheme="minorHAnsi"/>
          <w:lang w:val="hr-HR"/>
        </w:rPr>
      </w:pPr>
      <w:r w:rsidRPr="007C5725">
        <w:rPr>
          <w:rFonts w:cstheme="minorHAnsi"/>
          <w:lang w:val="hr-HR"/>
        </w:rPr>
        <w:t>Ukupni rashodi poslovanja povećavaju se za 5,5 milijardi kuna i iznose 164,4 milijarde kuna. Navedeno je rezultat povećanja rashoda financiranih iz općih prihoda i primitaka, doprinosa i namjenskih primitaka u iznosu od 4,8 milijardi kuna i rashoda financiranih iz EU i ostalih izvora u iznosu od 707,1 milijun kuna.</w:t>
      </w:r>
    </w:p>
    <w:p w:rsidR="00FF472D" w:rsidRPr="007C5725" w:rsidRDefault="00FF472D" w:rsidP="007C5725">
      <w:pPr>
        <w:jc w:val="both"/>
        <w:rPr>
          <w:rFonts w:cstheme="minorHAnsi"/>
          <w:b/>
          <w:i/>
          <w:lang w:val="hr-HR"/>
        </w:rPr>
      </w:pPr>
      <w:r w:rsidRPr="007C5725">
        <w:rPr>
          <w:rFonts w:cstheme="minorHAnsi"/>
          <w:b/>
          <w:i/>
          <w:lang w:val="hr-HR"/>
        </w:rPr>
        <w:t>Rashodi za zaposlene</w:t>
      </w:r>
    </w:p>
    <w:p w:rsidR="007C5725" w:rsidRPr="007C5725" w:rsidRDefault="007C5725" w:rsidP="007C5725">
      <w:pPr>
        <w:jc w:val="both"/>
        <w:rPr>
          <w:rFonts w:cstheme="minorHAnsi"/>
          <w:lang w:val="hr-HR"/>
        </w:rPr>
      </w:pPr>
      <w:r w:rsidRPr="007C5725">
        <w:rPr>
          <w:rFonts w:cstheme="minorHAnsi"/>
          <w:lang w:val="hr-HR"/>
        </w:rPr>
        <w:t>Ukupni rashodi za zaposlene ovim su Izmjenama i dopunama planirani na razini od 24,4 milijarde kuna (ne uključujući rashode u osnovnom i srednjem školstvu koji su iskazani u okviru pomoći danih u inozemstvo i unutar općeg proračuna) što je povećanje za 564,2 milijuna kuna u odnosu na tekući plan. Ovo povećanje prvenstveno je rezultat osiguranja sredstava za rast osnovice za obračun plaća u državnim i javnim službama i to najvećim dijelom na pozicijama Ministarstva znanosti i obrazovanja, Ministarstva zdravstva i Ministarstva unutarnjih poslova.</w:t>
      </w:r>
    </w:p>
    <w:p w:rsidR="00FF472D" w:rsidRPr="007C5725" w:rsidRDefault="00FF472D" w:rsidP="007C5725">
      <w:pPr>
        <w:jc w:val="both"/>
        <w:rPr>
          <w:rFonts w:cstheme="minorHAnsi"/>
          <w:b/>
          <w:i/>
          <w:lang w:val="hr-HR"/>
        </w:rPr>
      </w:pPr>
      <w:r w:rsidRPr="007C5725">
        <w:rPr>
          <w:rFonts w:cstheme="minorHAnsi"/>
          <w:b/>
          <w:i/>
          <w:lang w:val="hr-HR"/>
        </w:rPr>
        <w:t>Materijalni rashodi</w:t>
      </w:r>
    </w:p>
    <w:p w:rsidR="00FF472D" w:rsidRPr="007C5725" w:rsidRDefault="007C5725" w:rsidP="007C5725">
      <w:pPr>
        <w:spacing w:after="0"/>
        <w:jc w:val="both"/>
        <w:rPr>
          <w:rFonts w:cstheme="minorHAnsi"/>
          <w:b/>
          <w:i/>
          <w:highlight w:val="yellow"/>
          <w:lang w:val="hr-HR"/>
        </w:rPr>
      </w:pPr>
      <w:r w:rsidRPr="007C5725">
        <w:rPr>
          <w:rFonts w:cstheme="minorHAnsi"/>
          <w:lang w:val="hr-HR"/>
        </w:rPr>
        <w:t>Ukupni materijalni rashodi ovim Izmjenama i dopunama ostaju na istoj razini od 18,3 milijarde kuna. Međutim unutar ove kategorije rashoda najvećim dijelom smanjuju se izdvajanja vezana uz sanaciju štete nastale potresom i uz provedbu EU projekata zbog dinamike izvršavanja pojedinih projekata i to na pozicijama Ministarstva prostornoga uređenja, graditeljstva i državne imovine, Ministarstva znanosti i obrazovanja i Ministarstva kulture i medija, dok se istovremeno povećavaju ovi rashodi na pozicijama Ministarstva zdravstva vezano uz sanaciju obveza u sustavu zdravstva i nabavu cjepiva protiv bolesti COVID-19 i Ministarstva unutarnjih poslova vezano uz aktivnosti granične kontrole na hrvatskom dijelu vanjske granice zbog povećanog migracijskog pritiska i sustav civilne zaštite.</w:t>
      </w:r>
    </w:p>
    <w:p w:rsidR="00FF472D" w:rsidRDefault="00FF472D" w:rsidP="007C5725">
      <w:pPr>
        <w:spacing w:after="0"/>
        <w:jc w:val="both"/>
        <w:rPr>
          <w:rFonts w:cstheme="minorHAnsi"/>
          <w:b/>
          <w:i/>
          <w:highlight w:val="yellow"/>
          <w:lang w:val="hr-HR"/>
        </w:rPr>
      </w:pPr>
    </w:p>
    <w:p w:rsidR="007C5725" w:rsidRPr="007C5725" w:rsidRDefault="007C5725" w:rsidP="007C5725">
      <w:pPr>
        <w:spacing w:after="0"/>
        <w:jc w:val="both"/>
        <w:rPr>
          <w:rFonts w:cstheme="minorHAnsi"/>
          <w:b/>
          <w:i/>
          <w:highlight w:val="yellow"/>
          <w:lang w:val="hr-HR"/>
        </w:rPr>
      </w:pPr>
    </w:p>
    <w:p w:rsidR="00FF472D" w:rsidRPr="007C5725" w:rsidRDefault="00FF472D" w:rsidP="007C5725">
      <w:pPr>
        <w:jc w:val="both"/>
        <w:rPr>
          <w:rFonts w:cstheme="minorHAnsi"/>
          <w:b/>
          <w:i/>
          <w:lang w:val="hr-HR"/>
        </w:rPr>
      </w:pPr>
      <w:r w:rsidRPr="007C5725">
        <w:rPr>
          <w:rFonts w:cstheme="minorHAnsi"/>
          <w:b/>
          <w:i/>
          <w:lang w:val="hr-HR"/>
        </w:rPr>
        <w:lastRenderedPageBreak/>
        <w:t>Financijski rashodi</w:t>
      </w:r>
    </w:p>
    <w:p w:rsidR="00FF472D" w:rsidRPr="007C5725" w:rsidRDefault="007C5725" w:rsidP="007C5725">
      <w:pPr>
        <w:jc w:val="both"/>
        <w:rPr>
          <w:rFonts w:cstheme="minorHAnsi"/>
          <w:lang w:val="hr-HR"/>
        </w:rPr>
      </w:pPr>
      <w:r w:rsidRPr="007C5725">
        <w:rPr>
          <w:rFonts w:cstheme="minorHAnsi"/>
          <w:bCs/>
          <w:lang w:val="hr-HR"/>
        </w:rPr>
        <w:t>Financijski rashodi ovim Izmjenama i dopunama planiraju se na razini od 7,8 milijardi kuna te se povećavaju za 380,1 milijun kuna u odnosu na tekući plan 2021. godine.</w:t>
      </w:r>
    </w:p>
    <w:p w:rsidR="00FF472D" w:rsidRPr="007C5725" w:rsidRDefault="00FF472D" w:rsidP="007C5725">
      <w:pPr>
        <w:jc w:val="both"/>
        <w:rPr>
          <w:rFonts w:cstheme="minorHAnsi"/>
          <w:b/>
          <w:i/>
          <w:lang w:val="hr-HR"/>
        </w:rPr>
      </w:pPr>
      <w:r w:rsidRPr="007C5725">
        <w:rPr>
          <w:rFonts w:cstheme="minorHAnsi"/>
          <w:b/>
          <w:i/>
          <w:lang w:val="hr-HR"/>
        </w:rPr>
        <w:t>Subvencije</w:t>
      </w:r>
    </w:p>
    <w:p w:rsidR="007C5725" w:rsidRPr="007C5725" w:rsidRDefault="007C5725" w:rsidP="007C5725">
      <w:pPr>
        <w:jc w:val="both"/>
        <w:rPr>
          <w:rFonts w:cstheme="minorHAnsi"/>
          <w:lang w:val="hr-HR"/>
        </w:rPr>
      </w:pPr>
      <w:r w:rsidRPr="007C5725">
        <w:rPr>
          <w:rFonts w:cstheme="minorHAnsi"/>
          <w:lang w:val="hr-HR"/>
        </w:rPr>
        <w:t>Ukupni rashodi za subvencije iznose 12,3 milijarde kuna što je u odnosu na tekući plan povećanje od 724,3 milijuna kuna.</w:t>
      </w:r>
    </w:p>
    <w:p w:rsidR="007C5725" w:rsidRPr="007C5725" w:rsidRDefault="007C5725" w:rsidP="007C5725">
      <w:pPr>
        <w:jc w:val="both"/>
        <w:rPr>
          <w:rFonts w:cstheme="minorHAnsi"/>
          <w:lang w:val="hr-HR"/>
        </w:rPr>
      </w:pPr>
      <w:r w:rsidRPr="007C5725">
        <w:rPr>
          <w:rFonts w:cstheme="minorHAnsi"/>
          <w:lang w:val="hr-HR"/>
        </w:rPr>
        <w:t xml:space="preserve">Rashodi financirani iz općih prihoda i primitaka, doprinosa i namjenskih primitaka povećavaju se za 531,7 milijuna kuna i to u prvenstveno uslijed povećanih izdvajanja za potpore za očuvanje radnih mjesta u djelatnostima pogođenima </w:t>
      </w:r>
      <w:proofErr w:type="spellStart"/>
      <w:r w:rsidRPr="007C5725">
        <w:rPr>
          <w:rFonts w:cstheme="minorHAnsi"/>
          <w:lang w:val="hr-HR"/>
        </w:rPr>
        <w:t>koronavirusom</w:t>
      </w:r>
      <w:proofErr w:type="spellEnd"/>
      <w:r w:rsidRPr="007C5725">
        <w:rPr>
          <w:rFonts w:cstheme="minorHAnsi"/>
          <w:lang w:val="hr-HR"/>
        </w:rPr>
        <w:t xml:space="preserve">. </w:t>
      </w:r>
    </w:p>
    <w:p w:rsidR="007C5725" w:rsidRPr="007C5725" w:rsidRDefault="007C5725" w:rsidP="007C5725">
      <w:pPr>
        <w:jc w:val="both"/>
        <w:rPr>
          <w:rFonts w:cstheme="minorHAnsi"/>
          <w:lang w:val="hr-HR"/>
        </w:rPr>
      </w:pPr>
      <w:r w:rsidRPr="007C5725">
        <w:rPr>
          <w:rFonts w:cstheme="minorHAnsi"/>
          <w:lang w:val="hr-HR"/>
        </w:rPr>
        <w:t xml:space="preserve">Rashodi financirani iz EU i ostalih izvora povećavaju se za 192,6 milijuna kuna prvenstveno uslijed povećanih izdvajanja za mjere ruralnog razvoja te izravnih plaćanja poljoprivrednim proizvođačima. </w:t>
      </w:r>
    </w:p>
    <w:p w:rsidR="00FF472D" w:rsidRPr="007C5725" w:rsidRDefault="00FF472D" w:rsidP="007C5725">
      <w:pPr>
        <w:jc w:val="both"/>
        <w:rPr>
          <w:rFonts w:cstheme="minorHAnsi"/>
          <w:b/>
          <w:i/>
          <w:lang w:val="hr-HR"/>
        </w:rPr>
      </w:pPr>
      <w:r w:rsidRPr="007C5725">
        <w:rPr>
          <w:rFonts w:cstheme="minorHAnsi"/>
          <w:b/>
          <w:i/>
          <w:lang w:val="hr-HR"/>
        </w:rPr>
        <w:t>Pomoći dane u inozemstvo i unutar općeg proračuna</w:t>
      </w:r>
    </w:p>
    <w:p w:rsidR="007C5725" w:rsidRPr="007C5725" w:rsidRDefault="007C5725" w:rsidP="007C5725">
      <w:pPr>
        <w:jc w:val="both"/>
        <w:rPr>
          <w:rFonts w:cstheme="minorHAnsi"/>
          <w:lang w:val="hr-HR"/>
        </w:rPr>
      </w:pPr>
      <w:r w:rsidRPr="007C5725">
        <w:rPr>
          <w:rFonts w:cstheme="minorHAnsi"/>
          <w:lang w:val="hr-HR"/>
        </w:rPr>
        <w:t xml:space="preserve">Ukupne pomoći povećavaju se za 3,0 milijarde kuna i iznose 40,8 milijardi kuna. Navedeno je gotovo u cijelosti posljedica povećanja rashoda financiranih iz općih prihoda i primitaka, doprinosa i namjenskih primitaka i to zbog povećanih izdvajanja za sanaciju ustanova u zdravstvu i transfer Hrvatskom zavodu za zdravstveno osiguranje u iznosu od 1,4 milijarde kuna, povećanja rashoda za zaposlene u osnovnom i srednjem školstvu zbog primjene rasta osnovice za obračun plaća u iznosu od 588,1 milijuna kuna i za doprinos Republike Hrvatske proračunu Europske unije 494,9 milijuna kuna. </w:t>
      </w:r>
    </w:p>
    <w:p w:rsidR="00FF472D" w:rsidRPr="007C5725" w:rsidRDefault="00FF472D" w:rsidP="007C5725">
      <w:pPr>
        <w:jc w:val="both"/>
        <w:rPr>
          <w:rFonts w:cstheme="minorHAnsi"/>
          <w:b/>
          <w:i/>
          <w:lang w:val="hr-HR"/>
        </w:rPr>
      </w:pPr>
      <w:r w:rsidRPr="007C5725">
        <w:rPr>
          <w:rFonts w:cstheme="minorHAnsi"/>
          <w:b/>
          <w:i/>
          <w:lang w:val="hr-HR"/>
        </w:rPr>
        <w:t>Naknade građanima i kućanstvima</w:t>
      </w:r>
    </w:p>
    <w:p w:rsidR="007C5725" w:rsidRPr="007C5725" w:rsidRDefault="007C5725" w:rsidP="007C5725">
      <w:pPr>
        <w:jc w:val="both"/>
        <w:rPr>
          <w:rFonts w:cstheme="minorHAnsi"/>
          <w:lang w:val="hr-HR"/>
        </w:rPr>
      </w:pPr>
      <w:r w:rsidRPr="007C5725">
        <w:rPr>
          <w:rFonts w:cstheme="minorHAnsi"/>
          <w:lang w:val="hr-HR"/>
        </w:rPr>
        <w:t>Ukupne naknade građanima i kućanstvima na temelju osiguranja i druge naknade planirane su na razini od 53,0 milijarde kuna i u odnosu na tekući plan povećavaju se za 437,6 milijuna kuna. Navedeni rast posljedica je osiguranja dodatnih sredstava iz općih prihoda i primitaka, doprinosa i namjenskih primitaka za mirovine u iznosu od 672,4 milijuna kuna s jedne strane i smanjenja naknade za nezaposlene, naknade korisnicima aktivne politike zapošljavanja, zajamčene minimalne naknade i nacionalne naknade za starije osobe u iznosu od 263,9 milijuna kuna zbog trenutne i očekivane dinamike izvršenja istih do kraja godine.</w:t>
      </w:r>
    </w:p>
    <w:p w:rsidR="00FF472D" w:rsidRPr="007C5725" w:rsidRDefault="00FF472D" w:rsidP="007C5725">
      <w:pPr>
        <w:jc w:val="both"/>
        <w:rPr>
          <w:rFonts w:cstheme="minorHAnsi"/>
          <w:b/>
          <w:i/>
          <w:lang w:val="hr-HR"/>
        </w:rPr>
      </w:pPr>
      <w:r w:rsidRPr="007C5725">
        <w:rPr>
          <w:rFonts w:cstheme="minorHAnsi"/>
          <w:b/>
          <w:i/>
          <w:lang w:val="hr-HR"/>
        </w:rPr>
        <w:t xml:space="preserve">Ostali rashodi </w:t>
      </w:r>
    </w:p>
    <w:p w:rsidR="007C5725" w:rsidRPr="007C5725" w:rsidRDefault="007C5725" w:rsidP="007C5725">
      <w:pPr>
        <w:jc w:val="both"/>
        <w:rPr>
          <w:rFonts w:cstheme="minorHAnsi"/>
          <w:lang w:val="hr-HR"/>
        </w:rPr>
      </w:pPr>
      <w:r w:rsidRPr="007C5725">
        <w:rPr>
          <w:rFonts w:cstheme="minorHAnsi"/>
          <w:lang w:val="hr-HR"/>
        </w:rPr>
        <w:t xml:space="preserve">Ukupni ostali rashodi povećavaju se za 339,0 milijuna kuna i to prvenstveno zbog povećanja rashoda financiranih iz općih prihoda i primitaka, doprinosa i namjenskih primitaka zbog obveza po sporovima (300,0 milijuna kuna) i zbog provedbe programa pomoći sektoru govedarstva i svinjogojstva (100,0 milijuna kuna). </w:t>
      </w:r>
    </w:p>
    <w:p w:rsidR="00FF472D" w:rsidRPr="007C5725" w:rsidRDefault="00FF472D" w:rsidP="007C5725">
      <w:pPr>
        <w:jc w:val="both"/>
        <w:rPr>
          <w:rFonts w:cstheme="minorHAnsi"/>
          <w:b/>
          <w:lang w:val="hr-HR"/>
        </w:rPr>
      </w:pPr>
      <w:r w:rsidRPr="007C5725">
        <w:rPr>
          <w:rFonts w:cstheme="minorHAnsi"/>
          <w:b/>
          <w:lang w:val="hr-HR"/>
        </w:rPr>
        <w:t>Rashodi za nabavu nefinancijske imovine</w:t>
      </w:r>
    </w:p>
    <w:p w:rsidR="001F1D66" w:rsidRPr="007C5725" w:rsidRDefault="007C5725" w:rsidP="007C5725">
      <w:pPr>
        <w:spacing w:after="0"/>
        <w:jc w:val="both"/>
        <w:rPr>
          <w:rFonts w:cstheme="minorHAnsi"/>
          <w:highlight w:val="yellow"/>
          <w:lang w:val="hr-HR"/>
        </w:rPr>
      </w:pPr>
      <w:r w:rsidRPr="007C5725">
        <w:rPr>
          <w:rFonts w:cstheme="minorHAnsi"/>
          <w:lang w:val="hr-HR"/>
        </w:rPr>
        <w:t xml:space="preserve">Ukupni rashodi za nabavu nefinancijske imovine povećavaju se za 482,3 milijuna kuna i iznose 8,9 milijardi kuna. Navedeno je rezultat povećanja na rashodima financiranim iz općih prihoda i primitaka, doprinosa i namjenskih primitaka u iznosu od 2,4 milijarde kuna radi nabave borbenih aviona s jedne strane i smanjenja izdvajanja za obnovu infrastrukture i opreme u području obrazovanja i zdravstva </w:t>
      </w:r>
      <w:r w:rsidRPr="007C5725">
        <w:rPr>
          <w:rFonts w:cstheme="minorHAnsi"/>
          <w:lang w:val="hr-HR"/>
        </w:rPr>
        <w:lastRenderedPageBreak/>
        <w:t>oštećene potresom u iznosu  od 1,1 milijardu kuna s druge strane zbog trenutne i očekivane dinamike izvršenja istih do kraja godine.</w:t>
      </w:r>
    </w:p>
    <w:p w:rsidR="00A461B3" w:rsidRPr="007C5725" w:rsidRDefault="00A461B3" w:rsidP="007C5725">
      <w:pPr>
        <w:pStyle w:val="Naslov2"/>
        <w:numPr>
          <w:ilvl w:val="1"/>
          <w:numId w:val="3"/>
        </w:numPr>
        <w:spacing w:after="240"/>
        <w:ind w:left="993" w:hanging="567"/>
        <w:rPr>
          <w:rFonts w:asciiTheme="minorHAnsi" w:hAnsiTheme="minorHAnsi" w:cstheme="minorHAnsi"/>
          <w:sz w:val="22"/>
          <w:szCs w:val="22"/>
          <w:lang w:val="hr-HR"/>
        </w:rPr>
      </w:pPr>
      <w:bookmarkStart w:id="13" w:name="_Toc23378482"/>
      <w:bookmarkStart w:id="14" w:name="_Toc86306110"/>
      <w:r w:rsidRPr="007C5725">
        <w:rPr>
          <w:rFonts w:asciiTheme="minorHAnsi" w:hAnsiTheme="minorHAnsi" w:cstheme="minorHAnsi"/>
          <w:sz w:val="22"/>
          <w:szCs w:val="22"/>
          <w:lang w:val="hr-HR"/>
        </w:rPr>
        <w:t>Obrazloženje rashoda po funkcijskoj klasifikaciji</w:t>
      </w:r>
      <w:bookmarkEnd w:id="13"/>
      <w:bookmarkEnd w:id="14"/>
    </w:p>
    <w:p w:rsidR="007C5725" w:rsidRPr="007C5725" w:rsidRDefault="007C5725" w:rsidP="007C5725">
      <w:pPr>
        <w:spacing w:after="0"/>
        <w:jc w:val="both"/>
        <w:rPr>
          <w:rFonts w:cstheme="minorHAnsi"/>
          <w:lang w:val="hr-HR"/>
        </w:rPr>
      </w:pPr>
      <w:r w:rsidRPr="007C5725">
        <w:rPr>
          <w:rFonts w:cstheme="minorHAnsi"/>
          <w:lang w:val="hr-HR"/>
        </w:rPr>
        <w:t>Gledano kroz funkcijsku klasifikaciju rashodi državnog proračuna povećavaju se za 6,0 milijardi kuna, najvećim dijelom uslijed povećanih izdvajanja za:</w:t>
      </w:r>
    </w:p>
    <w:p w:rsidR="007C5725" w:rsidRPr="007C5725" w:rsidRDefault="007C5725" w:rsidP="007C5725">
      <w:pPr>
        <w:pStyle w:val="Odlomakpopisa"/>
        <w:numPr>
          <w:ilvl w:val="0"/>
          <w:numId w:val="11"/>
        </w:numPr>
        <w:spacing w:after="0"/>
        <w:jc w:val="both"/>
        <w:rPr>
          <w:rFonts w:cstheme="minorHAnsi"/>
          <w:lang w:val="hr-HR"/>
        </w:rPr>
      </w:pPr>
      <w:r w:rsidRPr="007C5725">
        <w:rPr>
          <w:rFonts w:cstheme="minorHAnsi"/>
          <w:lang w:val="hr-HR"/>
        </w:rPr>
        <w:t xml:space="preserve">obranu u iznosu od 2,4 milijarde kuna radi nabave borbenih aviona, </w:t>
      </w:r>
    </w:p>
    <w:p w:rsidR="007C5725" w:rsidRPr="007C5725" w:rsidRDefault="007C5725" w:rsidP="007C5725">
      <w:pPr>
        <w:pStyle w:val="Odlomakpopisa"/>
        <w:numPr>
          <w:ilvl w:val="0"/>
          <w:numId w:val="11"/>
        </w:numPr>
        <w:spacing w:after="0"/>
        <w:jc w:val="both"/>
        <w:rPr>
          <w:rFonts w:cstheme="minorHAnsi"/>
          <w:lang w:val="hr-HR"/>
        </w:rPr>
      </w:pPr>
      <w:r w:rsidRPr="007C5725">
        <w:rPr>
          <w:rFonts w:cstheme="minorHAnsi"/>
          <w:lang w:val="hr-HR"/>
        </w:rPr>
        <w:t xml:space="preserve">zdravstvo u iznosu od 2,3 milijarde kuna, a najvećim dijelom zbog sanacije ustanova u zdravstvu i transfera Hrvatskom zavodu za zdravstveno osiguranje, </w:t>
      </w:r>
    </w:p>
    <w:p w:rsidR="007C5725" w:rsidRPr="007C5725" w:rsidRDefault="007C5725" w:rsidP="007C5725">
      <w:pPr>
        <w:pStyle w:val="Odlomakpopisa"/>
        <w:numPr>
          <w:ilvl w:val="0"/>
          <w:numId w:val="11"/>
        </w:numPr>
        <w:spacing w:after="0"/>
        <w:jc w:val="both"/>
        <w:rPr>
          <w:rFonts w:cstheme="minorHAnsi"/>
          <w:lang w:val="hr-HR"/>
        </w:rPr>
      </w:pPr>
      <w:r w:rsidRPr="007C5725">
        <w:rPr>
          <w:rFonts w:cstheme="minorHAnsi"/>
          <w:lang w:val="hr-HR"/>
        </w:rPr>
        <w:t xml:space="preserve">socijalnu zaštitu u iznosu od 1,4 milijarde kuna prvenstvo zbog potpora za očuvanje radnih mjesta u djelatnostima pogođenim </w:t>
      </w:r>
      <w:proofErr w:type="spellStart"/>
      <w:r w:rsidRPr="007C5725">
        <w:rPr>
          <w:rFonts w:cstheme="minorHAnsi"/>
          <w:lang w:val="hr-HR"/>
        </w:rPr>
        <w:t>koronavirusom</w:t>
      </w:r>
      <w:proofErr w:type="spellEnd"/>
      <w:r w:rsidRPr="007C5725">
        <w:rPr>
          <w:rFonts w:cstheme="minorHAnsi"/>
          <w:lang w:val="hr-HR"/>
        </w:rPr>
        <w:t xml:space="preserve"> te izdvajanja za mirovine,</w:t>
      </w:r>
    </w:p>
    <w:p w:rsidR="007C5725" w:rsidRPr="007C5725" w:rsidRDefault="007C5725" w:rsidP="007C5725">
      <w:pPr>
        <w:pStyle w:val="Odlomakpopisa"/>
        <w:numPr>
          <w:ilvl w:val="0"/>
          <w:numId w:val="11"/>
        </w:numPr>
        <w:spacing w:after="0"/>
        <w:jc w:val="both"/>
        <w:rPr>
          <w:rFonts w:cstheme="minorHAnsi"/>
          <w:lang w:val="hr-HR"/>
        </w:rPr>
      </w:pPr>
      <w:r w:rsidRPr="007C5725">
        <w:rPr>
          <w:rFonts w:cstheme="minorHAnsi"/>
          <w:lang w:val="hr-HR"/>
        </w:rPr>
        <w:t>opće javne usluge u iznosu od 901,1 milijun kuna prvenstveno zbog osiguravanja potrebnih sredstava za rashode za zaposlene.</w:t>
      </w:r>
    </w:p>
    <w:p w:rsidR="00796C59" w:rsidRPr="007C5725" w:rsidRDefault="00796C59" w:rsidP="007C5725">
      <w:pPr>
        <w:pStyle w:val="Opisslike"/>
        <w:spacing w:before="240" w:after="120" w:line="276" w:lineRule="auto"/>
        <w:jc w:val="both"/>
        <w:rPr>
          <w:rFonts w:asciiTheme="minorHAnsi" w:hAnsiTheme="minorHAnsi" w:cstheme="minorHAnsi"/>
          <w:b w:val="0"/>
          <w:i/>
          <w:sz w:val="22"/>
          <w:szCs w:val="22"/>
        </w:rPr>
      </w:pPr>
      <w:r w:rsidRPr="007C5725">
        <w:rPr>
          <w:rFonts w:asciiTheme="minorHAnsi" w:hAnsiTheme="minorHAnsi" w:cstheme="minorHAnsi"/>
          <w:b w:val="0"/>
          <w:i/>
          <w:sz w:val="22"/>
          <w:szCs w:val="22"/>
        </w:rPr>
        <w:t xml:space="preserve">Tablica </w:t>
      </w:r>
      <w:r w:rsidRPr="007C5725">
        <w:rPr>
          <w:rFonts w:asciiTheme="minorHAnsi" w:hAnsiTheme="minorHAnsi" w:cstheme="minorHAnsi"/>
          <w:b w:val="0"/>
          <w:i/>
          <w:sz w:val="22"/>
          <w:szCs w:val="22"/>
        </w:rPr>
        <w:fldChar w:fldCharType="begin"/>
      </w:r>
      <w:r w:rsidRPr="007C5725">
        <w:rPr>
          <w:rFonts w:asciiTheme="minorHAnsi" w:hAnsiTheme="minorHAnsi" w:cstheme="minorHAnsi"/>
          <w:b w:val="0"/>
          <w:i/>
          <w:sz w:val="22"/>
          <w:szCs w:val="22"/>
        </w:rPr>
        <w:instrText xml:space="preserve"> SEQ Tablica \* ARABIC </w:instrText>
      </w:r>
      <w:r w:rsidRPr="007C5725">
        <w:rPr>
          <w:rFonts w:asciiTheme="minorHAnsi" w:hAnsiTheme="minorHAnsi" w:cstheme="minorHAnsi"/>
          <w:b w:val="0"/>
          <w:i/>
          <w:sz w:val="22"/>
          <w:szCs w:val="22"/>
        </w:rPr>
        <w:fldChar w:fldCharType="separate"/>
      </w:r>
      <w:r w:rsidR="00CD730D">
        <w:rPr>
          <w:rFonts w:asciiTheme="minorHAnsi" w:hAnsiTheme="minorHAnsi" w:cstheme="minorHAnsi"/>
          <w:b w:val="0"/>
          <w:i/>
          <w:noProof/>
          <w:sz w:val="22"/>
          <w:szCs w:val="22"/>
        </w:rPr>
        <w:t>5</w:t>
      </w:r>
      <w:r w:rsidRPr="007C5725">
        <w:rPr>
          <w:rFonts w:asciiTheme="minorHAnsi" w:hAnsiTheme="minorHAnsi" w:cstheme="minorHAnsi"/>
          <w:b w:val="0"/>
          <w:i/>
          <w:sz w:val="22"/>
          <w:szCs w:val="22"/>
        </w:rPr>
        <w:fldChar w:fldCharType="end"/>
      </w:r>
      <w:r w:rsidRPr="007C5725">
        <w:rPr>
          <w:rFonts w:asciiTheme="minorHAnsi" w:hAnsiTheme="minorHAnsi" w:cstheme="minorHAnsi"/>
          <w:b w:val="0"/>
          <w:i/>
          <w:sz w:val="22"/>
          <w:szCs w:val="22"/>
        </w:rPr>
        <w:t xml:space="preserve">. Rashodi državnog proračuna po funkcijskoj klasifikaciji  </w:t>
      </w:r>
    </w:p>
    <w:p w:rsidR="00796C59" w:rsidRPr="007C5725" w:rsidRDefault="007C5725" w:rsidP="007C5725">
      <w:pPr>
        <w:spacing w:after="0"/>
        <w:rPr>
          <w:rFonts w:cstheme="minorHAnsi"/>
          <w:noProof/>
          <w:highlight w:val="yellow"/>
          <w:lang w:val="hr-HR" w:eastAsia="hr-HR"/>
        </w:rPr>
      </w:pPr>
      <w:r w:rsidRPr="007C5725">
        <w:rPr>
          <w:rFonts w:cstheme="minorHAnsi"/>
          <w:noProof/>
          <w:lang w:val="hr-HR" w:eastAsia="hr-HR"/>
        </w:rPr>
        <w:drawing>
          <wp:inline distT="0" distB="0" distL="0" distR="0" wp14:anchorId="02138C42" wp14:editId="42F8757A">
            <wp:extent cx="5638800" cy="2676525"/>
            <wp:effectExtent l="0" t="0" r="0"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8800" cy="2676525"/>
                    </a:xfrm>
                    <a:prstGeom prst="rect">
                      <a:avLst/>
                    </a:prstGeom>
                    <a:noFill/>
                    <a:ln>
                      <a:noFill/>
                    </a:ln>
                  </pic:spPr>
                </pic:pic>
              </a:graphicData>
            </a:graphic>
          </wp:inline>
        </w:drawing>
      </w:r>
    </w:p>
    <w:p w:rsidR="003C1F05" w:rsidRDefault="00A461B3" w:rsidP="007C5725">
      <w:pPr>
        <w:jc w:val="both"/>
        <w:rPr>
          <w:rFonts w:cstheme="minorHAnsi"/>
          <w:i/>
          <w:color w:val="000000"/>
          <w:lang w:val="hr-HR"/>
        </w:rPr>
      </w:pPr>
      <w:r w:rsidRPr="007C5725">
        <w:rPr>
          <w:rFonts w:cstheme="minorHAnsi"/>
          <w:i/>
          <w:color w:val="000000"/>
          <w:lang w:val="hr-HR"/>
        </w:rPr>
        <w:t>Izvor: Ministarstvo financija</w:t>
      </w:r>
    </w:p>
    <w:p w:rsidR="007C5725" w:rsidRDefault="007C5725" w:rsidP="007C5725">
      <w:pPr>
        <w:jc w:val="both"/>
        <w:rPr>
          <w:rFonts w:cstheme="minorHAnsi"/>
          <w:i/>
          <w:color w:val="000000"/>
          <w:lang w:val="hr-HR"/>
        </w:rPr>
      </w:pPr>
    </w:p>
    <w:p w:rsidR="007C5725" w:rsidRDefault="007C5725" w:rsidP="007C5725">
      <w:pPr>
        <w:jc w:val="both"/>
        <w:rPr>
          <w:rFonts w:cstheme="minorHAnsi"/>
          <w:i/>
          <w:color w:val="000000"/>
          <w:lang w:val="hr-HR"/>
        </w:rPr>
      </w:pPr>
    </w:p>
    <w:p w:rsidR="007C5725" w:rsidRDefault="007C5725" w:rsidP="007C5725">
      <w:pPr>
        <w:jc w:val="both"/>
        <w:rPr>
          <w:rFonts w:cstheme="minorHAnsi"/>
          <w:i/>
          <w:color w:val="000000"/>
          <w:lang w:val="hr-HR"/>
        </w:rPr>
      </w:pPr>
    </w:p>
    <w:p w:rsidR="007C5725" w:rsidRDefault="007C5725" w:rsidP="007C5725">
      <w:pPr>
        <w:jc w:val="both"/>
        <w:rPr>
          <w:rFonts w:cstheme="minorHAnsi"/>
          <w:i/>
          <w:color w:val="000000"/>
          <w:lang w:val="hr-HR"/>
        </w:rPr>
      </w:pPr>
    </w:p>
    <w:p w:rsidR="007C5725" w:rsidRDefault="007C5725" w:rsidP="007C5725">
      <w:pPr>
        <w:jc w:val="both"/>
        <w:rPr>
          <w:rFonts w:cstheme="minorHAnsi"/>
          <w:i/>
          <w:color w:val="000000"/>
          <w:lang w:val="hr-HR"/>
        </w:rPr>
      </w:pPr>
    </w:p>
    <w:p w:rsidR="007C5725" w:rsidRDefault="007C5725" w:rsidP="007C5725">
      <w:pPr>
        <w:jc w:val="both"/>
        <w:rPr>
          <w:rFonts w:cstheme="minorHAnsi"/>
          <w:i/>
          <w:color w:val="000000"/>
          <w:lang w:val="hr-HR"/>
        </w:rPr>
      </w:pPr>
    </w:p>
    <w:p w:rsidR="007C5725" w:rsidRPr="007C5725" w:rsidRDefault="007C5725" w:rsidP="007C5725">
      <w:pPr>
        <w:jc w:val="both"/>
        <w:rPr>
          <w:rFonts w:cstheme="minorHAnsi"/>
          <w:i/>
          <w:color w:val="000000"/>
          <w:lang w:val="hr-HR"/>
        </w:rPr>
      </w:pPr>
    </w:p>
    <w:p w:rsidR="00E21C16" w:rsidRPr="007C5725" w:rsidRDefault="00A461B3" w:rsidP="007C5725">
      <w:pPr>
        <w:pStyle w:val="Naslov2"/>
        <w:numPr>
          <w:ilvl w:val="1"/>
          <w:numId w:val="3"/>
        </w:numPr>
        <w:spacing w:after="240"/>
        <w:ind w:left="993" w:hanging="567"/>
        <w:rPr>
          <w:rFonts w:asciiTheme="minorHAnsi" w:hAnsiTheme="minorHAnsi" w:cstheme="minorHAnsi"/>
          <w:sz w:val="22"/>
          <w:szCs w:val="22"/>
          <w:lang w:val="hr-HR"/>
        </w:rPr>
      </w:pPr>
      <w:bookmarkStart w:id="15" w:name="_Toc23378483"/>
      <w:bookmarkStart w:id="16" w:name="_Toc86306111"/>
      <w:r w:rsidRPr="007C5725">
        <w:rPr>
          <w:rFonts w:asciiTheme="minorHAnsi" w:hAnsiTheme="minorHAnsi" w:cstheme="minorHAnsi"/>
          <w:sz w:val="22"/>
          <w:szCs w:val="22"/>
          <w:lang w:val="hr-HR"/>
        </w:rPr>
        <w:lastRenderedPageBreak/>
        <w:t>Obrazloženje rashoda po izvorima financiranja</w:t>
      </w:r>
      <w:bookmarkEnd w:id="15"/>
      <w:bookmarkEnd w:id="16"/>
    </w:p>
    <w:p w:rsidR="007C5725" w:rsidRPr="007C5725" w:rsidRDefault="007C5725" w:rsidP="007C5725">
      <w:pPr>
        <w:spacing w:after="240"/>
        <w:jc w:val="both"/>
        <w:rPr>
          <w:rFonts w:cstheme="minorHAnsi"/>
          <w:lang w:val="hr-HR"/>
        </w:rPr>
      </w:pPr>
      <w:r w:rsidRPr="007C5725">
        <w:rPr>
          <w:rFonts w:cstheme="minorHAnsi"/>
          <w:lang w:val="hr-HR"/>
        </w:rPr>
        <w:t>Sa ciljem daljnjeg povećanja transparentnosti korištenja proračunskih sredstava u nastavku se u okviru obrazloženja rashoda državnog proračuna, daje prikaz rashoda i po izvorima financiranja.</w:t>
      </w:r>
    </w:p>
    <w:p w:rsidR="00796C59" w:rsidRPr="007C5725" w:rsidRDefault="00796C59" w:rsidP="007C5725">
      <w:pPr>
        <w:pStyle w:val="Opisslike"/>
        <w:spacing w:before="240" w:after="120" w:line="276" w:lineRule="auto"/>
        <w:jc w:val="both"/>
        <w:rPr>
          <w:rFonts w:asciiTheme="minorHAnsi" w:hAnsiTheme="minorHAnsi" w:cstheme="minorHAnsi"/>
          <w:b w:val="0"/>
          <w:i/>
          <w:sz w:val="22"/>
          <w:szCs w:val="22"/>
        </w:rPr>
      </w:pPr>
      <w:r w:rsidRPr="007C5725">
        <w:rPr>
          <w:rFonts w:asciiTheme="minorHAnsi" w:hAnsiTheme="minorHAnsi" w:cstheme="minorHAnsi"/>
          <w:b w:val="0"/>
          <w:i/>
          <w:sz w:val="22"/>
          <w:szCs w:val="22"/>
        </w:rPr>
        <w:t xml:space="preserve">Tablica </w:t>
      </w:r>
      <w:r w:rsidRPr="007C5725">
        <w:rPr>
          <w:rFonts w:asciiTheme="minorHAnsi" w:hAnsiTheme="minorHAnsi" w:cstheme="minorHAnsi"/>
          <w:b w:val="0"/>
          <w:i/>
          <w:sz w:val="22"/>
          <w:szCs w:val="22"/>
        </w:rPr>
        <w:fldChar w:fldCharType="begin"/>
      </w:r>
      <w:r w:rsidRPr="007C5725">
        <w:rPr>
          <w:rFonts w:asciiTheme="minorHAnsi" w:hAnsiTheme="minorHAnsi" w:cstheme="minorHAnsi"/>
          <w:b w:val="0"/>
          <w:i/>
          <w:sz w:val="22"/>
          <w:szCs w:val="22"/>
        </w:rPr>
        <w:instrText xml:space="preserve"> SEQ Tablica \* ARABIC </w:instrText>
      </w:r>
      <w:r w:rsidRPr="007C5725">
        <w:rPr>
          <w:rFonts w:asciiTheme="minorHAnsi" w:hAnsiTheme="minorHAnsi" w:cstheme="minorHAnsi"/>
          <w:b w:val="0"/>
          <w:i/>
          <w:sz w:val="22"/>
          <w:szCs w:val="22"/>
        </w:rPr>
        <w:fldChar w:fldCharType="separate"/>
      </w:r>
      <w:r w:rsidR="00CD730D">
        <w:rPr>
          <w:rFonts w:asciiTheme="minorHAnsi" w:hAnsiTheme="minorHAnsi" w:cstheme="minorHAnsi"/>
          <w:b w:val="0"/>
          <w:i/>
          <w:noProof/>
          <w:sz w:val="22"/>
          <w:szCs w:val="22"/>
        </w:rPr>
        <w:t>6</w:t>
      </w:r>
      <w:r w:rsidRPr="007C5725">
        <w:rPr>
          <w:rFonts w:asciiTheme="minorHAnsi" w:hAnsiTheme="minorHAnsi" w:cstheme="minorHAnsi"/>
          <w:b w:val="0"/>
          <w:i/>
          <w:sz w:val="22"/>
          <w:szCs w:val="22"/>
        </w:rPr>
        <w:fldChar w:fldCharType="end"/>
      </w:r>
      <w:r w:rsidRPr="007C5725">
        <w:rPr>
          <w:rFonts w:asciiTheme="minorHAnsi" w:hAnsiTheme="minorHAnsi" w:cstheme="minorHAnsi"/>
          <w:b w:val="0"/>
          <w:i/>
          <w:sz w:val="22"/>
          <w:szCs w:val="22"/>
        </w:rPr>
        <w:t>. Rashodi državnog proračuna po izvorima financiranja</w:t>
      </w:r>
    </w:p>
    <w:p w:rsidR="00796C59" w:rsidRPr="007C5725" w:rsidRDefault="007C5725" w:rsidP="007C5725">
      <w:pPr>
        <w:spacing w:after="0"/>
        <w:rPr>
          <w:rFonts w:cstheme="minorHAnsi"/>
          <w:noProof/>
          <w:lang w:val="hr-HR" w:eastAsia="hr-HR"/>
        </w:rPr>
      </w:pPr>
      <w:r w:rsidRPr="007C5725">
        <w:rPr>
          <w:rFonts w:cstheme="minorHAnsi"/>
          <w:noProof/>
          <w:lang w:val="hr-HR" w:eastAsia="hr-HR"/>
        </w:rPr>
        <w:drawing>
          <wp:inline distT="0" distB="0" distL="0" distR="0" wp14:anchorId="4BAA5ABD" wp14:editId="6167D522">
            <wp:extent cx="5759450" cy="2162037"/>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2162037"/>
                    </a:xfrm>
                    <a:prstGeom prst="rect">
                      <a:avLst/>
                    </a:prstGeom>
                    <a:noFill/>
                    <a:ln>
                      <a:noFill/>
                    </a:ln>
                  </pic:spPr>
                </pic:pic>
              </a:graphicData>
            </a:graphic>
          </wp:inline>
        </w:drawing>
      </w:r>
    </w:p>
    <w:p w:rsidR="00A461B3" w:rsidRPr="007C5725" w:rsidRDefault="00A461B3" w:rsidP="007C5725">
      <w:pPr>
        <w:jc w:val="both"/>
        <w:rPr>
          <w:rFonts w:cstheme="minorHAnsi"/>
          <w:i/>
          <w:color w:val="000000"/>
          <w:lang w:val="hr-HR"/>
        </w:rPr>
      </w:pPr>
      <w:r w:rsidRPr="007C5725">
        <w:rPr>
          <w:rFonts w:cstheme="minorHAnsi"/>
          <w:i/>
          <w:color w:val="000000"/>
          <w:lang w:val="hr-HR"/>
        </w:rPr>
        <w:t>Izvor: Ministarstvo financija</w:t>
      </w:r>
    </w:p>
    <w:p w:rsidR="007C5725" w:rsidRPr="007C5725" w:rsidRDefault="007C5725" w:rsidP="00B31D1F">
      <w:pPr>
        <w:jc w:val="both"/>
        <w:rPr>
          <w:rFonts w:cstheme="minorHAnsi"/>
          <w:lang w:val="hr-HR"/>
        </w:rPr>
      </w:pPr>
      <w:r w:rsidRPr="007C5725">
        <w:rPr>
          <w:rFonts w:cstheme="minorHAnsi"/>
          <w:lang w:val="hr-HR"/>
        </w:rPr>
        <w:t>Gledano kroz izvore financiranja, rashodi koji se financiraju iz općih prihoda i primitaka, doprinosa i namjenskih primitaka povećavaju se za 7,1 milijardi kuna, a rashodi koji se financiraju iz vlastitih prihoda, prihoda za posebne namjene, pomoći (koje uključuju EU sredstva) i donacija smanjuju se za 1,1 milijardu kuna.</w:t>
      </w:r>
    </w:p>
    <w:p w:rsidR="00462EC5" w:rsidRDefault="00462EC5" w:rsidP="00E20FF7">
      <w:pPr>
        <w:rPr>
          <w:rFonts w:cs="Times New Roman"/>
          <w:szCs w:val="24"/>
          <w:lang w:val="hr-HR"/>
        </w:rPr>
      </w:pPr>
      <w:r>
        <w:rPr>
          <w:rFonts w:cs="Times New Roman"/>
          <w:szCs w:val="24"/>
          <w:lang w:val="hr-HR"/>
        </w:rPr>
        <w:br w:type="page"/>
      </w:r>
    </w:p>
    <w:p w:rsidR="00462EC5" w:rsidRPr="009B5CBF" w:rsidRDefault="00462EC5" w:rsidP="00462EC5">
      <w:pPr>
        <w:pStyle w:val="Naslov1"/>
        <w:numPr>
          <w:ilvl w:val="0"/>
          <w:numId w:val="1"/>
        </w:numPr>
        <w:rPr>
          <w:lang w:val="hr-HR"/>
        </w:rPr>
      </w:pPr>
      <w:bookmarkStart w:id="17" w:name="_Toc86306112"/>
      <w:r w:rsidRPr="009B5CBF">
        <w:rPr>
          <w:lang w:val="hr-HR"/>
        </w:rPr>
        <w:lastRenderedPageBreak/>
        <w:t>UKUPNI MANJAK DRŽAVNOG PRORAČUNA</w:t>
      </w:r>
      <w:bookmarkEnd w:id="17"/>
    </w:p>
    <w:p w:rsidR="00462EC5" w:rsidRDefault="00462EC5" w:rsidP="00462EC5">
      <w:pPr>
        <w:spacing w:before="240"/>
        <w:jc w:val="both"/>
        <w:rPr>
          <w:rFonts w:cs="Times New Roman"/>
          <w:lang w:val="hr-HR"/>
        </w:rPr>
      </w:pPr>
    </w:p>
    <w:p w:rsidR="00834F7F" w:rsidRPr="003B24C8" w:rsidRDefault="00834F7F" w:rsidP="00462EC5">
      <w:pPr>
        <w:spacing w:before="240"/>
        <w:jc w:val="both"/>
        <w:rPr>
          <w:rFonts w:cs="Times New Roman"/>
          <w:lang w:val="hr-HR"/>
        </w:rPr>
      </w:pPr>
      <w:r w:rsidRPr="003B24C8">
        <w:rPr>
          <w:rFonts w:cs="Times New Roman"/>
          <w:lang w:val="hr-HR"/>
        </w:rPr>
        <w:t>Slijedom ukupno planiranih prihoda u iznosu od 15</w:t>
      </w:r>
      <w:r w:rsidR="005052A5" w:rsidRPr="003B24C8">
        <w:rPr>
          <w:rFonts w:cs="Times New Roman"/>
          <w:lang w:val="hr-HR"/>
        </w:rPr>
        <w:t>3</w:t>
      </w:r>
      <w:r w:rsidRPr="003B24C8">
        <w:rPr>
          <w:rFonts w:cs="Times New Roman"/>
          <w:lang w:val="hr-HR"/>
        </w:rPr>
        <w:t>,</w:t>
      </w:r>
      <w:r w:rsidR="005052A5" w:rsidRPr="003B24C8">
        <w:rPr>
          <w:rFonts w:cs="Times New Roman"/>
          <w:lang w:val="hr-HR"/>
        </w:rPr>
        <w:t>6</w:t>
      </w:r>
      <w:r w:rsidRPr="003B24C8">
        <w:rPr>
          <w:rFonts w:cs="Times New Roman"/>
          <w:lang w:val="hr-HR"/>
        </w:rPr>
        <w:t xml:space="preserve"> milijardi kuna te ukupno planiranih rashoda u iznosu od 1</w:t>
      </w:r>
      <w:r w:rsidR="005052A5" w:rsidRPr="003B24C8">
        <w:rPr>
          <w:rFonts w:cs="Times New Roman"/>
          <w:lang w:val="hr-HR"/>
        </w:rPr>
        <w:t>73</w:t>
      </w:r>
      <w:r w:rsidRPr="003B24C8">
        <w:rPr>
          <w:rFonts w:cs="Times New Roman"/>
          <w:lang w:val="hr-HR"/>
        </w:rPr>
        <w:t>,</w:t>
      </w:r>
      <w:r w:rsidR="005052A5" w:rsidRPr="003B24C8">
        <w:rPr>
          <w:rFonts w:cs="Times New Roman"/>
          <w:lang w:val="hr-HR"/>
        </w:rPr>
        <w:t>3</w:t>
      </w:r>
      <w:r w:rsidRPr="003B24C8">
        <w:rPr>
          <w:rFonts w:cs="Times New Roman"/>
          <w:lang w:val="hr-HR"/>
        </w:rPr>
        <w:t xml:space="preserve"> milijardi kuna, manjak državnog proračuna za 2021. godinu planiran je u iznosu od </w:t>
      </w:r>
      <w:r w:rsidR="005052A5" w:rsidRPr="003B24C8">
        <w:rPr>
          <w:rFonts w:cs="Times New Roman"/>
          <w:lang w:val="hr-HR"/>
        </w:rPr>
        <w:t>19</w:t>
      </w:r>
      <w:r w:rsidRPr="003B24C8">
        <w:rPr>
          <w:rFonts w:cs="Times New Roman"/>
          <w:lang w:val="hr-HR"/>
        </w:rPr>
        <w:t>,</w:t>
      </w:r>
      <w:r w:rsidR="005052A5" w:rsidRPr="003B24C8">
        <w:rPr>
          <w:rFonts w:cs="Times New Roman"/>
          <w:lang w:val="hr-HR"/>
        </w:rPr>
        <w:t>7</w:t>
      </w:r>
      <w:r w:rsidRPr="003B24C8">
        <w:rPr>
          <w:rFonts w:cs="Times New Roman"/>
          <w:lang w:val="hr-HR"/>
        </w:rPr>
        <w:t xml:space="preserve"> milijardi kuna ili 4,</w:t>
      </w:r>
      <w:r w:rsidR="003B24C8">
        <w:rPr>
          <w:rFonts w:cs="Times New Roman"/>
          <w:lang w:val="hr-HR"/>
        </w:rPr>
        <w:t>7</w:t>
      </w:r>
      <w:r w:rsidRPr="003B24C8">
        <w:rPr>
          <w:rFonts w:cs="Times New Roman"/>
          <w:lang w:val="hr-HR"/>
        </w:rPr>
        <w:t xml:space="preserve">% BDP-a, što predstavlja povećanje </w:t>
      </w:r>
      <w:r w:rsidR="00C06873" w:rsidRPr="003B24C8">
        <w:rPr>
          <w:rFonts w:cs="Times New Roman"/>
          <w:lang w:val="hr-HR"/>
        </w:rPr>
        <w:t xml:space="preserve">od </w:t>
      </w:r>
      <w:r w:rsidR="003B24C8">
        <w:rPr>
          <w:rFonts w:cs="Times New Roman"/>
          <w:lang w:val="hr-HR"/>
        </w:rPr>
        <w:t>2,6</w:t>
      </w:r>
      <w:r w:rsidR="00C06873" w:rsidRPr="003B24C8">
        <w:rPr>
          <w:rFonts w:cs="Times New Roman"/>
          <w:lang w:val="hr-HR"/>
        </w:rPr>
        <w:t xml:space="preserve"> milijarde kuna ili </w:t>
      </w:r>
      <w:r w:rsidR="003B24C8">
        <w:rPr>
          <w:rFonts w:cs="Times New Roman"/>
          <w:lang w:val="hr-HR"/>
        </w:rPr>
        <w:t>0,7</w:t>
      </w:r>
      <w:r w:rsidR="00C06873" w:rsidRPr="003B24C8">
        <w:rPr>
          <w:rFonts w:cs="Times New Roman"/>
          <w:lang w:val="hr-HR"/>
        </w:rPr>
        <w:t xml:space="preserve"> postotnih bodova BDP-a </w:t>
      </w:r>
      <w:r w:rsidRPr="003B24C8">
        <w:rPr>
          <w:rFonts w:cs="Times New Roman"/>
          <w:lang w:val="hr-HR"/>
        </w:rPr>
        <w:t xml:space="preserve">u odnosu na prvotno planirani </w:t>
      </w:r>
      <w:r w:rsidR="00C06873" w:rsidRPr="003B24C8">
        <w:rPr>
          <w:rFonts w:cs="Times New Roman"/>
          <w:lang w:val="hr-HR"/>
        </w:rPr>
        <w:t>za 2021. godinu.</w:t>
      </w:r>
    </w:p>
    <w:p w:rsidR="00796C59" w:rsidRPr="003B24C8" w:rsidRDefault="00796C59" w:rsidP="006E0462">
      <w:pPr>
        <w:pStyle w:val="Opisslike"/>
        <w:spacing w:before="240" w:after="120"/>
        <w:jc w:val="both"/>
        <w:rPr>
          <w:rFonts w:asciiTheme="minorHAnsi" w:hAnsiTheme="minorHAnsi"/>
          <w:b w:val="0"/>
          <w:i/>
          <w:sz w:val="22"/>
          <w:szCs w:val="22"/>
        </w:rPr>
      </w:pPr>
      <w:r w:rsidRPr="003B24C8">
        <w:rPr>
          <w:rFonts w:asciiTheme="minorHAnsi" w:hAnsiTheme="minorHAnsi"/>
          <w:b w:val="0"/>
          <w:i/>
          <w:sz w:val="22"/>
          <w:szCs w:val="22"/>
        </w:rPr>
        <w:t xml:space="preserve">Tablica </w:t>
      </w:r>
      <w:r w:rsidRPr="003B24C8">
        <w:rPr>
          <w:rFonts w:asciiTheme="minorHAnsi" w:hAnsiTheme="minorHAnsi"/>
          <w:b w:val="0"/>
          <w:i/>
          <w:sz w:val="22"/>
          <w:szCs w:val="22"/>
        </w:rPr>
        <w:fldChar w:fldCharType="begin"/>
      </w:r>
      <w:r w:rsidRPr="003B24C8">
        <w:rPr>
          <w:rFonts w:asciiTheme="minorHAnsi" w:hAnsiTheme="minorHAnsi"/>
          <w:b w:val="0"/>
          <w:i/>
          <w:sz w:val="22"/>
          <w:szCs w:val="22"/>
        </w:rPr>
        <w:instrText xml:space="preserve"> SEQ Tablica \* ARABIC </w:instrText>
      </w:r>
      <w:r w:rsidRPr="003B24C8">
        <w:rPr>
          <w:rFonts w:asciiTheme="minorHAnsi" w:hAnsiTheme="minorHAnsi"/>
          <w:b w:val="0"/>
          <w:i/>
          <w:sz w:val="22"/>
          <w:szCs w:val="22"/>
        </w:rPr>
        <w:fldChar w:fldCharType="separate"/>
      </w:r>
      <w:r w:rsidR="00CD730D">
        <w:rPr>
          <w:rFonts w:asciiTheme="minorHAnsi" w:hAnsiTheme="minorHAnsi"/>
          <w:b w:val="0"/>
          <w:i/>
          <w:noProof/>
          <w:sz w:val="22"/>
          <w:szCs w:val="22"/>
        </w:rPr>
        <w:t>7</w:t>
      </w:r>
      <w:r w:rsidRPr="003B24C8">
        <w:rPr>
          <w:rFonts w:asciiTheme="minorHAnsi" w:hAnsiTheme="minorHAnsi"/>
          <w:b w:val="0"/>
          <w:i/>
          <w:sz w:val="22"/>
          <w:szCs w:val="22"/>
        </w:rPr>
        <w:fldChar w:fldCharType="end"/>
      </w:r>
      <w:r w:rsidRPr="003B24C8">
        <w:rPr>
          <w:rFonts w:asciiTheme="minorHAnsi" w:hAnsiTheme="minorHAnsi"/>
          <w:b w:val="0"/>
          <w:i/>
          <w:sz w:val="22"/>
          <w:szCs w:val="22"/>
        </w:rPr>
        <w:t>. Ukupni manjak državnog proračuna</w:t>
      </w:r>
    </w:p>
    <w:p w:rsidR="0006121D" w:rsidRPr="003B24C8" w:rsidRDefault="00B00F17" w:rsidP="0006121D">
      <w:pPr>
        <w:spacing w:after="0"/>
        <w:rPr>
          <w:noProof/>
          <w:lang w:val="hr-HR" w:eastAsia="hr-HR"/>
        </w:rPr>
      </w:pPr>
      <w:r w:rsidRPr="00B00F17">
        <w:rPr>
          <w:noProof/>
          <w:lang w:val="hr-HR" w:eastAsia="hr-HR"/>
        </w:rPr>
        <w:drawing>
          <wp:inline distT="0" distB="0" distL="0" distR="0">
            <wp:extent cx="6088074" cy="1849942"/>
            <wp:effectExtent l="0" t="0" r="825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4308" cy="1851836"/>
                    </a:xfrm>
                    <a:prstGeom prst="rect">
                      <a:avLst/>
                    </a:prstGeom>
                    <a:noFill/>
                    <a:ln>
                      <a:noFill/>
                    </a:ln>
                  </pic:spPr>
                </pic:pic>
              </a:graphicData>
            </a:graphic>
          </wp:inline>
        </w:drawing>
      </w:r>
    </w:p>
    <w:p w:rsidR="00462EC5" w:rsidRPr="009B5CBF" w:rsidRDefault="00462EC5" w:rsidP="006E0462">
      <w:pPr>
        <w:jc w:val="both"/>
        <w:rPr>
          <w:rFonts w:cs="Times New Roman"/>
          <w:i/>
          <w:color w:val="000000"/>
          <w:lang w:val="hr-HR"/>
        </w:rPr>
      </w:pPr>
      <w:r w:rsidRPr="003B24C8">
        <w:rPr>
          <w:rFonts w:cs="Times New Roman"/>
          <w:i/>
          <w:color w:val="000000"/>
          <w:lang w:val="hr-HR"/>
        </w:rPr>
        <w:t>Izvor: Ministarstvo financija</w:t>
      </w:r>
    </w:p>
    <w:p w:rsidR="00A461B3" w:rsidRPr="006C489E" w:rsidRDefault="00462EC5" w:rsidP="00A461B3">
      <w:pPr>
        <w:rPr>
          <w:lang w:val="hr-HR"/>
        </w:rPr>
      </w:pPr>
      <w:r w:rsidRPr="009B5CBF">
        <w:rPr>
          <w:lang w:val="hr-HR"/>
        </w:rPr>
        <w:br w:type="page"/>
      </w:r>
    </w:p>
    <w:p w:rsidR="00DC5CAF" w:rsidRDefault="00DC5CAF" w:rsidP="00462EC5">
      <w:pPr>
        <w:pStyle w:val="Naslov1"/>
        <w:numPr>
          <w:ilvl w:val="0"/>
          <w:numId w:val="1"/>
        </w:numPr>
        <w:rPr>
          <w:lang w:val="hr-HR"/>
        </w:rPr>
      </w:pPr>
      <w:bookmarkStart w:id="18" w:name="_Toc86306113"/>
      <w:r w:rsidRPr="009B5CBF">
        <w:rPr>
          <w:lang w:val="hr-HR"/>
        </w:rPr>
        <w:lastRenderedPageBreak/>
        <w:t>RAČUN FINANCIRANJA DRŽAVNOG PRORAČUNA</w:t>
      </w:r>
      <w:bookmarkEnd w:id="18"/>
    </w:p>
    <w:p w:rsidR="00AF233C" w:rsidRDefault="00AF233C" w:rsidP="00AF233C">
      <w:pPr>
        <w:rPr>
          <w:lang w:val="hr-HR"/>
        </w:rPr>
      </w:pPr>
    </w:p>
    <w:p w:rsidR="00A52208" w:rsidRPr="00A52208" w:rsidRDefault="00A52208" w:rsidP="00A52208">
      <w:pPr>
        <w:spacing w:before="240"/>
        <w:jc w:val="both"/>
        <w:rPr>
          <w:rFonts w:cs="Times New Roman"/>
          <w:lang w:val="hr-HR"/>
        </w:rPr>
      </w:pPr>
      <w:r w:rsidRPr="00A52208">
        <w:rPr>
          <w:rFonts w:cs="Times New Roman"/>
          <w:lang w:val="hr-HR"/>
        </w:rPr>
        <w:t xml:space="preserve">U Izmjenama i dopunama Državnog proračuna Republike Hrvatske za 2021. godinu planiran je manjak državnog proračuna u iznosu od 19,7 milijardi kuna, što je za 2,6 milijardi kuna više u odnosu na iznos manjka planiran u Izmjenama i dopunama Državnog proračuna Republike Hrvatske za 2021. godinu i projekcija za 2022. i 2023. godinu iz lipnja 2021. Planirani manjak financirat će se razlikom ukupnih primitaka od financijske imovine i zaduživanja te ukupnih izdataka za financijsku imovinu i otplate zajmova. Pritom su ukupni primici od financijske imovine i zaduživanja planirani u iznosu od 44,7 milijardi kuna, dok su ukupni izdaci za financijsku imovinu i otplate zajmova planirani u iznosu od 27,7 milijardi kuna. </w:t>
      </w:r>
    </w:p>
    <w:p w:rsidR="00A52208" w:rsidRPr="00A52208" w:rsidRDefault="00A52208" w:rsidP="00A52208">
      <w:pPr>
        <w:spacing w:before="240"/>
        <w:jc w:val="both"/>
        <w:rPr>
          <w:rFonts w:cs="Times New Roman"/>
          <w:lang w:val="hr-HR"/>
        </w:rPr>
      </w:pPr>
      <w:r w:rsidRPr="00A52208">
        <w:rPr>
          <w:rFonts w:cs="Times New Roman"/>
          <w:lang w:val="hr-HR"/>
        </w:rPr>
        <w:t>Ukupni primici od financijske imovine i zaduživanja planiraju se u iznosu od 44,7 milijardi kuna od čega primljeni povrati glavnica danih zajmova i depozita iznose 1,1 milijardu kuna, primici od izdanih vrijednosnih papira 25,1 milijardu kuna, primici od zaduživanja 18,3 milijarde kuna te primici od prodaje dionica i udjela u glavnici 155,3 milijuna kuna.</w:t>
      </w:r>
    </w:p>
    <w:p w:rsidR="00A52208" w:rsidRPr="00A52208" w:rsidRDefault="00A52208" w:rsidP="00A52208">
      <w:pPr>
        <w:spacing w:before="240"/>
        <w:jc w:val="both"/>
        <w:rPr>
          <w:rFonts w:cs="Times New Roman"/>
          <w:lang w:val="hr-HR"/>
        </w:rPr>
      </w:pPr>
      <w:r w:rsidRPr="00A52208">
        <w:rPr>
          <w:rFonts w:cs="Times New Roman"/>
          <w:lang w:val="hr-HR"/>
        </w:rPr>
        <w:t xml:space="preserve">Ukupni primici od financijske imovine i zaduživanja smanjuju se za 862,8 milijuna kuna u odnosu na Izmjene i dopune Državnog proračuna Republike Hrvatske za 2021. godinu i projekcija za 2022. i 2023. godinu iz lipnja 2021. Navedeno je rezultat prvenstveno smanjenja plana primljenih povrata glavnice danih zajmova i depozita u iznosu od 478,3 milijuna kuna uslijed izmjene dinamike povrata  beskamatnih zajmova danih jedinicama lokalne i područne (regionalne) samouprave i Hrvatskom zavodu za zdravstveno osiguranje u 2020. godini za ublažavanje posljedica smanjenja prihoda u uvjetima epidemije </w:t>
      </w:r>
      <w:proofErr w:type="spellStart"/>
      <w:r w:rsidRPr="00A52208">
        <w:rPr>
          <w:rFonts w:cs="Times New Roman"/>
          <w:lang w:val="hr-HR"/>
        </w:rPr>
        <w:t>koronavirusa</w:t>
      </w:r>
      <w:proofErr w:type="spellEnd"/>
      <w:r w:rsidRPr="00A52208">
        <w:rPr>
          <w:rFonts w:cs="Times New Roman"/>
          <w:lang w:val="hr-HR"/>
        </w:rPr>
        <w:t xml:space="preserve">. </w:t>
      </w:r>
    </w:p>
    <w:p w:rsidR="00A52208" w:rsidRPr="00A52208" w:rsidRDefault="00A52208" w:rsidP="00A52208">
      <w:pPr>
        <w:spacing w:before="240"/>
        <w:jc w:val="both"/>
        <w:rPr>
          <w:rFonts w:cs="Times New Roman"/>
          <w:lang w:val="hr-HR"/>
        </w:rPr>
      </w:pPr>
      <w:r w:rsidRPr="00A52208">
        <w:rPr>
          <w:rFonts w:cs="Times New Roman"/>
          <w:lang w:val="hr-HR"/>
        </w:rPr>
        <w:t>Ukupni izdaci za financijsku imovinu i otplate zajmova planirani su u iznosu 27,7 milijardi kuna, od čega su izdaci za dane zajmove i depozite planirani u iznosu od 5,0 milijardi kuna, izdaci za dionice i udjele u glavnici u iznosu od 639,5 milijuna kuna, izdaci za otplatu primljenih kredita i zajmova u iznosu od 8,3 milijarde kuna te izdaci za otplatu glavnice za izdane vrijednosne papire u iznosu od 13,8 milijardi kuna. Plan ukupnih izdataka za financijsku imovinu i otplate zajmova smanjuje se za 1,0 milijardu kuna što je prvenstveno rezultat smanjenja planiranih izdataka za dane zajmove i depozite u iznosu od 1,9 milijardi kuna, uz istovremeno povećanje izdataka za dionice i udjele u glavnici u iznosu od 464,6 milijuna kuna te izdataka za otplatu primljenih kredita i zajmova u iznosu od 422,4 milijuna kuna.</w:t>
      </w:r>
    </w:p>
    <w:p w:rsidR="00A52208" w:rsidRPr="00A52208" w:rsidRDefault="00A52208" w:rsidP="00A52208">
      <w:pPr>
        <w:spacing w:before="240"/>
        <w:jc w:val="both"/>
        <w:rPr>
          <w:rFonts w:cs="Times New Roman"/>
          <w:lang w:val="hr-HR"/>
        </w:rPr>
      </w:pPr>
      <w:r w:rsidRPr="00A52208">
        <w:rPr>
          <w:rFonts w:cs="Times New Roman"/>
          <w:lang w:val="hr-HR"/>
        </w:rPr>
        <w:t>Zatvarajuća stavka između ukupnih primitaka od financijske imovine i zaduživanja, ukupnih izdataka za financijsku imovinu i otplate zajmova te ukupnog manjka proračuna jest razlika između prijenosa depozita iz prethodne godine i prijenosa depozita u sljedeću godinu.</w:t>
      </w:r>
    </w:p>
    <w:p w:rsidR="00A52208" w:rsidRDefault="00A52208" w:rsidP="00A52208">
      <w:pPr>
        <w:spacing w:before="240"/>
        <w:jc w:val="both"/>
        <w:rPr>
          <w:lang w:val="hr-HR"/>
        </w:rPr>
      </w:pPr>
    </w:p>
    <w:p w:rsidR="00A52208" w:rsidRDefault="00A52208" w:rsidP="00A52208">
      <w:pPr>
        <w:spacing w:before="240"/>
        <w:jc w:val="both"/>
        <w:rPr>
          <w:lang w:val="hr-HR"/>
        </w:rPr>
      </w:pPr>
    </w:p>
    <w:p w:rsidR="00A52208" w:rsidRDefault="00A52208" w:rsidP="00A52208">
      <w:pPr>
        <w:spacing w:before="240"/>
        <w:jc w:val="both"/>
        <w:rPr>
          <w:lang w:val="hr-HR"/>
        </w:rPr>
      </w:pPr>
    </w:p>
    <w:p w:rsidR="00A52208" w:rsidRDefault="00A52208" w:rsidP="00A52208">
      <w:pPr>
        <w:spacing w:before="240"/>
        <w:jc w:val="both"/>
        <w:rPr>
          <w:lang w:val="hr-HR"/>
        </w:rPr>
      </w:pPr>
    </w:p>
    <w:p w:rsidR="001628CF" w:rsidRDefault="001628CF" w:rsidP="00A52208">
      <w:pPr>
        <w:spacing w:before="240"/>
        <w:jc w:val="both"/>
        <w:rPr>
          <w:lang w:val="hr-HR"/>
        </w:rPr>
      </w:pPr>
    </w:p>
    <w:p w:rsidR="006E0462" w:rsidRPr="00A52208" w:rsidRDefault="006E0462" w:rsidP="00A52208">
      <w:pPr>
        <w:spacing w:before="240"/>
        <w:jc w:val="both"/>
        <w:rPr>
          <w:b/>
          <w:i/>
        </w:rPr>
      </w:pPr>
      <w:proofErr w:type="spellStart"/>
      <w:r w:rsidRPr="00A52208">
        <w:rPr>
          <w:i/>
        </w:rPr>
        <w:lastRenderedPageBreak/>
        <w:t>Tablica</w:t>
      </w:r>
      <w:proofErr w:type="spellEnd"/>
      <w:r w:rsidRPr="00A52208">
        <w:rPr>
          <w:i/>
        </w:rPr>
        <w:t xml:space="preserve"> </w:t>
      </w:r>
      <w:r w:rsidRPr="00A52208">
        <w:rPr>
          <w:b/>
          <w:i/>
        </w:rPr>
        <w:fldChar w:fldCharType="begin"/>
      </w:r>
      <w:r w:rsidRPr="00A52208">
        <w:rPr>
          <w:i/>
        </w:rPr>
        <w:instrText xml:space="preserve"> SEQ Tablica \* ARABIC </w:instrText>
      </w:r>
      <w:r w:rsidRPr="00A52208">
        <w:rPr>
          <w:b/>
          <w:i/>
        </w:rPr>
        <w:fldChar w:fldCharType="separate"/>
      </w:r>
      <w:r w:rsidR="00CD730D">
        <w:rPr>
          <w:i/>
          <w:noProof/>
        </w:rPr>
        <w:t>8</w:t>
      </w:r>
      <w:r w:rsidRPr="00A52208">
        <w:rPr>
          <w:b/>
          <w:i/>
        </w:rPr>
        <w:fldChar w:fldCharType="end"/>
      </w:r>
      <w:r w:rsidRPr="00A52208">
        <w:rPr>
          <w:i/>
        </w:rPr>
        <w:t xml:space="preserve">. </w:t>
      </w:r>
      <w:proofErr w:type="spellStart"/>
      <w:r w:rsidRPr="00A52208">
        <w:rPr>
          <w:i/>
        </w:rPr>
        <w:t>Ukupni</w:t>
      </w:r>
      <w:proofErr w:type="spellEnd"/>
      <w:r w:rsidRPr="00A52208">
        <w:rPr>
          <w:i/>
        </w:rPr>
        <w:t xml:space="preserve"> </w:t>
      </w:r>
      <w:proofErr w:type="spellStart"/>
      <w:r w:rsidRPr="00A52208">
        <w:rPr>
          <w:i/>
        </w:rPr>
        <w:t>prihodi</w:t>
      </w:r>
      <w:proofErr w:type="spellEnd"/>
      <w:r w:rsidRPr="00A52208">
        <w:rPr>
          <w:i/>
        </w:rPr>
        <w:t xml:space="preserve">, </w:t>
      </w:r>
      <w:proofErr w:type="spellStart"/>
      <w:r w:rsidRPr="00A52208">
        <w:rPr>
          <w:i/>
        </w:rPr>
        <w:t>rashodi</w:t>
      </w:r>
      <w:proofErr w:type="spellEnd"/>
      <w:r w:rsidRPr="00A52208">
        <w:rPr>
          <w:i/>
        </w:rPr>
        <w:t xml:space="preserve"> </w:t>
      </w:r>
      <w:proofErr w:type="spellStart"/>
      <w:r w:rsidRPr="00A52208">
        <w:rPr>
          <w:i/>
        </w:rPr>
        <w:t>i</w:t>
      </w:r>
      <w:proofErr w:type="spellEnd"/>
      <w:r w:rsidRPr="00A52208">
        <w:rPr>
          <w:i/>
        </w:rPr>
        <w:t xml:space="preserve"> </w:t>
      </w:r>
      <w:proofErr w:type="spellStart"/>
      <w:r w:rsidRPr="00A52208">
        <w:rPr>
          <w:i/>
        </w:rPr>
        <w:t>financiranje</w:t>
      </w:r>
      <w:proofErr w:type="spellEnd"/>
      <w:r w:rsidRPr="00A52208">
        <w:rPr>
          <w:i/>
        </w:rPr>
        <w:t xml:space="preserve"> </w:t>
      </w:r>
      <w:proofErr w:type="spellStart"/>
      <w:r w:rsidRPr="00A52208">
        <w:rPr>
          <w:i/>
        </w:rPr>
        <w:t>državnog</w:t>
      </w:r>
      <w:proofErr w:type="spellEnd"/>
      <w:r w:rsidRPr="00A52208">
        <w:rPr>
          <w:i/>
        </w:rPr>
        <w:t xml:space="preserve"> </w:t>
      </w:r>
      <w:proofErr w:type="spellStart"/>
      <w:r w:rsidRPr="00A52208">
        <w:rPr>
          <w:i/>
        </w:rPr>
        <w:t>proračuna</w:t>
      </w:r>
      <w:proofErr w:type="spellEnd"/>
    </w:p>
    <w:p w:rsidR="006E0462" w:rsidRPr="00A52208" w:rsidRDefault="00A52208" w:rsidP="006E0462">
      <w:pPr>
        <w:spacing w:after="0"/>
        <w:rPr>
          <w:noProof/>
          <w:lang w:val="hr-HR" w:eastAsia="hr-HR"/>
        </w:rPr>
      </w:pPr>
      <w:r w:rsidRPr="00A52208">
        <w:rPr>
          <w:noProof/>
          <w:lang w:val="hr-HR" w:eastAsia="hr-HR"/>
        </w:rPr>
        <w:drawing>
          <wp:inline distT="0" distB="0" distL="0" distR="0" wp14:anchorId="6316AED9">
            <wp:extent cx="4972050" cy="1767864"/>
            <wp:effectExtent l="0" t="0" r="0" b="381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99520" cy="1777631"/>
                    </a:xfrm>
                    <a:prstGeom prst="rect">
                      <a:avLst/>
                    </a:prstGeom>
                    <a:noFill/>
                  </pic:spPr>
                </pic:pic>
              </a:graphicData>
            </a:graphic>
          </wp:inline>
        </w:drawing>
      </w:r>
    </w:p>
    <w:p w:rsidR="001628CF" w:rsidRPr="006E0462" w:rsidRDefault="00DC5CAF" w:rsidP="006E0462">
      <w:pPr>
        <w:jc w:val="both"/>
        <w:rPr>
          <w:rFonts w:cs="Times New Roman"/>
          <w:i/>
          <w:color w:val="000000"/>
          <w:lang w:val="hr-HR"/>
        </w:rPr>
      </w:pPr>
      <w:r w:rsidRPr="00A52208">
        <w:rPr>
          <w:rFonts w:cs="Times New Roman"/>
          <w:i/>
          <w:color w:val="000000"/>
          <w:lang w:val="hr-HR"/>
        </w:rPr>
        <w:t>Izvor: Ministarstvo financija</w:t>
      </w:r>
    </w:p>
    <w:p w:rsidR="00025948" w:rsidRPr="009B5CBF" w:rsidRDefault="00025948" w:rsidP="00462EC5">
      <w:pPr>
        <w:pStyle w:val="Naslov1"/>
        <w:numPr>
          <w:ilvl w:val="0"/>
          <w:numId w:val="1"/>
        </w:numPr>
        <w:rPr>
          <w:lang w:val="hr-HR"/>
        </w:rPr>
      </w:pPr>
      <w:bookmarkStart w:id="19" w:name="_Toc86306114"/>
      <w:r w:rsidRPr="009B5CBF">
        <w:rPr>
          <w:lang w:val="hr-HR"/>
        </w:rPr>
        <w:t>PROCJENA UKUPNOG MANJKA PRORAČUNA OPĆE DRŽAVE</w:t>
      </w:r>
      <w:bookmarkEnd w:id="19"/>
      <w:r w:rsidRPr="009B5CBF">
        <w:rPr>
          <w:lang w:val="hr-HR"/>
        </w:rPr>
        <w:t xml:space="preserve"> </w:t>
      </w:r>
    </w:p>
    <w:p w:rsidR="001628CF" w:rsidRDefault="001628CF" w:rsidP="00025948">
      <w:pPr>
        <w:jc w:val="both"/>
        <w:rPr>
          <w:rFonts w:cs="Times New Roman"/>
          <w:lang w:val="hr-HR"/>
        </w:rPr>
      </w:pPr>
    </w:p>
    <w:p w:rsidR="00664373" w:rsidRPr="00515E82" w:rsidRDefault="00664373" w:rsidP="00025948">
      <w:pPr>
        <w:jc w:val="both"/>
        <w:rPr>
          <w:rFonts w:cs="Times New Roman"/>
          <w:lang w:val="hr-HR"/>
        </w:rPr>
      </w:pPr>
      <w:r w:rsidRPr="00515E82">
        <w:rPr>
          <w:rFonts w:cs="Times New Roman"/>
          <w:lang w:val="hr-HR"/>
        </w:rPr>
        <w:t xml:space="preserve">Novim planom u 2021. godini opći proračun prema nacionalnoj metodologiji ostvaruje manjak od </w:t>
      </w:r>
      <w:r w:rsidR="00515E82" w:rsidRPr="00515E82">
        <w:rPr>
          <w:rFonts w:cs="Times New Roman"/>
          <w:lang w:val="hr-HR"/>
        </w:rPr>
        <w:t xml:space="preserve">21,3 </w:t>
      </w:r>
      <w:r w:rsidRPr="00515E82">
        <w:rPr>
          <w:rFonts w:cs="Times New Roman"/>
          <w:lang w:val="hr-HR"/>
        </w:rPr>
        <w:t>milijard</w:t>
      </w:r>
      <w:r w:rsidR="00515E82" w:rsidRPr="00515E82">
        <w:rPr>
          <w:rFonts w:cs="Times New Roman"/>
          <w:lang w:val="hr-HR"/>
        </w:rPr>
        <w:t>e</w:t>
      </w:r>
      <w:r w:rsidRPr="00515E82">
        <w:rPr>
          <w:rFonts w:cs="Times New Roman"/>
          <w:lang w:val="hr-HR"/>
        </w:rPr>
        <w:t xml:space="preserve"> kuna, što predstavlja </w:t>
      </w:r>
      <w:r w:rsidR="00515E82" w:rsidRPr="00515E82">
        <w:rPr>
          <w:rFonts w:cs="Times New Roman"/>
          <w:lang w:val="hr-HR"/>
        </w:rPr>
        <w:t>5</w:t>
      </w:r>
      <w:r w:rsidRPr="00515E82">
        <w:rPr>
          <w:rFonts w:cs="Times New Roman"/>
          <w:lang w:val="hr-HR"/>
        </w:rPr>
        <w:t>% BDP-a. Pritom državni proračun bilježi razinu manjka od 4,</w:t>
      </w:r>
      <w:r w:rsidR="00515E82" w:rsidRPr="00515E82">
        <w:rPr>
          <w:rFonts w:cs="Times New Roman"/>
          <w:lang w:val="hr-HR"/>
        </w:rPr>
        <w:t>7</w:t>
      </w:r>
      <w:r w:rsidRPr="00515E82">
        <w:rPr>
          <w:rFonts w:cs="Times New Roman"/>
          <w:lang w:val="hr-HR"/>
        </w:rPr>
        <w:t>% BDP-a, dok će izvanproračunski korisnici ostvariti višak od 0,</w:t>
      </w:r>
      <w:r w:rsidR="00515E82" w:rsidRPr="00515E82">
        <w:rPr>
          <w:rFonts w:cs="Times New Roman"/>
          <w:lang w:val="hr-HR"/>
        </w:rPr>
        <w:t>2</w:t>
      </w:r>
      <w:r w:rsidRPr="00515E82">
        <w:rPr>
          <w:rFonts w:cs="Times New Roman"/>
          <w:lang w:val="hr-HR"/>
        </w:rPr>
        <w:t xml:space="preserve">% BDP-a. Očekuje se da će jedinice lokalne i područne (regionalne) samouprave zabilježiti manjak od 0,5% BDP-a. </w:t>
      </w:r>
    </w:p>
    <w:p w:rsidR="006E0462" w:rsidRDefault="006E0462" w:rsidP="006E0462">
      <w:pPr>
        <w:pStyle w:val="Opisslike"/>
        <w:spacing w:before="240" w:after="120"/>
        <w:jc w:val="both"/>
        <w:rPr>
          <w:rFonts w:asciiTheme="minorHAnsi" w:hAnsiTheme="minorHAnsi"/>
          <w:b w:val="0"/>
          <w:i/>
          <w:sz w:val="22"/>
          <w:szCs w:val="22"/>
        </w:rPr>
      </w:pPr>
      <w:r w:rsidRPr="00515E82">
        <w:rPr>
          <w:rFonts w:asciiTheme="minorHAnsi" w:hAnsiTheme="minorHAnsi"/>
          <w:b w:val="0"/>
          <w:i/>
          <w:sz w:val="22"/>
          <w:szCs w:val="22"/>
        </w:rPr>
        <w:t xml:space="preserve">Tablica </w:t>
      </w:r>
      <w:r w:rsidRPr="00515E82">
        <w:rPr>
          <w:rFonts w:asciiTheme="minorHAnsi" w:hAnsiTheme="minorHAnsi"/>
          <w:b w:val="0"/>
          <w:i/>
          <w:sz w:val="22"/>
          <w:szCs w:val="22"/>
        </w:rPr>
        <w:fldChar w:fldCharType="begin"/>
      </w:r>
      <w:r w:rsidRPr="00515E82">
        <w:rPr>
          <w:rFonts w:asciiTheme="minorHAnsi" w:hAnsiTheme="minorHAnsi"/>
          <w:b w:val="0"/>
          <w:i/>
          <w:sz w:val="22"/>
          <w:szCs w:val="22"/>
        </w:rPr>
        <w:instrText xml:space="preserve"> SEQ Tablica \* ARABIC </w:instrText>
      </w:r>
      <w:r w:rsidRPr="00515E82">
        <w:rPr>
          <w:rFonts w:asciiTheme="minorHAnsi" w:hAnsiTheme="minorHAnsi"/>
          <w:b w:val="0"/>
          <w:i/>
          <w:sz w:val="22"/>
          <w:szCs w:val="22"/>
        </w:rPr>
        <w:fldChar w:fldCharType="separate"/>
      </w:r>
      <w:r w:rsidR="00CD730D">
        <w:rPr>
          <w:rFonts w:asciiTheme="minorHAnsi" w:hAnsiTheme="minorHAnsi"/>
          <w:b w:val="0"/>
          <w:i/>
          <w:noProof/>
          <w:sz w:val="22"/>
          <w:szCs w:val="22"/>
        </w:rPr>
        <w:t>9</w:t>
      </w:r>
      <w:r w:rsidRPr="00515E82">
        <w:rPr>
          <w:rFonts w:asciiTheme="minorHAnsi" w:hAnsiTheme="minorHAnsi"/>
          <w:b w:val="0"/>
          <w:i/>
          <w:sz w:val="22"/>
          <w:szCs w:val="22"/>
        </w:rPr>
        <w:fldChar w:fldCharType="end"/>
      </w:r>
      <w:r w:rsidRPr="00515E82">
        <w:rPr>
          <w:rFonts w:asciiTheme="minorHAnsi" w:hAnsiTheme="minorHAnsi"/>
          <w:b w:val="0"/>
          <w:i/>
          <w:sz w:val="22"/>
          <w:szCs w:val="22"/>
        </w:rPr>
        <w:t>. Procjena ukupnog manjka/viška proračuna opće države</w:t>
      </w:r>
    </w:p>
    <w:p w:rsidR="001F2B62" w:rsidRPr="001F2B62" w:rsidRDefault="00B31D1F" w:rsidP="006E0462">
      <w:pPr>
        <w:spacing w:after="0"/>
        <w:rPr>
          <w:lang w:val="hr-HR"/>
        </w:rPr>
      </w:pPr>
      <w:r w:rsidRPr="00B31D1F">
        <w:rPr>
          <w:noProof/>
          <w:lang w:val="hr-HR" w:eastAsia="hr-HR"/>
        </w:rPr>
        <w:drawing>
          <wp:inline distT="0" distB="0" distL="0" distR="0">
            <wp:extent cx="4286970" cy="429260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96510" cy="4302153"/>
                    </a:xfrm>
                    <a:prstGeom prst="rect">
                      <a:avLst/>
                    </a:prstGeom>
                    <a:noFill/>
                    <a:ln>
                      <a:noFill/>
                    </a:ln>
                  </pic:spPr>
                </pic:pic>
              </a:graphicData>
            </a:graphic>
          </wp:inline>
        </w:drawing>
      </w:r>
    </w:p>
    <w:p w:rsidR="00992BE3" w:rsidRPr="009B5CBF" w:rsidRDefault="00025948" w:rsidP="006E0462">
      <w:pPr>
        <w:jc w:val="both"/>
        <w:rPr>
          <w:rFonts w:cs="Times New Roman"/>
          <w:i/>
          <w:color w:val="000000"/>
          <w:lang w:val="hr-HR"/>
        </w:rPr>
      </w:pPr>
      <w:r w:rsidRPr="009B5CBF">
        <w:rPr>
          <w:rFonts w:cs="Times New Roman"/>
          <w:i/>
          <w:color w:val="000000"/>
          <w:lang w:val="hr-HR"/>
        </w:rPr>
        <w:t>Izvor: Ministarstvo financija</w:t>
      </w:r>
    </w:p>
    <w:p w:rsidR="008F3ABC" w:rsidRPr="00515E82" w:rsidRDefault="008F3ABC" w:rsidP="008F3ABC">
      <w:pPr>
        <w:spacing w:after="120"/>
        <w:jc w:val="both"/>
        <w:rPr>
          <w:rFonts w:ascii="Calibri" w:hAnsi="Calibri"/>
          <w:lang w:val="hr-HR"/>
        </w:rPr>
      </w:pPr>
      <w:r w:rsidRPr="00515E82">
        <w:rPr>
          <w:rFonts w:ascii="Calibri" w:hAnsi="Calibri"/>
          <w:lang w:val="hr-HR"/>
        </w:rPr>
        <w:lastRenderedPageBreak/>
        <w:t xml:space="preserve">Kada se ovim veličinama pridodaju prilagodbe nacionalne metodologije računskog plana metodologiji ESA 2010 te projekcije ostalih pravnih osoba koje su statistički uključene u sektor opće države prema metodologiji ESA 2010, procjenjuje se kako će planirani manjak općeg proračuna u 2021. godini iznositi </w:t>
      </w:r>
      <w:r w:rsidR="00515E82" w:rsidRPr="00515E82">
        <w:rPr>
          <w:rFonts w:ascii="Calibri" w:hAnsi="Calibri"/>
          <w:lang w:val="hr-HR"/>
        </w:rPr>
        <w:t>18,9</w:t>
      </w:r>
      <w:r w:rsidRPr="00515E82">
        <w:rPr>
          <w:rFonts w:ascii="Calibri" w:hAnsi="Calibri"/>
          <w:lang w:val="hr-HR"/>
        </w:rPr>
        <w:t xml:space="preserve"> milijard</w:t>
      </w:r>
      <w:r w:rsidR="00515E82" w:rsidRPr="00515E82">
        <w:rPr>
          <w:rFonts w:ascii="Calibri" w:hAnsi="Calibri"/>
          <w:lang w:val="hr-HR"/>
        </w:rPr>
        <w:t>i</w:t>
      </w:r>
      <w:r w:rsidRPr="00515E82">
        <w:rPr>
          <w:rFonts w:ascii="Calibri" w:hAnsi="Calibri"/>
          <w:lang w:val="hr-HR"/>
        </w:rPr>
        <w:t xml:space="preserve"> kuna ili </w:t>
      </w:r>
      <w:r w:rsidR="00515E82" w:rsidRPr="00515E82">
        <w:rPr>
          <w:rFonts w:ascii="Calibri" w:hAnsi="Calibri"/>
          <w:lang w:val="hr-HR"/>
        </w:rPr>
        <w:t>4,5</w:t>
      </w:r>
      <w:r w:rsidRPr="00515E82">
        <w:rPr>
          <w:rFonts w:ascii="Calibri" w:hAnsi="Calibri"/>
          <w:lang w:val="hr-HR"/>
        </w:rPr>
        <w:t xml:space="preserve">% BDP-a. </w:t>
      </w:r>
    </w:p>
    <w:p w:rsidR="00B174AC" w:rsidRDefault="008F3ABC" w:rsidP="009277FC">
      <w:pPr>
        <w:spacing w:after="120"/>
        <w:jc w:val="both"/>
        <w:rPr>
          <w:rFonts w:ascii="Calibri" w:hAnsi="Calibri"/>
          <w:lang w:val="hr-HR"/>
        </w:rPr>
      </w:pPr>
      <w:r w:rsidRPr="00515E82">
        <w:rPr>
          <w:rFonts w:ascii="Calibri" w:hAnsi="Calibri"/>
          <w:lang w:val="hr-HR"/>
        </w:rPr>
        <w:t xml:space="preserve">Temeljem kretanja fiskalnog salda proračuna opće države i snažnog oporavka cjelokupne gospodarske aktivnosti očekuje se da će udio javnog duga u BDP-u u 2021. godini zabilježiti smanjenje </w:t>
      </w:r>
      <w:r w:rsidR="00515E82" w:rsidRPr="00515E82">
        <w:rPr>
          <w:rFonts w:ascii="Calibri" w:hAnsi="Calibri"/>
          <w:lang w:val="hr-HR"/>
        </w:rPr>
        <w:t>od</w:t>
      </w:r>
      <w:r w:rsidRPr="00515E82">
        <w:rPr>
          <w:rFonts w:ascii="Calibri" w:hAnsi="Calibri"/>
          <w:lang w:val="hr-HR"/>
        </w:rPr>
        <w:t xml:space="preserve"> </w:t>
      </w:r>
      <w:r w:rsidR="00515E82" w:rsidRPr="00515E82">
        <w:rPr>
          <w:rFonts w:ascii="Calibri" w:hAnsi="Calibri"/>
          <w:lang w:val="hr-HR"/>
        </w:rPr>
        <w:t>4,2</w:t>
      </w:r>
      <w:r w:rsidRPr="00515E82">
        <w:rPr>
          <w:rFonts w:ascii="Calibri" w:hAnsi="Calibri"/>
          <w:lang w:val="hr-HR"/>
        </w:rPr>
        <w:t xml:space="preserve"> postotna boda te će iznositi </w:t>
      </w:r>
      <w:r w:rsidR="00515E82" w:rsidRPr="00515E82">
        <w:rPr>
          <w:rFonts w:ascii="Calibri" w:hAnsi="Calibri"/>
          <w:lang w:val="hr-HR"/>
        </w:rPr>
        <w:t>83,1</w:t>
      </w:r>
      <w:r w:rsidRPr="00515E82">
        <w:rPr>
          <w:rFonts w:ascii="Calibri" w:hAnsi="Calibri"/>
          <w:lang w:val="hr-HR"/>
        </w:rPr>
        <w:t>% BDP-a.</w:t>
      </w:r>
      <w:r w:rsidRPr="008F3ABC">
        <w:rPr>
          <w:rFonts w:ascii="Calibri" w:hAnsi="Calibri"/>
          <w:lang w:val="hr-HR"/>
        </w:rPr>
        <w:t xml:space="preserve"> </w:t>
      </w:r>
    </w:p>
    <w:sectPr w:rsidR="00B174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1F5" w:rsidRDefault="003461F5">
      <w:pPr>
        <w:spacing w:after="0" w:line="240" w:lineRule="auto"/>
      </w:pPr>
      <w:r>
        <w:separator/>
      </w:r>
    </w:p>
  </w:endnote>
  <w:endnote w:type="continuationSeparator" w:id="0">
    <w:p w:rsidR="003461F5" w:rsidRDefault="00346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Podnoje"/>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EA2577">
          <w:rPr>
            <w:noProof/>
            <w:sz w:val="20"/>
            <w:szCs w:val="20"/>
          </w:rPr>
          <w:t>18</w:t>
        </w:r>
        <w:r w:rsidRPr="00927736">
          <w:rPr>
            <w:noProof/>
            <w:sz w:val="20"/>
            <w:szCs w:val="20"/>
          </w:rPr>
          <w:fldChar w:fldCharType="end"/>
        </w:r>
      </w:p>
    </w:sdtContent>
  </w:sdt>
  <w:p w:rsidR="00927736" w:rsidRDefault="00EA257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1F5" w:rsidRDefault="003461F5">
      <w:pPr>
        <w:spacing w:after="0" w:line="240" w:lineRule="auto"/>
      </w:pPr>
      <w:r>
        <w:separator/>
      </w:r>
    </w:p>
  </w:footnote>
  <w:footnote w:type="continuationSeparator" w:id="0">
    <w:p w:rsidR="003461F5" w:rsidRDefault="003461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434094"/>
    <w:multiLevelType w:val="hybridMultilevel"/>
    <w:tmpl w:val="409E4E6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23397927"/>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37E157D"/>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color w:val="auto"/>
        <w:spacing w:val="0"/>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9"/>
  </w:num>
  <w:num w:numId="4">
    <w:abstractNumId w:val="2"/>
  </w:num>
  <w:num w:numId="5">
    <w:abstractNumId w:val="12"/>
  </w:num>
  <w:num w:numId="6">
    <w:abstractNumId w:val="3"/>
  </w:num>
  <w:num w:numId="7">
    <w:abstractNumId w:val="0"/>
  </w:num>
  <w:num w:numId="8">
    <w:abstractNumId w:val="4"/>
  </w:num>
  <w:num w:numId="9">
    <w:abstractNumId w:val="10"/>
  </w:num>
  <w:num w:numId="10">
    <w:abstractNumId w:val="13"/>
  </w:num>
  <w:num w:numId="11">
    <w:abstractNumId w:val="7"/>
  </w:num>
  <w:num w:numId="12">
    <w:abstractNumId w:val="5"/>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948"/>
    <w:rsid w:val="000002CE"/>
    <w:rsid w:val="00003D5E"/>
    <w:rsid w:val="00004CF8"/>
    <w:rsid w:val="0000672A"/>
    <w:rsid w:val="000101D8"/>
    <w:rsid w:val="0001315E"/>
    <w:rsid w:val="00023F38"/>
    <w:rsid w:val="00025948"/>
    <w:rsid w:val="00027EBF"/>
    <w:rsid w:val="000307B2"/>
    <w:rsid w:val="00044D20"/>
    <w:rsid w:val="000465E0"/>
    <w:rsid w:val="0005132A"/>
    <w:rsid w:val="0006121D"/>
    <w:rsid w:val="000674BE"/>
    <w:rsid w:val="0007216A"/>
    <w:rsid w:val="000722F3"/>
    <w:rsid w:val="00081C54"/>
    <w:rsid w:val="000848F3"/>
    <w:rsid w:val="000A2502"/>
    <w:rsid w:val="000A253C"/>
    <w:rsid w:val="000B7EEC"/>
    <w:rsid w:val="000C1CEE"/>
    <w:rsid w:val="000C4539"/>
    <w:rsid w:val="000D3576"/>
    <w:rsid w:val="000D59BF"/>
    <w:rsid w:val="000E4A39"/>
    <w:rsid w:val="000F091E"/>
    <w:rsid w:val="000F0944"/>
    <w:rsid w:val="000F2753"/>
    <w:rsid w:val="001021B6"/>
    <w:rsid w:val="00103C81"/>
    <w:rsid w:val="001127D4"/>
    <w:rsid w:val="00116F22"/>
    <w:rsid w:val="00161610"/>
    <w:rsid w:val="001628CF"/>
    <w:rsid w:val="001642D4"/>
    <w:rsid w:val="001660B7"/>
    <w:rsid w:val="00176E3C"/>
    <w:rsid w:val="00180523"/>
    <w:rsid w:val="001968B6"/>
    <w:rsid w:val="00196F0D"/>
    <w:rsid w:val="001A487B"/>
    <w:rsid w:val="001C0A3F"/>
    <w:rsid w:val="001C0D49"/>
    <w:rsid w:val="001C50F6"/>
    <w:rsid w:val="001C518F"/>
    <w:rsid w:val="001C5874"/>
    <w:rsid w:val="001D5595"/>
    <w:rsid w:val="001E0575"/>
    <w:rsid w:val="001E19B0"/>
    <w:rsid w:val="001F1D66"/>
    <w:rsid w:val="001F2B62"/>
    <w:rsid w:val="002022F9"/>
    <w:rsid w:val="00202ECD"/>
    <w:rsid w:val="00203260"/>
    <w:rsid w:val="00205365"/>
    <w:rsid w:val="002177E5"/>
    <w:rsid w:val="0022280E"/>
    <w:rsid w:val="0024536B"/>
    <w:rsid w:val="00256902"/>
    <w:rsid w:val="002632A5"/>
    <w:rsid w:val="0026390D"/>
    <w:rsid w:val="00263C6F"/>
    <w:rsid w:val="00270A0D"/>
    <w:rsid w:val="00272320"/>
    <w:rsid w:val="002776E1"/>
    <w:rsid w:val="00287171"/>
    <w:rsid w:val="00287D4E"/>
    <w:rsid w:val="00291285"/>
    <w:rsid w:val="002A19FA"/>
    <w:rsid w:val="002B3BAA"/>
    <w:rsid w:val="002C4294"/>
    <w:rsid w:val="002C7056"/>
    <w:rsid w:val="002D3AA1"/>
    <w:rsid w:val="002D563E"/>
    <w:rsid w:val="002E165F"/>
    <w:rsid w:val="002E2FFA"/>
    <w:rsid w:val="002F110B"/>
    <w:rsid w:val="002F1167"/>
    <w:rsid w:val="002F2569"/>
    <w:rsid w:val="002F3F2E"/>
    <w:rsid w:val="00305F0F"/>
    <w:rsid w:val="0031161A"/>
    <w:rsid w:val="00322E85"/>
    <w:rsid w:val="0032576C"/>
    <w:rsid w:val="0032614A"/>
    <w:rsid w:val="00336226"/>
    <w:rsid w:val="00343D8F"/>
    <w:rsid w:val="003461F5"/>
    <w:rsid w:val="00354B24"/>
    <w:rsid w:val="00364E3D"/>
    <w:rsid w:val="00371DE3"/>
    <w:rsid w:val="0037580C"/>
    <w:rsid w:val="00393372"/>
    <w:rsid w:val="003A141B"/>
    <w:rsid w:val="003A3C60"/>
    <w:rsid w:val="003A3ED1"/>
    <w:rsid w:val="003B24C8"/>
    <w:rsid w:val="003B4749"/>
    <w:rsid w:val="003C16AA"/>
    <w:rsid w:val="003C1F05"/>
    <w:rsid w:val="003C433B"/>
    <w:rsid w:val="003D66F3"/>
    <w:rsid w:val="003E132F"/>
    <w:rsid w:val="003E4F61"/>
    <w:rsid w:val="003E770D"/>
    <w:rsid w:val="003F33C8"/>
    <w:rsid w:val="004017B2"/>
    <w:rsid w:val="004041B9"/>
    <w:rsid w:val="00412A4D"/>
    <w:rsid w:val="00413A8B"/>
    <w:rsid w:val="00424966"/>
    <w:rsid w:val="0043248F"/>
    <w:rsid w:val="00432971"/>
    <w:rsid w:val="00433F61"/>
    <w:rsid w:val="00436640"/>
    <w:rsid w:val="00443089"/>
    <w:rsid w:val="00460A30"/>
    <w:rsid w:val="0046118F"/>
    <w:rsid w:val="00462EC5"/>
    <w:rsid w:val="0047545F"/>
    <w:rsid w:val="00480958"/>
    <w:rsid w:val="0048144B"/>
    <w:rsid w:val="00484ACC"/>
    <w:rsid w:val="00493C2F"/>
    <w:rsid w:val="004941A1"/>
    <w:rsid w:val="00497255"/>
    <w:rsid w:val="004A0B3C"/>
    <w:rsid w:val="004A6071"/>
    <w:rsid w:val="004A6E12"/>
    <w:rsid w:val="004B07D7"/>
    <w:rsid w:val="004C0D92"/>
    <w:rsid w:val="004D3018"/>
    <w:rsid w:val="004E22FA"/>
    <w:rsid w:val="004E31D4"/>
    <w:rsid w:val="004E3244"/>
    <w:rsid w:val="004F024C"/>
    <w:rsid w:val="00501B37"/>
    <w:rsid w:val="005052A5"/>
    <w:rsid w:val="005116C4"/>
    <w:rsid w:val="00515E82"/>
    <w:rsid w:val="00516C30"/>
    <w:rsid w:val="00523FC5"/>
    <w:rsid w:val="0052640F"/>
    <w:rsid w:val="0053462C"/>
    <w:rsid w:val="00534EB8"/>
    <w:rsid w:val="00555278"/>
    <w:rsid w:val="00564895"/>
    <w:rsid w:val="00565534"/>
    <w:rsid w:val="00575C1C"/>
    <w:rsid w:val="00590B56"/>
    <w:rsid w:val="005910E9"/>
    <w:rsid w:val="00594EDD"/>
    <w:rsid w:val="005A21E0"/>
    <w:rsid w:val="005A232D"/>
    <w:rsid w:val="005A4D7F"/>
    <w:rsid w:val="005A5CBC"/>
    <w:rsid w:val="005A6A43"/>
    <w:rsid w:val="005B2307"/>
    <w:rsid w:val="005B48B6"/>
    <w:rsid w:val="005B5449"/>
    <w:rsid w:val="005B551F"/>
    <w:rsid w:val="005B6C0E"/>
    <w:rsid w:val="005C0106"/>
    <w:rsid w:val="005D1E70"/>
    <w:rsid w:val="005E07B9"/>
    <w:rsid w:val="005F50CC"/>
    <w:rsid w:val="006006A7"/>
    <w:rsid w:val="00604A00"/>
    <w:rsid w:val="00613326"/>
    <w:rsid w:val="0061798F"/>
    <w:rsid w:val="00623D98"/>
    <w:rsid w:val="006344E3"/>
    <w:rsid w:val="00636B36"/>
    <w:rsid w:val="0063732B"/>
    <w:rsid w:val="00643BD3"/>
    <w:rsid w:val="00663C53"/>
    <w:rsid w:val="00664373"/>
    <w:rsid w:val="00664B51"/>
    <w:rsid w:val="00665B80"/>
    <w:rsid w:val="00671EBB"/>
    <w:rsid w:val="00673FB2"/>
    <w:rsid w:val="006829D5"/>
    <w:rsid w:val="00684659"/>
    <w:rsid w:val="006926E8"/>
    <w:rsid w:val="006933C6"/>
    <w:rsid w:val="00695A3B"/>
    <w:rsid w:val="006A0870"/>
    <w:rsid w:val="006A0DFE"/>
    <w:rsid w:val="006B61E8"/>
    <w:rsid w:val="006C378E"/>
    <w:rsid w:val="006D1E67"/>
    <w:rsid w:val="006D216C"/>
    <w:rsid w:val="006E0462"/>
    <w:rsid w:val="006E2E2C"/>
    <w:rsid w:val="006F38A8"/>
    <w:rsid w:val="00702946"/>
    <w:rsid w:val="00716AF3"/>
    <w:rsid w:val="0072362F"/>
    <w:rsid w:val="00731F4D"/>
    <w:rsid w:val="007329D4"/>
    <w:rsid w:val="00732DC2"/>
    <w:rsid w:val="00746FEB"/>
    <w:rsid w:val="0075491A"/>
    <w:rsid w:val="00757FA8"/>
    <w:rsid w:val="0076522F"/>
    <w:rsid w:val="00766D65"/>
    <w:rsid w:val="00770408"/>
    <w:rsid w:val="007905BA"/>
    <w:rsid w:val="00790CDC"/>
    <w:rsid w:val="0079230A"/>
    <w:rsid w:val="00796C59"/>
    <w:rsid w:val="007A4B97"/>
    <w:rsid w:val="007A6C24"/>
    <w:rsid w:val="007C3AA7"/>
    <w:rsid w:val="007C44C4"/>
    <w:rsid w:val="007C5725"/>
    <w:rsid w:val="007C66CE"/>
    <w:rsid w:val="007D1F26"/>
    <w:rsid w:val="007E7F0F"/>
    <w:rsid w:val="007F57ED"/>
    <w:rsid w:val="007F5D36"/>
    <w:rsid w:val="00817577"/>
    <w:rsid w:val="00834F7F"/>
    <w:rsid w:val="00842ABA"/>
    <w:rsid w:val="00842AFE"/>
    <w:rsid w:val="0084456C"/>
    <w:rsid w:val="00844759"/>
    <w:rsid w:val="008564C5"/>
    <w:rsid w:val="00862D60"/>
    <w:rsid w:val="00866FE4"/>
    <w:rsid w:val="008806AD"/>
    <w:rsid w:val="0088473B"/>
    <w:rsid w:val="00890A93"/>
    <w:rsid w:val="00892DEC"/>
    <w:rsid w:val="008A355E"/>
    <w:rsid w:val="008B023E"/>
    <w:rsid w:val="008B11A1"/>
    <w:rsid w:val="008B2BF8"/>
    <w:rsid w:val="008B3DDE"/>
    <w:rsid w:val="008B6A21"/>
    <w:rsid w:val="008C09FB"/>
    <w:rsid w:val="008E433A"/>
    <w:rsid w:val="008F3ABC"/>
    <w:rsid w:val="00900091"/>
    <w:rsid w:val="009066BC"/>
    <w:rsid w:val="00906CDD"/>
    <w:rsid w:val="00910147"/>
    <w:rsid w:val="00911875"/>
    <w:rsid w:val="009259EC"/>
    <w:rsid w:val="009277FC"/>
    <w:rsid w:val="00935190"/>
    <w:rsid w:val="0093578D"/>
    <w:rsid w:val="009378FA"/>
    <w:rsid w:val="00956D9C"/>
    <w:rsid w:val="00965909"/>
    <w:rsid w:val="00966612"/>
    <w:rsid w:val="00970185"/>
    <w:rsid w:val="0098527F"/>
    <w:rsid w:val="009910AD"/>
    <w:rsid w:val="00991529"/>
    <w:rsid w:val="00992BE3"/>
    <w:rsid w:val="009967B3"/>
    <w:rsid w:val="00997638"/>
    <w:rsid w:val="009A46B0"/>
    <w:rsid w:val="009A6F6C"/>
    <w:rsid w:val="009B5CBF"/>
    <w:rsid w:val="009C05C5"/>
    <w:rsid w:val="009C6EC4"/>
    <w:rsid w:val="009D0FF5"/>
    <w:rsid w:val="009D2095"/>
    <w:rsid w:val="009D7C74"/>
    <w:rsid w:val="009E2EE7"/>
    <w:rsid w:val="009F1616"/>
    <w:rsid w:val="009F7E77"/>
    <w:rsid w:val="00A07A6D"/>
    <w:rsid w:val="00A15365"/>
    <w:rsid w:val="00A21D60"/>
    <w:rsid w:val="00A22498"/>
    <w:rsid w:val="00A23247"/>
    <w:rsid w:val="00A3339D"/>
    <w:rsid w:val="00A3497D"/>
    <w:rsid w:val="00A42F39"/>
    <w:rsid w:val="00A461B3"/>
    <w:rsid w:val="00A51F1D"/>
    <w:rsid w:val="00A52208"/>
    <w:rsid w:val="00A6778B"/>
    <w:rsid w:val="00A74C1D"/>
    <w:rsid w:val="00A75BB0"/>
    <w:rsid w:val="00A93616"/>
    <w:rsid w:val="00A97837"/>
    <w:rsid w:val="00AA04C8"/>
    <w:rsid w:val="00AA256A"/>
    <w:rsid w:val="00AB14F5"/>
    <w:rsid w:val="00AC174D"/>
    <w:rsid w:val="00AD7171"/>
    <w:rsid w:val="00AF233C"/>
    <w:rsid w:val="00B00F17"/>
    <w:rsid w:val="00B07A9E"/>
    <w:rsid w:val="00B135AC"/>
    <w:rsid w:val="00B13D42"/>
    <w:rsid w:val="00B14811"/>
    <w:rsid w:val="00B174AC"/>
    <w:rsid w:val="00B31D1F"/>
    <w:rsid w:val="00B32FA6"/>
    <w:rsid w:val="00B3517B"/>
    <w:rsid w:val="00B36CEE"/>
    <w:rsid w:val="00B50485"/>
    <w:rsid w:val="00B52D51"/>
    <w:rsid w:val="00B63062"/>
    <w:rsid w:val="00B65176"/>
    <w:rsid w:val="00B72346"/>
    <w:rsid w:val="00B74EF4"/>
    <w:rsid w:val="00B74F0B"/>
    <w:rsid w:val="00B7748B"/>
    <w:rsid w:val="00B91C82"/>
    <w:rsid w:val="00BA4CAA"/>
    <w:rsid w:val="00BA7EE7"/>
    <w:rsid w:val="00BB70D5"/>
    <w:rsid w:val="00BC18A3"/>
    <w:rsid w:val="00BD5FC6"/>
    <w:rsid w:val="00BD6A94"/>
    <w:rsid w:val="00BE1308"/>
    <w:rsid w:val="00BE4D10"/>
    <w:rsid w:val="00BF3942"/>
    <w:rsid w:val="00BF3C17"/>
    <w:rsid w:val="00C00C23"/>
    <w:rsid w:val="00C062D4"/>
    <w:rsid w:val="00C06873"/>
    <w:rsid w:val="00C1059A"/>
    <w:rsid w:val="00C17512"/>
    <w:rsid w:val="00C24DB0"/>
    <w:rsid w:val="00C262BF"/>
    <w:rsid w:val="00C31E42"/>
    <w:rsid w:val="00C32CBF"/>
    <w:rsid w:val="00C36434"/>
    <w:rsid w:val="00C3717D"/>
    <w:rsid w:val="00C41D6F"/>
    <w:rsid w:val="00C47F89"/>
    <w:rsid w:val="00C51F2C"/>
    <w:rsid w:val="00C533A2"/>
    <w:rsid w:val="00C54C06"/>
    <w:rsid w:val="00C555C3"/>
    <w:rsid w:val="00C60125"/>
    <w:rsid w:val="00C67DD6"/>
    <w:rsid w:val="00C77421"/>
    <w:rsid w:val="00CA5BC3"/>
    <w:rsid w:val="00CD15C6"/>
    <w:rsid w:val="00CD730D"/>
    <w:rsid w:val="00CF000A"/>
    <w:rsid w:val="00CF0514"/>
    <w:rsid w:val="00CF4823"/>
    <w:rsid w:val="00CF5406"/>
    <w:rsid w:val="00CF5DD9"/>
    <w:rsid w:val="00D27947"/>
    <w:rsid w:val="00D40284"/>
    <w:rsid w:val="00D45B2D"/>
    <w:rsid w:val="00D511CC"/>
    <w:rsid w:val="00D5262A"/>
    <w:rsid w:val="00D570FC"/>
    <w:rsid w:val="00D70C36"/>
    <w:rsid w:val="00D82CC3"/>
    <w:rsid w:val="00D92DB5"/>
    <w:rsid w:val="00D93C56"/>
    <w:rsid w:val="00DA1189"/>
    <w:rsid w:val="00DA22D3"/>
    <w:rsid w:val="00DB5186"/>
    <w:rsid w:val="00DC26C9"/>
    <w:rsid w:val="00DC5CAF"/>
    <w:rsid w:val="00DC5E71"/>
    <w:rsid w:val="00DC6AAE"/>
    <w:rsid w:val="00DE5A47"/>
    <w:rsid w:val="00DF49B8"/>
    <w:rsid w:val="00DF7A70"/>
    <w:rsid w:val="00E12DB3"/>
    <w:rsid w:val="00E15E9E"/>
    <w:rsid w:val="00E20FF7"/>
    <w:rsid w:val="00E21C16"/>
    <w:rsid w:val="00E27147"/>
    <w:rsid w:val="00E32B85"/>
    <w:rsid w:val="00E465A1"/>
    <w:rsid w:val="00E5667D"/>
    <w:rsid w:val="00E57CFF"/>
    <w:rsid w:val="00E75BE4"/>
    <w:rsid w:val="00E80FFF"/>
    <w:rsid w:val="00E82346"/>
    <w:rsid w:val="00E93CB7"/>
    <w:rsid w:val="00E95E7A"/>
    <w:rsid w:val="00E97503"/>
    <w:rsid w:val="00EA2577"/>
    <w:rsid w:val="00EC1365"/>
    <w:rsid w:val="00ED0AB1"/>
    <w:rsid w:val="00ED0B28"/>
    <w:rsid w:val="00EE2C12"/>
    <w:rsid w:val="00EE3D13"/>
    <w:rsid w:val="00EE3D93"/>
    <w:rsid w:val="00EF036D"/>
    <w:rsid w:val="00EF353D"/>
    <w:rsid w:val="00EF63E6"/>
    <w:rsid w:val="00EF7029"/>
    <w:rsid w:val="00F1659B"/>
    <w:rsid w:val="00F16C25"/>
    <w:rsid w:val="00F212E0"/>
    <w:rsid w:val="00F32EC6"/>
    <w:rsid w:val="00F45CF8"/>
    <w:rsid w:val="00F50D8B"/>
    <w:rsid w:val="00F51DEA"/>
    <w:rsid w:val="00F651AE"/>
    <w:rsid w:val="00F6790C"/>
    <w:rsid w:val="00F94845"/>
    <w:rsid w:val="00F94FB5"/>
    <w:rsid w:val="00F971FE"/>
    <w:rsid w:val="00FB270B"/>
    <w:rsid w:val="00FB27A7"/>
    <w:rsid w:val="00FC6D21"/>
    <w:rsid w:val="00FE0382"/>
    <w:rsid w:val="00FF1CDA"/>
    <w:rsid w:val="00FF4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5ABAE5-60B7-49E2-AFD6-FBF5662A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Podnoje">
    <w:name w:val="footer"/>
    <w:basedOn w:val="Normal"/>
    <w:link w:val="PodnojeChar"/>
    <w:uiPriority w:val="99"/>
    <w:unhideWhenUsed/>
    <w:rsid w:val="0002594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25948"/>
  </w:style>
  <w:style w:type="character" w:customStyle="1" w:styleId="Naslov1Char">
    <w:name w:val="Naslov 1 Char"/>
    <w:basedOn w:val="Zadanifontodlomka"/>
    <w:link w:val="Naslov1"/>
    <w:uiPriority w:val="9"/>
    <w:rsid w:val="00025948"/>
    <w:rPr>
      <w:rFonts w:asciiTheme="majorHAnsi" w:eastAsiaTheme="majorEastAsia" w:hAnsiTheme="majorHAnsi" w:cstheme="majorBidi"/>
      <w:b/>
      <w:bCs/>
      <w:color w:val="365F91" w:themeColor="accent1" w:themeShade="BF"/>
      <w:sz w:val="28"/>
      <w:szCs w:val="28"/>
    </w:rPr>
  </w:style>
  <w:style w:type="paragraph" w:styleId="Opisslike">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Tekstbalonia">
    <w:name w:val="Balloon Text"/>
    <w:basedOn w:val="Normal"/>
    <w:link w:val="TekstbaloniaChar"/>
    <w:uiPriority w:val="99"/>
    <w:semiHidden/>
    <w:unhideWhenUsed/>
    <w:rsid w:val="0002594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25948"/>
    <w:rPr>
      <w:rFonts w:ascii="Tahoma" w:hAnsi="Tahoma" w:cs="Tahoma"/>
      <w:sz w:val="16"/>
      <w:szCs w:val="16"/>
    </w:rPr>
  </w:style>
  <w:style w:type="character" w:customStyle="1" w:styleId="Naslov2Char">
    <w:name w:val="Naslov 2 Char"/>
    <w:basedOn w:val="Zadanifontodlomka"/>
    <w:link w:val="Naslov2"/>
    <w:uiPriority w:val="9"/>
    <w:rsid w:val="00025948"/>
    <w:rPr>
      <w:rFonts w:asciiTheme="majorHAnsi" w:eastAsiaTheme="majorEastAsia" w:hAnsiTheme="majorHAnsi" w:cstheme="majorBidi"/>
      <w:b/>
      <w:bCs/>
      <w:color w:val="4F81BD" w:themeColor="accent1"/>
      <w:sz w:val="26"/>
      <w:szCs w:val="26"/>
    </w:rPr>
  </w:style>
  <w:style w:type="paragraph" w:styleId="Odlomakpopisa">
    <w:name w:val="List Paragraph"/>
    <w:basedOn w:val="Normal"/>
    <w:uiPriority w:val="34"/>
    <w:qFormat/>
    <w:rsid w:val="00025948"/>
    <w:pPr>
      <w:ind w:left="720"/>
      <w:contextualSpacing/>
    </w:pPr>
  </w:style>
  <w:style w:type="paragraph" w:styleId="TOCNaslov">
    <w:name w:val="TOC Heading"/>
    <w:basedOn w:val="Naslov1"/>
    <w:next w:val="Normal"/>
    <w:uiPriority w:val="39"/>
    <w:semiHidden/>
    <w:unhideWhenUsed/>
    <w:qFormat/>
    <w:rsid w:val="00025948"/>
    <w:pPr>
      <w:outlineLvl w:val="9"/>
    </w:pPr>
    <w:rPr>
      <w:lang w:val="en-US" w:eastAsia="ja-JP"/>
    </w:rPr>
  </w:style>
  <w:style w:type="paragraph" w:styleId="Sadraj1">
    <w:name w:val="toc 1"/>
    <w:basedOn w:val="Normal"/>
    <w:next w:val="Normal"/>
    <w:autoRedefine/>
    <w:uiPriority w:val="39"/>
    <w:unhideWhenUsed/>
    <w:rsid w:val="00025948"/>
    <w:pPr>
      <w:spacing w:after="100"/>
    </w:pPr>
  </w:style>
  <w:style w:type="paragraph" w:styleId="Sadraj2">
    <w:name w:val="toc 2"/>
    <w:basedOn w:val="Normal"/>
    <w:next w:val="Normal"/>
    <w:autoRedefine/>
    <w:uiPriority w:val="39"/>
    <w:unhideWhenUsed/>
    <w:rsid w:val="00025948"/>
    <w:pPr>
      <w:spacing w:after="100"/>
      <w:ind w:left="220"/>
    </w:pPr>
  </w:style>
  <w:style w:type="character" w:styleId="Hiperveza">
    <w:name w:val="Hyperlink"/>
    <w:basedOn w:val="Zadanifontodlomka"/>
    <w:uiPriority w:val="99"/>
    <w:unhideWhenUsed/>
    <w:rsid w:val="00025948"/>
    <w:rPr>
      <w:color w:val="0000FF" w:themeColor="hyperlink"/>
      <w:u w:val="single"/>
    </w:rPr>
  </w:style>
  <w:style w:type="paragraph" w:styleId="Tekstfusnote">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TekstfusnoteChar"/>
    <w:uiPriority w:val="99"/>
    <w:unhideWhenUsed/>
    <w:qFormat/>
    <w:rsid w:val="00436640"/>
    <w:pPr>
      <w:spacing w:after="0" w:line="240" w:lineRule="auto"/>
    </w:pPr>
    <w:rPr>
      <w:sz w:val="20"/>
      <w:szCs w:val="20"/>
    </w:rPr>
  </w:style>
  <w:style w:type="character" w:customStyle="1" w:styleId="TekstfusnoteChar">
    <w:name w:val="Tekst fusnote Char"/>
    <w:aliases w:val="Tekst fusnote Char2 Char Char,Tekst fusnote Char1 Char1 Char Char,Tekst fusnote Char Char Char1 Char Char,Tekst fusnote Char1 Char Char Char Char Char,Tekst fusnote Char Char Char Char Char Char Char,fn Char,Fußnote Char"/>
    <w:basedOn w:val="Zadanifontodlomka"/>
    <w:link w:val="Tekstfusnote"/>
    <w:uiPriority w:val="99"/>
    <w:qFormat/>
    <w:rsid w:val="00436640"/>
    <w:rPr>
      <w:sz w:val="20"/>
      <w:szCs w:val="20"/>
    </w:rPr>
  </w:style>
  <w:style w:type="character" w:styleId="Referencafusnote">
    <w:name w:val="footnote reference"/>
    <w:aliases w:val="BVI fnr,16 Point,Superscript 6 Point"/>
    <w:basedOn w:val="Zadanifontodlomka"/>
    <w:unhideWhenUsed/>
    <w:qFormat/>
    <w:rsid w:val="00436640"/>
    <w:rPr>
      <w:vertAlign w:val="superscript"/>
    </w:rPr>
  </w:style>
  <w:style w:type="character" w:styleId="Referencakomentara">
    <w:name w:val="annotation reference"/>
    <w:basedOn w:val="Zadanifontodlomka"/>
    <w:uiPriority w:val="99"/>
    <w:semiHidden/>
    <w:unhideWhenUsed/>
    <w:rsid w:val="00E95E7A"/>
    <w:rPr>
      <w:sz w:val="16"/>
      <w:szCs w:val="16"/>
    </w:rPr>
  </w:style>
  <w:style w:type="paragraph" w:styleId="Tekstkomentara">
    <w:name w:val="annotation text"/>
    <w:basedOn w:val="Normal"/>
    <w:link w:val="TekstkomentaraChar"/>
    <w:uiPriority w:val="99"/>
    <w:semiHidden/>
    <w:unhideWhenUsed/>
    <w:rsid w:val="00E95E7A"/>
    <w:pPr>
      <w:spacing w:line="240" w:lineRule="auto"/>
    </w:pPr>
    <w:rPr>
      <w:sz w:val="20"/>
      <w:szCs w:val="20"/>
    </w:rPr>
  </w:style>
  <w:style w:type="character" w:customStyle="1" w:styleId="TekstkomentaraChar">
    <w:name w:val="Tekst komentara Char"/>
    <w:basedOn w:val="Zadanifontodlomka"/>
    <w:link w:val="Tekstkomentara"/>
    <w:uiPriority w:val="99"/>
    <w:semiHidden/>
    <w:rsid w:val="00E95E7A"/>
    <w:rPr>
      <w:sz w:val="20"/>
      <w:szCs w:val="20"/>
    </w:rPr>
  </w:style>
  <w:style w:type="paragraph" w:styleId="Tijeloteksta">
    <w:name w:val="Body Text"/>
    <w:basedOn w:val="Normal"/>
    <w:link w:val="TijelotekstaChar"/>
    <w:rsid w:val="000D3576"/>
    <w:pPr>
      <w:spacing w:after="120" w:line="240" w:lineRule="auto"/>
    </w:pPr>
    <w:rPr>
      <w:rFonts w:ascii="Times New Roman" w:eastAsia="Times New Roman" w:hAnsi="Times New Roman" w:cs="Times New Roman"/>
      <w:sz w:val="24"/>
      <w:szCs w:val="20"/>
      <w:lang w:val="hr-HR"/>
    </w:rPr>
  </w:style>
  <w:style w:type="character" w:customStyle="1" w:styleId="TijelotekstaChar">
    <w:name w:val="Tijelo teksta Char"/>
    <w:basedOn w:val="Zadanifontodlomka"/>
    <w:link w:val="Tijeloteksta"/>
    <w:rsid w:val="000D3576"/>
    <w:rPr>
      <w:rFonts w:ascii="Times New Roman" w:eastAsia="Times New Roman" w:hAnsi="Times New Roman" w:cs="Times New Roman"/>
      <w:sz w:val="24"/>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272392692">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 w:id="1922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C2AE3-79CC-4C77-97A4-5ECA0DF4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18</Pages>
  <Words>4410</Words>
  <Characters>25140</Characters>
  <Application>Microsoft Office Word</Application>
  <DocSecurity>0</DocSecurity>
  <Lines>209</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Matko Bilić</cp:lastModifiedBy>
  <cp:revision>64</cp:revision>
  <cp:lastPrinted>2020-10-28T17:23:00Z</cp:lastPrinted>
  <dcterms:created xsi:type="dcterms:W3CDTF">2021-06-01T06:24:00Z</dcterms:created>
  <dcterms:modified xsi:type="dcterms:W3CDTF">2021-10-28T07:35:00Z</dcterms:modified>
</cp:coreProperties>
</file>