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601" w:rsidRPr="00943769" w:rsidRDefault="00225601" w:rsidP="00F1024F">
      <w:pPr>
        <w:spacing w:after="0" w:line="360" w:lineRule="auto"/>
        <w:ind w:right="79"/>
        <w:jc w:val="both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BF0CF8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074F03" w:rsidRDefault="00074F03" w:rsidP="00BF0CF8">
      <w:pPr>
        <w:jc w:val="center"/>
        <w:rPr>
          <w:rFonts w:ascii="Times New Roman" w:hAnsi="Times New Roman" w:cs="Times New Roman"/>
          <w:b/>
        </w:rPr>
      </w:pPr>
    </w:p>
    <w:p w:rsidR="00074F03" w:rsidRDefault="00074F03" w:rsidP="00BF0CF8">
      <w:pPr>
        <w:jc w:val="center"/>
        <w:rPr>
          <w:rFonts w:ascii="Times New Roman" w:hAnsi="Times New Roman" w:cs="Times New Roman"/>
          <w:b/>
        </w:rPr>
      </w:pPr>
    </w:p>
    <w:p w:rsidR="00074F03" w:rsidRDefault="00074F03" w:rsidP="00BF0CF8">
      <w:pPr>
        <w:jc w:val="center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BF0CF8" w:rsidRPr="00943769" w:rsidRDefault="00BF0CF8" w:rsidP="00BF0CF8">
      <w:pPr>
        <w:jc w:val="center"/>
        <w:rPr>
          <w:rFonts w:ascii="Times New Roman" w:hAnsi="Times New Roman" w:cs="Times New Roman"/>
          <w:b/>
        </w:rPr>
      </w:pPr>
    </w:p>
    <w:p w:rsidR="00074F03" w:rsidRPr="00337921" w:rsidRDefault="00074F03" w:rsidP="00074F0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37921">
        <w:rPr>
          <w:rFonts w:ascii="Times New Roman" w:hAnsi="Times New Roman" w:cs="Times New Roman"/>
          <w:b/>
          <w:sz w:val="28"/>
          <w:szCs w:val="24"/>
        </w:rPr>
        <w:t>OBRAZLOŽENJE FINANCIJSKOG PLANA HRVATSKIH AUTOCESTA ZA 202</w:t>
      </w: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337921">
        <w:rPr>
          <w:rFonts w:ascii="Times New Roman" w:hAnsi="Times New Roman" w:cs="Times New Roman"/>
          <w:b/>
          <w:sz w:val="28"/>
          <w:szCs w:val="24"/>
        </w:rPr>
        <w:t>.</w:t>
      </w:r>
      <w:r>
        <w:rPr>
          <w:rFonts w:ascii="Times New Roman" w:hAnsi="Times New Roman" w:cs="Times New Roman"/>
          <w:b/>
          <w:sz w:val="28"/>
          <w:szCs w:val="24"/>
        </w:rPr>
        <w:t xml:space="preserve"> GODINU </w:t>
      </w:r>
      <w:r w:rsidRPr="00337921">
        <w:rPr>
          <w:rFonts w:ascii="Times New Roman" w:hAnsi="Times New Roman" w:cs="Times New Roman"/>
          <w:b/>
          <w:sz w:val="28"/>
          <w:szCs w:val="24"/>
        </w:rPr>
        <w:t xml:space="preserve">I PROJEKCIJA </w:t>
      </w:r>
      <w:r>
        <w:rPr>
          <w:rFonts w:ascii="Times New Roman" w:hAnsi="Times New Roman" w:cs="Times New Roman"/>
          <w:b/>
          <w:sz w:val="28"/>
          <w:szCs w:val="24"/>
        </w:rPr>
        <w:t xml:space="preserve">PLANA </w:t>
      </w:r>
      <w:r w:rsidRPr="00337921">
        <w:rPr>
          <w:rFonts w:ascii="Times New Roman" w:hAnsi="Times New Roman" w:cs="Times New Roman"/>
          <w:b/>
          <w:sz w:val="28"/>
          <w:szCs w:val="24"/>
        </w:rPr>
        <w:t>ZA 202</w:t>
      </w: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337921">
        <w:rPr>
          <w:rFonts w:ascii="Times New Roman" w:hAnsi="Times New Roman" w:cs="Times New Roman"/>
          <w:b/>
          <w:sz w:val="28"/>
          <w:szCs w:val="24"/>
        </w:rPr>
        <w:t>. I 202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337921">
        <w:rPr>
          <w:rFonts w:ascii="Times New Roman" w:hAnsi="Times New Roman" w:cs="Times New Roman"/>
          <w:b/>
          <w:sz w:val="28"/>
          <w:szCs w:val="24"/>
        </w:rPr>
        <w:t>. GODINU</w:t>
      </w: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BF0CF8" w:rsidRPr="00943769" w:rsidRDefault="00BF0CF8">
      <w:pPr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:rsidR="000B78D3" w:rsidRPr="00074F03" w:rsidRDefault="00BF0CF8" w:rsidP="00074F0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43769">
        <w:rPr>
          <w:rFonts w:ascii="Times New Roman" w:eastAsia="Times New Roman" w:hAnsi="Times New Roman" w:cs="Times New Roman"/>
          <w:color w:val="000000"/>
        </w:rPr>
        <w:br w:type="page"/>
      </w:r>
      <w:r w:rsidR="000B78D3" w:rsidRPr="00074F0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UVOD</w:t>
      </w:r>
    </w:p>
    <w:p w:rsidR="00F1024F" w:rsidRPr="00074F03" w:rsidRDefault="00F1024F" w:rsidP="00074F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F03">
        <w:rPr>
          <w:rFonts w:ascii="Times New Roman" w:hAnsi="Times New Roman" w:cs="Times New Roman"/>
          <w:sz w:val="24"/>
          <w:szCs w:val="24"/>
        </w:rPr>
        <w:t>Trgovačko društvo Hrvatske autoceste d.o.o. upravlja autocestama, gradi ih, rekonstruira i održava, osim onih autocesta kojima upravlja koncesionar prema odredbama Zakona o cestama. Hrvatske autoceste d.o.o. su u 100%-</w:t>
      </w:r>
      <w:proofErr w:type="spellStart"/>
      <w:r w:rsidRPr="00074F03">
        <w:rPr>
          <w:rFonts w:ascii="Times New Roman" w:hAnsi="Times New Roman" w:cs="Times New Roman"/>
          <w:sz w:val="24"/>
          <w:szCs w:val="24"/>
        </w:rPr>
        <w:t>tnom</w:t>
      </w:r>
      <w:proofErr w:type="spellEnd"/>
      <w:r w:rsidRPr="00074F03">
        <w:rPr>
          <w:rFonts w:ascii="Times New Roman" w:hAnsi="Times New Roman" w:cs="Times New Roman"/>
          <w:sz w:val="24"/>
          <w:szCs w:val="24"/>
        </w:rPr>
        <w:t xml:space="preserve"> vlasništvu Republike Hrvatske koja svoja prava u Skupštini Društva ostvaruje putem Vlade Republike Hrvatske.</w:t>
      </w:r>
    </w:p>
    <w:p w:rsidR="000839E8" w:rsidRPr="00074F03" w:rsidRDefault="000839E8" w:rsidP="00074F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F03">
        <w:rPr>
          <w:rFonts w:ascii="Times New Roman" w:hAnsi="Times New Roman" w:cs="Times New Roman"/>
          <w:sz w:val="24"/>
          <w:szCs w:val="24"/>
        </w:rPr>
        <w:t>Planiranje izgradnje i održavanja u skladu je sa Strategijom prometnog razvoja Republike Hrvatske koju donosi Hrvatski sabor</w:t>
      </w:r>
      <w:r w:rsidR="00AB6045" w:rsidRPr="00074F03">
        <w:rPr>
          <w:rFonts w:ascii="Times New Roman" w:hAnsi="Times New Roman" w:cs="Times New Roman"/>
          <w:sz w:val="24"/>
          <w:szCs w:val="24"/>
        </w:rPr>
        <w:t xml:space="preserve"> i </w:t>
      </w:r>
      <w:r w:rsidRPr="00074F03">
        <w:rPr>
          <w:rFonts w:ascii="Times New Roman" w:hAnsi="Times New Roman" w:cs="Times New Roman"/>
          <w:sz w:val="24"/>
          <w:szCs w:val="24"/>
        </w:rPr>
        <w:t>četverogodišnjim Programom građenja i održavanja javnih cesta koji donosi Vlada Republike Hrvatske na prijedlog Ministarstva mora, prometa i inf</w:t>
      </w:r>
      <w:r w:rsidR="005B5209" w:rsidRPr="00074F03">
        <w:rPr>
          <w:rFonts w:ascii="Times New Roman" w:hAnsi="Times New Roman" w:cs="Times New Roman"/>
          <w:sz w:val="24"/>
          <w:szCs w:val="24"/>
        </w:rPr>
        <w:t xml:space="preserve">rastrukture. </w:t>
      </w:r>
      <w:r w:rsidRPr="00074F03">
        <w:rPr>
          <w:rFonts w:ascii="Times New Roman" w:hAnsi="Times New Roman" w:cs="Times New Roman"/>
          <w:sz w:val="24"/>
          <w:szCs w:val="24"/>
        </w:rPr>
        <w:t xml:space="preserve">Temeljem četverogodišnjeg Programa, Hrvatske autoceste </w:t>
      </w:r>
      <w:r w:rsidR="00AB6045" w:rsidRPr="00074F03">
        <w:rPr>
          <w:rFonts w:ascii="Times New Roman" w:hAnsi="Times New Roman" w:cs="Times New Roman"/>
          <w:sz w:val="24"/>
          <w:szCs w:val="24"/>
        </w:rPr>
        <w:t xml:space="preserve">d.o.o. </w:t>
      </w:r>
      <w:r w:rsidR="005C5AA8" w:rsidRPr="00074F03">
        <w:rPr>
          <w:rFonts w:ascii="Times New Roman" w:hAnsi="Times New Roman" w:cs="Times New Roman"/>
          <w:sz w:val="24"/>
          <w:szCs w:val="24"/>
        </w:rPr>
        <w:t>izrađuju godišnji plan ulaganja</w:t>
      </w:r>
      <w:r w:rsidRPr="00074F03">
        <w:rPr>
          <w:rFonts w:ascii="Times New Roman" w:hAnsi="Times New Roman" w:cs="Times New Roman"/>
          <w:sz w:val="24"/>
          <w:szCs w:val="24"/>
        </w:rPr>
        <w:t xml:space="preserve"> u građenje i održavanje autocesta.</w:t>
      </w:r>
      <w:r w:rsidR="000041E5" w:rsidRPr="00074F03">
        <w:rPr>
          <w:rFonts w:ascii="Times New Roman" w:hAnsi="Times New Roman" w:cs="Times New Roman"/>
          <w:sz w:val="24"/>
          <w:szCs w:val="24"/>
        </w:rPr>
        <w:t xml:space="preserve"> Program za četverogodišnje razdoblje od 2021. do 2024. godine izrađuje se u suradnji s Ministarstvom mora, prometa i infrastrukture.</w:t>
      </w:r>
    </w:p>
    <w:p w:rsidR="006C13AE" w:rsidRPr="00074F03" w:rsidRDefault="006C13AE" w:rsidP="00074F0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660C" w:rsidRPr="00074F03" w:rsidRDefault="005E7CBB" w:rsidP="00074F0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F03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:rsidR="00C347BE" w:rsidRPr="00074F03" w:rsidRDefault="005E7CBB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074F03">
        <w:rPr>
          <w:rFonts w:ascii="Times New Roman" w:hAnsi="Times New Roman" w:cs="Times New Roman"/>
          <w:sz w:val="24"/>
          <w:szCs w:val="24"/>
        </w:rPr>
        <w:t>Ukupni planirani priho</w:t>
      </w:r>
      <w:r w:rsidR="0016340C" w:rsidRPr="00074F03">
        <w:rPr>
          <w:rFonts w:ascii="Times New Roman" w:hAnsi="Times New Roman" w:cs="Times New Roman"/>
          <w:sz w:val="24"/>
          <w:szCs w:val="24"/>
        </w:rPr>
        <w:t xml:space="preserve">di Hrvatskih autocesta d.o.o. u projekciji </w:t>
      </w:r>
      <w:r w:rsidR="00446B4D" w:rsidRPr="00074F03">
        <w:rPr>
          <w:rFonts w:ascii="Times New Roman" w:hAnsi="Times New Roman" w:cs="Times New Roman"/>
          <w:sz w:val="24"/>
          <w:szCs w:val="24"/>
        </w:rPr>
        <w:t>F</w:t>
      </w:r>
      <w:r w:rsidR="00967632" w:rsidRPr="00074F03">
        <w:rPr>
          <w:rFonts w:ascii="Times New Roman" w:hAnsi="Times New Roman" w:cs="Times New Roman"/>
          <w:sz w:val="24"/>
          <w:szCs w:val="24"/>
        </w:rPr>
        <w:t>inancijskog plana za 2022</w:t>
      </w:r>
      <w:r w:rsidR="00A84C97" w:rsidRPr="00074F03">
        <w:rPr>
          <w:rFonts w:ascii="Times New Roman" w:hAnsi="Times New Roman" w:cs="Times New Roman"/>
          <w:sz w:val="24"/>
          <w:szCs w:val="24"/>
        </w:rPr>
        <w:t xml:space="preserve">. </w:t>
      </w:r>
      <w:r w:rsidR="005F50A3" w:rsidRPr="00074F03">
        <w:rPr>
          <w:rFonts w:ascii="Times New Roman" w:hAnsi="Times New Roman" w:cs="Times New Roman"/>
          <w:sz w:val="24"/>
          <w:szCs w:val="24"/>
        </w:rPr>
        <w:t xml:space="preserve">godinu iznose 2.923.578.800 </w:t>
      </w:r>
      <w:r w:rsidR="00A84C97" w:rsidRPr="00074F03">
        <w:rPr>
          <w:rFonts w:ascii="Times New Roman" w:hAnsi="Times New Roman" w:cs="Times New Roman"/>
          <w:sz w:val="24"/>
          <w:szCs w:val="24"/>
        </w:rPr>
        <w:t>kuna</w:t>
      </w:r>
      <w:r w:rsidR="0016340C" w:rsidRPr="00074F03">
        <w:rPr>
          <w:rFonts w:ascii="Times New Roman" w:hAnsi="Times New Roman" w:cs="Times New Roman"/>
          <w:sz w:val="24"/>
          <w:szCs w:val="24"/>
        </w:rPr>
        <w:t xml:space="preserve">. </w:t>
      </w:r>
      <w:r w:rsidR="002B3301" w:rsidRPr="00074F03">
        <w:rPr>
          <w:rFonts w:ascii="Times New Roman" w:hAnsi="Times New Roman" w:cs="Times New Roman"/>
          <w:sz w:val="24"/>
          <w:szCs w:val="24"/>
        </w:rPr>
        <w:t>U ukupnim prihodima poslovanja Hrvatskih autocesta d.o.o. najveći dio odnosi se na pri</w:t>
      </w:r>
      <w:r w:rsidR="002A2DC2" w:rsidRPr="00074F03">
        <w:rPr>
          <w:rFonts w:ascii="Times New Roman" w:hAnsi="Times New Roman" w:cs="Times New Roman"/>
          <w:sz w:val="24"/>
          <w:szCs w:val="24"/>
        </w:rPr>
        <w:t>hod od naplate cestarine za 2022</w:t>
      </w:r>
      <w:r w:rsidR="002B3301" w:rsidRPr="00074F03">
        <w:rPr>
          <w:rFonts w:ascii="Times New Roman" w:hAnsi="Times New Roman" w:cs="Times New Roman"/>
          <w:sz w:val="24"/>
          <w:szCs w:val="24"/>
        </w:rPr>
        <w:t>. godinu planiran u iznosu od</w:t>
      </w:r>
      <w:r w:rsidR="005E1066" w:rsidRPr="00074F03">
        <w:rPr>
          <w:rFonts w:ascii="Times New Roman" w:hAnsi="Times New Roman" w:cs="Times New Roman"/>
          <w:sz w:val="24"/>
          <w:szCs w:val="24"/>
        </w:rPr>
        <w:t xml:space="preserve"> 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2.350.000.000 </w:t>
      </w:r>
      <w:r w:rsidR="0016340C" w:rsidRPr="00074F03">
        <w:rPr>
          <w:rFonts w:ascii="Times New Roman" w:hAnsi="Times New Roman" w:cs="Times New Roman"/>
          <w:sz w:val="24"/>
          <w:szCs w:val="24"/>
        </w:rPr>
        <w:t>kuna</w:t>
      </w:r>
      <w:r w:rsidR="00E141F6" w:rsidRPr="00074F03">
        <w:rPr>
          <w:rFonts w:ascii="Times New Roman" w:hAnsi="Times New Roman" w:cs="Times New Roman"/>
          <w:sz w:val="24"/>
          <w:szCs w:val="24"/>
        </w:rPr>
        <w:t xml:space="preserve">. Prihod od naplate cestarine za razdoblje </w:t>
      </w:r>
      <w:r w:rsidR="005B5209" w:rsidRPr="00074F03">
        <w:rPr>
          <w:rFonts w:ascii="Times New Roman" w:hAnsi="Times New Roman" w:cs="Times New Roman"/>
          <w:sz w:val="24"/>
          <w:szCs w:val="24"/>
        </w:rPr>
        <w:t>od 2022. do 2024</w:t>
      </w:r>
      <w:r w:rsidR="005D169A" w:rsidRPr="00074F03">
        <w:rPr>
          <w:rFonts w:ascii="Times New Roman" w:hAnsi="Times New Roman" w:cs="Times New Roman"/>
          <w:sz w:val="24"/>
          <w:szCs w:val="24"/>
        </w:rPr>
        <w:t xml:space="preserve">. godine </w:t>
      </w:r>
      <w:r w:rsidR="00E141F6" w:rsidRPr="00074F03">
        <w:rPr>
          <w:rFonts w:ascii="Times New Roman" w:hAnsi="Times New Roman" w:cs="Times New Roman"/>
          <w:sz w:val="24"/>
          <w:szCs w:val="24"/>
        </w:rPr>
        <w:t xml:space="preserve">planiran je sukladno očekivanjima </w:t>
      </w:r>
      <w:r w:rsidR="002A2DC2" w:rsidRPr="00074F03">
        <w:rPr>
          <w:rFonts w:ascii="Times New Roman" w:hAnsi="Times New Roman" w:cs="Times New Roman"/>
          <w:sz w:val="24"/>
          <w:szCs w:val="24"/>
        </w:rPr>
        <w:t>postepenog oporavka prometa i prihoda, vezano uz negativan</w:t>
      </w:r>
      <w:r w:rsidR="00E141F6" w:rsidRPr="00074F03">
        <w:rPr>
          <w:rFonts w:ascii="Times New Roman" w:hAnsi="Times New Roman" w:cs="Times New Roman"/>
          <w:sz w:val="24"/>
          <w:szCs w:val="24"/>
        </w:rPr>
        <w:t xml:space="preserve"> utje</w:t>
      </w:r>
      <w:r w:rsidR="002A2DC2" w:rsidRPr="00074F03">
        <w:rPr>
          <w:rFonts w:ascii="Times New Roman" w:hAnsi="Times New Roman" w:cs="Times New Roman"/>
          <w:sz w:val="24"/>
          <w:szCs w:val="24"/>
        </w:rPr>
        <w:t>caje epidemije bolesti COVID-19</w:t>
      </w:r>
      <w:r w:rsidR="005F4A12" w:rsidRPr="00074F03">
        <w:rPr>
          <w:rFonts w:ascii="Times New Roman" w:hAnsi="Times New Roman" w:cs="Times New Roman"/>
          <w:sz w:val="24"/>
          <w:szCs w:val="24"/>
        </w:rPr>
        <w:t xml:space="preserve"> i smanjeno prometovanje</w:t>
      </w:r>
      <w:r w:rsidR="005D169A" w:rsidRPr="00074F03">
        <w:rPr>
          <w:rFonts w:ascii="Times New Roman" w:hAnsi="Times New Roman" w:cs="Times New Roman"/>
          <w:sz w:val="24"/>
          <w:szCs w:val="24"/>
        </w:rPr>
        <w:t xml:space="preserve"> autocestama 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te se u 2023. godini </w:t>
      </w:r>
      <w:r w:rsidR="005B5209" w:rsidRPr="00074F03">
        <w:rPr>
          <w:rFonts w:ascii="Times New Roman" w:hAnsi="Times New Roman" w:cs="Times New Roman"/>
          <w:sz w:val="24"/>
          <w:szCs w:val="24"/>
        </w:rPr>
        <w:t>predviđa rast prihoda od cestarine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 od</w:t>
      </w:r>
      <w:r w:rsidR="00710C06" w:rsidRPr="00074F03">
        <w:rPr>
          <w:rFonts w:ascii="Times New Roman" w:hAnsi="Times New Roman" w:cs="Times New Roman"/>
          <w:sz w:val="24"/>
          <w:szCs w:val="24"/>
        </w:rPr>
        <w:t xml:space="preserve"> </w:t>
      </w:r>
      <w:r w:rsidR="005B5209" w:rsidRPr="00074F03">
        <w:rPr>
          <w:rFonts w:ascii="Times New Roman" w:hAnsi="Times New Roman" w:cs="Times New Roman"/>
          <w:sz w:val="24"/>
          <w:szCs w:val="24"/>
        </w:rPr>
        <w:t xml:space="preserve">7,7% u 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odnosu na prethodnu godinu ili 2.530.000.000 kuna, a u 2024. </w:t>
      </w:r>
      <w:r w:rsidR="005B5209" w:rsidRPr="00074F03">
        <w:rPr>
          <w:rFonts w:ascii="Times New Roman" w:hAnsi="Times New Roman" w:cs="Times New Roman"/>
          <w:sz w:val="24"/>
          <w:szCs w:val="24"/>
        </w:rPr>
        <w:t xml:space="preserve">godine 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4,7% rasta </w:t>
      </w:r>
      <w:r w:rsidR="00450F4D" w:rsidRPr="00074F03">
        <w:rPr>
          <w:rFonts w:ascii="Times New Roman" w:hAnsi="Times New Roman" w:cs="Times New Roman"/>
          <w:sz w:val="24"/>
          <w:szCs w:val="24"/>
        </w:rPr>
        <w:t xml:space="preserve">u odnosu na prethodnu godinu 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ili 2.650.000.000 kuna. </w:t>
      </w:r>
      <w:r w:rsidR="006C13AE" w:rsidRPr="00074F03">
        <w:rPr>
          <w:rFonts w:ascii="Times New Roman" w:hAnsi="Times New Roman" w:cs="Times New Roman"/>
          <w:sz w:val="24"/>
          <w:szCs w:val="24"/>
        </w:rPr>
        <w:t>Kapitalne pomoći iz proračuna – naknada od trošarina na energente</w:t>
      </w:r>
      <w:r w:rsidR="002A2DC2" w:rsidRPr="00074F03">
        <w:rPr>
          <w:rFonts w:ascii="Times New Roman" w:hAnsi="Times New Roman" w:cs="Times New Roman"/>
          <w:sz w:val="24"/>
          <w:szCs w:val="24"/>
        </w:rPr>
        <w:t xml:space="preserve"> </w:t>
      </w:r>
      <w:r w:rsidR="006C13AE" w:rsidRPr="00074F03">
        <w:rPr>
          <w:rFonts w:ascii="Times New Roman" w:hAnsi="Times New Roman" w:cs="Times New Roman"/>
          <w:sz w:val="24"/>
          <w:szCs w:val="24"/>
        </w:rPr>
        <w:t>uplaćuje se</w:t>
      </w:r>
      <w:r w:rsidR="005D169A" w:rsidRPr="00074F03">
        <w:rPr>
          <w:rFonts w:ascii="Times New Roman" w:hAnsi="Times New Roman" w:cs="Times New Roman"/>
          <w:sz w:val="24"/>
          <w:szCs w:val="24"/>
        </w:rPr>
        <w:t>, sukladno čl. 94. Zakona o cestama,</w:t>
      </w:r>
      <w:r w:rsidR="006C13AE" w:rsidRPr="00074F03">
        <w:rPr>
          <w:rFonts w:ascii="Times New Roman" w:hAnsi="Times New Roman" w:cs="Times New Roman"/>
          <w:sz w:val="24"/>
          <w:szCs w:val="24"/>
        </w:rPr>
        <w:t xml:space="preserve"> iz državnog proračuna na račun Hrvatskih autocesta d.o.o. i predstavlja sredstva kojima Republika Hrvatska financira izvlaštenje nekretnina, građenje i održavanje javnih cesta i povrate kredita kojima se financira građenje autocesta, a </w:t>
      </w:r>
      <w:r w:rsidR="002A2DC2" w:rsidRPr="00074F03">
        <w:rPr>
          <w:rFonts w:ascii="Times New Roman" w:hAnsi="Times New Roman" w:cs="Times New Roman"/>
          <w:sz w:val="24"/>
          <w:szCs w:val="24"/>
        </w:rPr>
        <w:t>za 2022</w:t>
      </w:r>
      <w:r w:rsidR="005D169A" w:rsidRPr="00074F03">
        <w:rPr>
          <w:rFonts w:ascii="Times New Roman" w:hAnsi="Times New Roman" w:cs="Times New Roman"/>
          <w:sz w:val="24"/>
          <w:szCs w:val="24"/>
        </w:rPr>
        <w:t xml:space="preserve">. godinu </w:t>
      </w:r>
      <w:r w:rsidR="002A2DC2" w:rsidRPr="00074F03">
        <w:rPr>
          <w:rFonts w:ascii="Times New Roman" w:hAnsi="Times New Roman" w:cs="Times New Roman"/>
          <w:sz w:val="24"/>
          <w:szCs w:val="24"/>
        </w:rPr>
        <w:t>planirane su u iznosu od 420</w:t>
      </w:r>
      <w:r w:rsidR="006C13AE" w:rsidRPr="00074F03">
        <w:rPr>
          <w:rFonts w:ascii="Times New Roman" w:hAnsi="Times New Roman" w:cs="Times New Roman"/>
          <w:sz w:val="24"/>
          <w:szCs w:val="24"/>
        </w:rPr>
        <w:t>.000.000 kuna</w:t>
      </w:r>
      <w:r w:rsidR="00450F4D" w:rsidRPr="00074F03">
        <w:rPr>
          <w:rFonts w:ascii="Times New Roman" w:hAnsi="Times New Roman" w:cs="Times New Roman"/>
          <w:sz w:val="24"/>
          <w:szCs w:val="24"/>
        </w:rPr>
        <w:t xml:space="preserve"> (na istoj poziciji Kapitalne pomoći proračunu iz drugih proračuna </w:t>
      </w:r>
      <w:r w:rsidR="00442918" w:rsidRPr="00074F03">
        <w:rPr>
          <w:rFonts w:ascii="Times New Roman" w:hAnsi="Times New Roman" w:cs="Times New Roman"/>
          <w:sz w:val="24"/>
          <w:szCs w:val="24"/>
        </w:rPr>
        <w:t>planirano je 8.205.000 kuna prihoda s naslova financiranja projekta iz sigurnosti prometa s</w:t>
      </w:r>
      <w:r w:rsidR="00D472AE" w:rsidRPr="00074F03">
        <w:rPr>
          <w:rFonts w:ascii="Times New Roman" w:hAnsi="Times New Roman" w:cs="Times New Roman"/>
          <w:sz w:val="24"/>
          <w:szCs w:val="24"/>
        </w:rPr>
        <w:t>a</w:t>
      </w:r>
      <w:r w:rsidR="00442918" w:rsidRPr="00074F03">
        <w:rPr>
          <w:rFonts w:ascii="Times New Roman" w:hAnsi="Times New Roman" w:cs="Times New Roman"/>
          <w:sz w:val="24"/>
          <w:szCs w:val="24"/>
        </w:rPr>
        <w:t xml:space="preserve"> sredstvima </w:t>
      </w:r>
      <w:r w:rsidR="00D472AE" w:rsidRPr="00074F03">
        <w:rPr>
          <w:rFonts w:ascii="Times New Roman" w:hAnsi="Times New Roman" w:cs="Times New Roman"/>
          <w:sz w:val="24"/>
          <w:szCs w:val="24"/>
        </w:rPr>
        <w:t>iz projekta Modernizacija i restrukturiranje sektora cestovne infrastrukture</w:t>
      </w:r>
      <w:r w:rsidR="00E4137E" w:rsidRPr="00074F03">
        <w:rPr>
          <w:rFonts w:ascii="Times New Roman" w:hAnsi="Times New Roman" w:cs="Times New Roman"/>
          <w:sz w:val="24"/>
          <w:szCs w:val="24"/>
        </w:rPr>
        <w:t>)</w:t>
      </w:r>
      <w:r w:rsidR="00442918" w:rsidRPr="00074F03">
        <w:rPr>
          <w:rFonts w:ascii="Times New Roman" w:hAnsi="Times New Roman" w:cs="Times New Roman"/>
          <w:sz w:val="24"/>
          <w:szCs w:val="24"/>
        </w:rPr>
        <w:t xml:space="preserve">. </w:t>
      </w:r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Prihod od bespovratnih sredstva iz EU fondova planiran</w:t>
      </w:r>
      <w:r w:rsidR="002A2DC2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za 2022</w:t>
      </w:r>
      <w:r w:rsidR="005F4A12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godinu u </w:t>
      </w:r>
      <w:r w:rsidR="006C13AE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visini od </w:t>
      </w:r>
      <w:r w:rsidR="000A19C6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39.198.000</w:t>
      </w:r>
      <w:r w:rsidR="00C310BB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kuna,</w:t>
      </w:r>
      <w:r w:rsidR="005F4A12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A19C6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 čega se 20.800.000 kuna </w:t>
      </w:r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odnosi se na povlačenje sredstava za završetak započetih projekata </w:t>
      </w:r>
      <w:proofErr w:type="spellStart"/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Croatia </w:t>
      </w:r>
      <w:r w:rsidR="000A19C6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(Kapitalne pomoći temeljem prijenosa EU sredstava 10.000.000 kuna) </w:t>
      </w:r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</w:t>
      </w:r>
      <w:proofErr w:type="spellStart"/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Croatia </w:t>
      </w:r>
      <w:r w:rsidR="000A19C6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(Kapitalne pomoći od institucija i tijela EU 10.800.000 kuna) </w:t>
      </w:r>
      <w:r w:rsidR="009A231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koji su uključeni svi upravitelji cesta u Republici Hrvatskoj, a u svrhu osiguranja koordiniranog upravljanja i kontrole prometa što će rezultirati visokom kvalitetom usluga informiranja putnika na jednom od najvažnijih cestovnih koridora u </w:t>
      </w:r>
      <w:r w:rsidR="00C310BB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Europi te na nove projekte.</w:t>
      </w:r>
      <w:r w:rsidR="000A19C6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Preostala sredstva u iznosu od 18.398.000 kuna (Kapitalne pomoći temeljem prijenosa EU sredstava) namijenjena su uvođenju novog elektroničkog sustava naplate cestarine koji će se financirati sredstvima iz Mehanizma za oporavak i otpornost.</w:t>
      </w:r>
      <w:r w:rsidR="008E29D5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50F4D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U 2022. godini</w:t>
      </w:r>
      <w:r w:rsidR="008E29D5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završava projekt </w:t>
      </w:r>
      <w:proofErr w:type="spellStart"/>
      <w:r w:rsidR="008E29D5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Crocodile</w:t>
      </w:r>
      <w:proofErr w:type="spellEnd"/>
      <w:r w:rsidR="008E29D5" w:rsidRPr="00074F03">
        <w:rPr>
          <w:rFonts w:ascii="Times New Roman" w:eastAsia="Times New Roman" w:hAnsi="Times New Roman" w:cs="Times New Roman"/>
          <w:color w:val="000000"/>
          <w:sz w:val="24"/>
          <w:szCs w:val="24"/>
        </w:rPr>
        <w:t>, a 74.085.000 kuna prihoda iz EU fondova u 2023. i 2024. godini namijenjena su uvođenju novog sustava za naplatu cestarine.</w:t>
      </w:r>
    </w:p>
    <w:p w:rsidR="000E3245" w:rsidRPr="00074F03" w:rsidRDefault="000E3245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4F03">
        <w:rPr>
          <w:rFonts w:ascii="Times New Roman" w:hAnsi="Times New Roman" w:cs="Times New Roman"/>
          <w:sz w:val="24"/>
          <w:szCs w:val="24"/>
        </w:rPr>
        <w:t>Najznačajnija stavka prihoda od nefinancijske imovine odnosi se na prihod od gospodarenja cestovnim zemljištem i obuhvaća planiranu naknadu za korištenje cestovnog zemljišta, za obavljanje pratećih uslužnih djelatnosti te za osnivanje prava služnosti, a planirano povećanje prihoda vezano je uz ugovornu obvezu usklađenja naknade s godišnjim indeksom rasta cijena na malo (indeks potrošačkih cijena) koji objavljuje Državni zavod za statistiku te s rastom prosječnog godišnjeg dnevnog prometa (PGDP) na pojedinim dionicama autocesta</w:t>
      </w:r>
      <w:r w:rsidR="004A280D" w:rsidRPr="00074F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231D" w:rsidRPr="00074F03" w:rsidRDefault="009A231D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13C" w:rsidRPr="00074F03" w:rsidRDefault="0050613C" w:rsidP="00074F0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F03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:rsidR="00BE4D17" w:rsidRPr="00074F03" w:rsidRDefault="008E29D5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F03">
        <w:rPr>
          <w:rFonts w:ascii="Times New Roman" w:eastAsia="Times New Roman" w:hAnsi="Times New Roman" w:cs="Times New Roman"/>
          <w:sz w:val="24"/>
          <w:szCs w:val="24"/>
        </w:rPr>
        <w:t xml:space="preserve">Rashodi poslovanja za 2022. u projekciji Financijskog plana iznose 1.116.241.895 kuna te uz rashode za zaposlene i </w:t>
      </w:r>
      <w:r w:rsidR="00471B1A" w:rsidRPr="00074F03">
        <w:rPr>
          <w:rFonts w:ascii="Times New Roman" w:eastAsia="Times New Roman" w:hAnsi="Times New Roman" w:cs="Times New Roman"/>
          <w:sz w:val="24"/>
          <w:szCs w:val="24"/>
        </w:rPr>
        <w:t xml:space="preserve">materijalne </w:t>
      </w:r>
      <w:r w:rsidRPr="00074F03">
        <w:rPr>
          <w:rFonts w:ascii="Times New Roman" w:eastAsia="Times New Roman" w:hAnsi="Times New Roman" w:cs="Times New Roman"/>
          <w:sz w:val="24"/>
          <w:szCs w:val="24"/>
        </w:rPr>
        <w:t>rashode održavanja i upravljanja uključuju i kamate za primljene kredite i zajmove. Kamate za kredite i zajmove planirane su za 2022. godinu u iznosu od 302.434.283 kuna, za 2023. 285.273.937 kuna, a za 2024. godinu 417.098.490 kuna</w:t>
      </w:r>
      <w:r w:rsidR="009A517D" w:rsidRPr="00074F03">
        <w:rPr>
          <w:rFonts w:ascii="Times New Roman" w:eastAsia="Times New Roman" w:hAnsi="Times New Roman" w:cs="Times New Roman"/>
          <w:sz w:val="24"/>
          <w:szCs w:val="24"/>
        </w:rPr>
        <w:t xml:space="preserve"> kada nakon trogodišnjeg moratorija počinje otplata kamata za </w:t>
      </w:r>
      <w:proofErr w:type="spellStart"/>
      <w:r w:rsidR="009A517D" w:rsidRPr="00074F03">
        <w:rPr>
          <w:rFonts w:ascii="Times New Roman" w:eastAsia="Times New Roman" w:hAnsi="Times New Roman" w:cs="Times New Roman"/>
          <w:sz w:val="24"/>
          <w:szCs w:val="24"/>
        </w:rPr>
        <w:t>euroobveznice</w:t>
      </w:r>
      <w:proofErr w:type="spellEnd"/>
      <w:r w:rsidR="009A517D" w:rsidRPr="00074F0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Rashodi za nabavu nefinancijske imovine u 2022. godini planirani su u iznosu</w:t>
      </w:r>
      <w:r w:rsidR="0039566B"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od 1.013</w:t>
      </w:r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.816.220 kuna, a od ukupnih planiranih rashoda za nabavu nefinancijske imovine na Program građenja i izvanrednog od</w:t>
      </w:r>
      <w:r w:rsidR="0039566B"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ržavanja odnosi se 984.316.220</w:t>
      </w:r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kuna, dok se 29.500.000 kuna odnosi na izdatke za nabavu materijalne i nematerijalne imovine društva (radnih vozila i strojeva, IT opreme i licenci za računalne programe). Planirani rashod za izgradnju autocesta odnosi se na kapitalne projekte nastavka  izgradnje Koridora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Vc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završetka izgradnje od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Belog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Manastira do mosta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Halasica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početka radova na izgradnji dionice od granica Republike Mađarske do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Belog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Manastira, izgradnju Obilaznice Novog Vinodolskog na pravcu autoceste A7,  izgradnju dionice Lekenik – Sisak na pravcu autoceste A11,  izgradnju čvora Trinajstići na pravcu autoceste A7, izgradnju čvora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Podi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i rekonstrukciju i dogradnju čvora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Dugopolje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 pravcu autoceste A1 te ostale manje projekte koji se prenose iz prethodnih godina na uređenju odmorišta, zidova za zaštitu od buke.</w:t>
      </w:r>
      <w:r w:rsidRPr="00074F0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 dijelu rashoda za izvanredno održavanje provoditi će se radovi sanacije asfaltnog zastora i sanacije objekata (vijadukti, mostovi, nadvožnjaci, mostovi), nastaviti će se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zvođenje horizonta</w:t>
      </w:r>
      <w:bookmarkStart w:id="0" w:name="_GoBack"/>
      <w:bookmarkEnd w:id="0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lne prometne signalizacije sukladno rješenjima iz prometnog elaborata unapređenja i povećanja sigurnosti prometa, a očekuje se i okončanje radova na projektu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Crocodile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i </w:t>
      </w:r>
      <w:proofErr w:type="spellStart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Crocodile</w:t>
      </w:r>
      <w:proofErr w:type="spellEnd"/>
      <w:r w:rsidRPr="00074F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 pokrenutih na europskoj razini s ciljem postizanja usklađenosti inteligentnih transportnih sustava (ITS). 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6B8A" w:rsidRPr="00074F03" w:rsidRDefault="00F86B8A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4F03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E29D5" w:rsidRPr="00074F03" w:rsidRDefault="00450F4D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Izdaci za otplate</w:t>
      </w:r>
      <w:r w:rsidR="008E29D5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glavnice primljenih kredita i zajmova za 2022. godinu </w:t>
      </w:r>
      <w:r w:rsidR="0039566B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iznose od 1.576.994.891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kunu</w:t>
      </w:r>
      <w:r w:rsidR="00EF1E91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E29D5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Ugovaranjem kreditne linije u 2020. godini iznosa od 107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mil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eura s razvojnim bankama (HBOR i EBRD) osiguran je nastavak investicijskog ciklusa i izgradnja koridora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Vc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Granica Republike Mađarske – Beli Manastir – Osijek –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Svilaj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dionica Beli Manastir –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Halasica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duljine 17,5 kilometara i dionica granica Republike Mađarske – Beli Manastir duljine 5 kilometara. 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2022. godini planira se nastavak izgradnje dionice Selce - Novi Vinodolski na Autocesti A7 Rupa – Rijeka – Žuta Lokva što će se financirati iz kredita koji je  ugovoren u 2021. godini u iznosu od 81,4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mil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. eura sa Hrvatskom bankom za obnovu i razvoj i Hrvatskom poštanskom bankom.</w:t>
      </w:r>
      <w:r w:rsidRPr="00074F0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Izgradnjom dionice Autoceste A7 Selce – Novi Vinodolski i njenim stavljanjem u upotrebu posljedično se izmiče promet iz gusto naseljenog područja Selca i Novog Vinodolskog čime se osigurava smanjenje prometnog zagušenja u središtu mjesta s manjom emisijom ispušnih plinova u urbanom dijelu naselja i time posljedično doprinosi revitalizaciji i zaštiti pripadajućeg okoliša i prirodnog ekosistema dok se manjom tranzitnom prometnom opterećenošću  doprinosi sigurnosti i zdravlju lokalnog stanovništva.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29D5" w:rsidRPr="00074F03" w:rsidRDefault="008E29D5" w:rsidP="00074F0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je 4. veljače 2021. godine donijela zaključak kojim podržava ubrzavanje dovršetka izgradnje autoceste A11 Zagreb - Sisak, dionice Lekenik - Sisak, kao prioritetni projekt za dugoročnu revitalizaciju Sisačko - moslavačke županije. </w:t>
      </w:r>
    </w:p>
    <w:p w:rsidR="00EF1E91" w:rsidRPr="00074F03" w:rsidRDefault="008E29D5" w:rsidP="00074F0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Vlada Republike Hrvatske na sjednici održanoj 20. svibnja 2021. godine dala je suglasnost Hrvatskim autocestama d.o.o. za kreditno zaduženje u visini do 62.580.000 eura radi 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refinanciranja postojećeg dugoročnog kredita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KfW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IPEX-Bank </w:t>
      </w:r>
      <w:proofErr w:type="spellStart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GmbH</w:t>
      </w:r>
      <w:proofErr w:type="spellEnd"/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Frankfurt na Majni ugovorenog 2011. godine na iznos od 130.000.000 eura s dospijećem kredita 2026. godine. Refinanciranjem će Društvo ostvariti dodatnu likvidnost </w:t>
      </w:r>
      <w:r w:rsidR="00632AA1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trogodišnjem razdoblju 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od cca 270 milijuna kuna koji će se usmjeriti na izgradnju autoceste A11, dionica Lekenik - Sisak, a sve sukladno Zaključku Vlade Republike Hrvatske od 4. veljače 2021. godine u kojem se podržava ubrzavanje dovršetka izgradnje predmetne dionice autoceste.</w:t>
      </w:r>
    </w:p>
    <w:p w:rsidR="008E29D5" w:rsidRPr="00074F03" w:rsidRDefault="008E29D5" w:rsidP="00074F0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8E29D5" w:rsidRPr="00074F03" w:rsidRDefault="00412109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2022. godini planiran je </w:t>
      </w:r>
      <w:r w:rsidR="008E29D5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početak radova na implementaciji novog sustava za naplatu cestarine. </w:t>
      </w:r>
      <w:r w:rsidR="00EF1E91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Projekt je uspješno apliciran za</w:t>
      </w:r>
      <w:r w:rsidR="00632AA1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dodjelu sredstava iz EU fonda za oporavak i otpornost u okviru Nacionalnog plana oporavka i otpornosti u ukupnom iznosu odobren</w:t>
      </w:r>
      <w:r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>ih sredstava od 493.897.054 kune</w:t>
      </w:r>
      <w:r w:rsidR="00EF1E91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jer ispunjava sve kriterije za navedeno financiranje: digitalizacija, zaštita okoliša, otpornost na infekcije zbog isključivanja kontakata. </w:t>
      </w:r>
      <w:r w:rsidR="008E29D5" w:rsidRPr="00074F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Pored navedenog, njegovom implementacijom osigurava se nastavak procesa restrukturiranja s manjim operativnim troškovima poslovanja obzirom da zahtjeva manje troškove direktnog rada uz virtualne digitalne kanale prodaje cestarine. </w:t>
      </w:r>
    </w:p>
    <w:p w:rsidR="008E29D5" w:rsidRPr="00074F03" w:rsidRDefault="008E29D5" w:rsidP="00074F03">
      <w:pPr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86B8A" w:rsidRPr="00074F03" w:rsidRDefault="00F86B8A" w:rsidP="00074F03">
      <w:pPr>
        <w:spacing w:after="0" w:line="240" w:lineRule="auto"/>
        <w:ind w:right="7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F86B8A" w:rsidRPr="00074F03" w:rsidSect="001805BA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3D4" w:rsidRDefault="009823D4" w:rsidP="005A08A3">
      <w:pPr>
        <w:spacing w:after="0" w:line="240" w:lineRule="auto"/>
      </w:pPr>
      <w:r>
        <w:separator/>
      </w:r>
    </w:p>
  </w:endnote>
  <w:endnote w:type="continuationSeparator" w:id="0">
    <w:p w:rsidR="009823D4" w:rsidRDefault="009823D4" w:rsidP="005A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2466041"/>
      <w:docPartObj>
        <w:docPartGallery w:val="Page Numbers (Bottom of Page)"/>
        <w:docPartUnique/>
      </w:docPartObj>
    </w:sdtPr>
    <w:sdtContent>
      <w:p w:rsidR="001805BA" w:rsidRDefault="001805B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326">
          <w:rPr>
            <w:noProof/>
          </w:rPr>
          <w:t>3</w:t>
        </w:r>
        <w:r>
          <w:fldChar w:fldCharType="end"/>
        </w:r>
      </w:p>
    </w:sdtContent>
  </w:sdt>
  <w:p w:rsidR="005A08A3" w:rsidRDefault="005A08A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3D4" w:rsidRDefault="009823D4" w:rsidP="005A08A3">
      <w:pPr>
        <w:spacing w:after="0" w:line="240" w:lineRule="auto"/>
      </w:pPr>
      <w:r>
        <w:separator/>
      </w:r>
    </w:p>
  </w:footnote>
  <w:footnote w:type="continuationSeparator" w:id="0">
    <w:p w:rsidR="009823D4" w:rsidRDefault="009823D4" w:rsidP="005A0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0DE3"/>
    <w:multiLevelType w:val="hybridMultilevel"/>
    <w:tmpl w:val="C65AFA6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DC"/>
    <w:rsid w:val="000041E5"/>
    <w:rsid w:val="00021C72"/>
    <w:rsid w:val="000378F5"/>
    <w:rsid w:val="0004538C"/>
    <w:rsid w:val="00074300"/>
    <w:rsid w:val="00074F03"/>
    <w:rsid w:val="000839E8"/>
    <w:rsid w:val="000A19C6"/>
    <w:rsid w:val="000A269E"/>
    <w:rsid w:val="000A2A3E"/>
    <w:rsid w:val="000A61D9"/>
    <w:rsid w:val="000A72DC"/>
    <w:rsid w:val="000B670B"/>
    <w:rsid w:val="000B78D3"/>
    <w:rsid w:val="000C1C55"/>
    <w:rsid w:val="000C32D2"/>
    <w:rsid w:val="000D7296"/>
    <w:rsid w:val="000E3245"/>
    <w:rsid w:val="00112655"/>
    <w:rsid w:val="00114056"/>
    <w:rsid w:val="001211B9"/>
    <w:rsid w:val="00126B60"/>
    <w:rsid w:val="0016340C"/>
    <w:rsid w:val="00164E92"/>
    <w:rsid w:val="001760C4"/>
    <w:rsid w:val="001802C4"/>
    <w:rsid w:val="001805BA"/>
    <w:rsid w:val="001C3224"/>
    <w:rsid w:val="001C70C4"/>
    <w:rsid w:val="001F3873"/>
    <w:rsid w:val="00202FCA"/>
    <w:rsid w:val="00203857"/>
    <w:rsid w:val="00206876"/>
    <w:rsid w:val="00225601"/>
    <w:rsid w:val="0022790F"/>
    <w:rsid w:val="00241F08"/>
    <w:rsid w:val="00251BEC"/>
    <w:rsid w:val="002A2DC2"/>
    <w:rsid w:val="002B3301"/>
    <w:rsid w:val="002C447A"/>
    <w:rsid w:val="002E318B"/>
    <w:rsid w:val="002E7DEE"/>
    <w:rsid w:val="00303C3F"/>
    <w:rsid w:val="00332F97"/>
    <w:rsid w:val="0034214E"/>
    <w:rsid w:val="003715F2"/>
    <w:rsid w:val="0039566B"/>
    <w:rsid w:val="003C2541"/>
    <w:rsid w:val="00406541"/>
    <w:rsid w:val="00412109"/>
    <w:rsid w:val="0042215E"/>
    <w:rsid w:val="004261E9"/>
    <w:rsid w:val="00442918"/>
    <w:rsid w:val="00446B4D"/>
    <w:rsid w:val="00450F4D"/>
    <w:rsid w:val="0045177D"/>
    <w:rsid w:val="004556A1"/>
    <w:rsid w:val="00471B1A"/>
    <w:rsid w:val="00492A9B"/>
    <w:rsid w:val="004A280D"/>
    <w:rsid w:val="004B3FB3"/>
    <w:rsid w:val="004C3237"/>
    <w:rsid w:val="004D44CE"/>
    <w:rsid w:val="0050613C"/>
    <w:rsid w:val="00522EF7"/>
    <w:rsid w:val="00526FFF"/>
    <w:rsid w:val="00537298"/>
    <w:rsid w:val="0055188B"/>
    <w:rsid w:val="0056573B"/>
    <w:rsid w:val="00567014"/>
    <w:rsid w:val="0057147D"/>
    <w:rsid w:val="00574982"/>
    <w:rsid w:val="0059432D"/>
    <w:rsid w:val="0059793F"/>
    <w:rsid w:val="005A08A3"/>
    <w:rsid w:val="005A1647"/>
    <w:rsid w:val="005A17F6"/>
    <w:rsid w:val="005B23F2"/>
    <w:rsid w:val="005B490B"/>
    <w:rsid w:val="005B5209"/>
    <w:rsid w:val="005C5AA8"/>
    <w:rsid w:val="005C6F28"/>
    <w:rsid w:val="005D169A"/>
    <w:rsid w:val="005E1066"/>
    <w:rsid w:val="005E64EB"/>
    <w:rsid w:val="005E7CBB"/>
    <w:rsid w:val="005F2EFC"/>
    <w:rsid w:val="005F4A12"/>
    <w:rsid w:val="005F50A3"/>
    <w:rsid w:val="00607E8C"/>
    <w:rsid w:val="00611378"/>
    <w:rsid w:val="00614A25"/>
    <w:rsid w:val="00621534"/>
    <w:rsid w:val="00632AA1"/>
    <w:rsid w:val="00656A88"/>
    <w:rsid w:val="00671A2C"/>
    <w:rsid w:val="00677E27"/>
    <w:rsid w:val="006B702F"/>
    <w:rsid w:val="006C11D3"/>
    <w:rsid w:val="006C13AE"/>
    <w:rsid w:val="006D1EA1"/>
    <w:rsid w:val="006E00FE"/>
    <w:rsid w:val="00710C06"/>
    <w:rsid w:val="0073006D"/>
    <w:rsid w:val="00732B74"/>
    <w:rsid w:val="00735417"/>
    <w:rsid w:val="00747023"/>
    <w:rsid w:val="0076217B"/>
    <w:rsid w:val="00767D2C"/>
    <w:rsid w:val="007931B7"/>
    <w:rsid w:val="007B53F1"/>
    <w:rsid w:val="00806C07"/>
    <w:rsid w:val="00830E56"/>
    <w:rsid w:val="0083477B"/>
    <w:rsid w:val="008416F3"/>
    <w:rsid w:val="008420C0"/>
    <w:rsid w:val="008522FA"/>
    <w:rsid w:val="008734ED"/>
    <w:rsid w:val="008765F3"/>
    <w:rsid w:val="0089060D"/>
    <w:rsid w:val="00897515"/>
    <w:rsid w:val="008C5FE8"/>
    <w:rsid w:val="008D736B"/>
    <w:rsid w:val="008E0771"/>
    <w:rsid w:val="008E1BDE"/>
    <w:rsid w:val="008E29D5"/>
    <w:rsid w:val="00900AA8"/>
    <w:rsid w:val="00905BE4"/>
    <w:rsid w:val="0093410F"/>
    <w:rsid w:val="00943769"/>
    <w:rsid w:val="00947797"/>
    <w:rsid w:val="00967632"/>
    <w:rsid w:val="009823D4"/>
    <w:rsid w:val="009A231D"/>
    <w:rsid w:val="009A517D"/>
    <w:rsid w:val="009A744E"/>
    <w:rsid w:val="009B527A"/>
    <w:rsid w:val="009D63D6"/>
    <w:rsid w:val="009F0228"/>
    <w:rsid w:val="00A15253"/>
    <w:rsid w:val="00A17299"/>
    <w:rsid w:val="00A250AC"/>
    <w:rsid w:val="00A40DA0"/>
    <w:rsid w:val="00A44964"/>
    <w:rsid w:val="00A81100"/>
    <w:rsid w:val="00A84C97"/>
    <w:rsid w:val="00A87DA8"/>
    <w:rsid w:val="00A95232"/>
    <w:rsid w:val="00A96AB7"/>
    <w:rsid w:val="00AB5699"/>
    <w:rsid w:val="00AB6045"/>
    <w:rsid w:val="00AC3019"/>
    <w:rsid w:val="00AE2EE9"/>
    <w:rsid w:val="00AE7B1B"/>
    <w:rsid w:val="00B04EBC"/>
    <w:rsid w:val="00B14293"/>
    <w:rsid w:val="00B227C1"/>
    <w:rsid w:val="00B268D6"/>
    <w:rsid w:val="00B31FB8"/>
    <w:rsid w:val="00B44ACC"/>
    <w:rsid w:val="00B50B38"/>
    <w:rsid w:val="00B673D1"/>
    <w:rsid w:val="00B77633"/>
    <w:rsid w:val="00B9660C"/>
    <w:rsid w:val="00BA24A6"/>
    <w:rsid w:val="00BD0338"/>
    <w:rsid w:val="00BE4D17"/>
    <w:rsid w:val="00BE60F2"/>
    <w:rsid w:val="00BF0CF8"/>
    <w:rsid w:val="00C310BB"/>
    <w:rsid w:val="00C347BE"/>
    <w:rsid w:val="00C8743C"/>
    <w:rsid w:val="00CB69BF"/>
    <w:rsid w:val="00CE1A24"/>
    <w:rsid w:val="00CE610F"/>
    <w:rsid w:val="00D01F72"/>
    <w:rsid w:val="00D27C6C"/>
    <w:rsid w:val="00D43057"/>
    <w:rsid w:val="00D4661B"/>
    <w:rsid w:val="00D472AE"/>
    <w:rsid w:val="00D80621"/>
    <w:rsid w:val="00DA3EA4"/>
    <w:rsid w:val="00DA4113"/>
    <w:rsid w:val="00DC61B0"/>
    <w:rsid w:val="00DE46BB"/>
    <w:rsid w:val="00DF1F5F"/>
    <w:rsid w:val="00E133D2"/>
    <w:rsid w:val="00E141F6"/>
    <w:rsid w:val="00E1780B"/>
    <w:rsid w:val="00E4137E"/>
    <w:rsid w:val="00E43FF3"/>
    <w:rsid w:val="00E47181"/>
    <w:rsid w:val="00E57AA7"/>
    <w:rsid w:val="00E65C70"/>
    <w:rsid w:val="00E66DB7"/>
    <w:rsid w:val="00E70564"/>
    <w:rsid w:val="00E91E6D"/>
    <w:rsid w:val="00E943F0"/>
    <w:rsid w:val="00EB127D"/>
    <w:rsid w:val="00EB241B"/>
    <w:rsid w:val="00EE1CBD"/>
    <w:rsid w:val="00EF1E91"/>
    <w:rsid w:val="00F1024F"/>
    <w:rsid w:val="00F756A2"/>
    <w:rsid w:val="00F86B8A"/>
    <w:rsid w:val="00FC06DC"/>
    <w:rsid w:val="00FC1326"/>
    <w:rsid w:val="00FC43BA"/>
    <w:rsid w:val="00FF302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CF17E"/>
  <w15:chartTrackingRefBased/>
  <w15:docId w15:val="{B27B6196-78E5-48C9-B7D8-A8E10382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06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39E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08A3"/>
  </w:style>
  <w:style w:type="paragraph" w:styleId="Podnoje">
    <w:name w:val="footer"/>
    <w:basedOn w:val="Normal"/>
    <w:link w:val="Podno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2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4</Pages>
  <Words>1317</Words>
  <Characters>7513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Tripković</dc:creator>
  <cp:keywords/>
  <dc:description/>
  <cp:lastModifiedBy>Ida Hohnjec</cp:lastModifiedBy>
  <cp:revision>78</cp:revision>
  <dcterms:created xsi:type="dcterms:W3CDTF">2020-05-04T09:33:00Z</dcterms:created>
  <dcterms:modified xsi:type="dcterms:W3CDTF">2021-10-27T08:25:00Z</dcterms:modified>
</cp:coreProperties>
</file>