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5821" w:rsidRPr="00F70B2A" w:rsidRDefault="00695821" w:rsidP="00695821">
      <w:pPr>
        <w:jc w:val="center"/>
        <w:rPr>
          <w:sz w:val="28"/>
          <w:lang w:val="hr-HR"/>
        </w:rPr>
      </w:pPr>
      <w:r w:rsidRPr="00F70B2A">
        <w:rPr>
          <w:sz w:val="28"/>
          <w:lang w:val="hr-HR"/>
        </w:rPr>
        <w:t>R E P U B L I K A   H R V A T S K A</w:t>
      </w:r>
    </w:p>
    <w:p w:rsidR="00695821" w:rsidRPr="00F70B2A" w:rsidRDefault="00695821" w:rsidP="00695821">
      <w:pPr>
        <w:jc w:val="center"/>
        <w:rPr>
          <w:sz w:val="28"/>
          <w:lang w:val="hr-HR"/>
        </w:rPr>
      </w:pPr>
      <w:r w:rsidRPr="00F70B2A">
        <w:rPr>
          <w:sz w:val="28"/>
          <w:lang w:val="hr-HR"/>
        </w:rPr>
        <w:t>VLADA REPUBLIKE HRVATSKE</w:t>
      </w:r>
    </w:p>
    <w:p w:rsidR="00695821" w:rsidRPr="00F70B2A" w:rsidRDefault="00695821" w:rsidP="00695821">
      <w:pPr>
        <w:rPr>
          <w:lang w:val="hr-HR"/>
        </w:rPr>
      </w:pPr>
    </w:p>
    <w:p w:rsidR="00695821" w:rsidRPr="00F70B2A" w:rsidRDefault="00695821" w:rsidP="00695821">
      <w:pPr>
        <w:rPr>
          <w:lang w:val="hr-HR"/>
        </w:rPr>
      </w:pPr>
    </w:p>
    <w:p w:rsidR="00695821" w:rsidRPr="00F70B2A" w:rsidRDefault="00695821" w:rsidP="00695821">
      <w:pPr>
        <w:rPr>
          <w:lang w:val="hr-HR"/>
        </w:rPr>
      </w:pPr>
    </w:p>
    <w:p w:rsidR="00695821" w:rsidRPr="00F70B2A" w:rsidRDefault="00695821" w:rsidP="00695821">
      <w:pPr>
        <w:rPr>
          <w:lang w:val="hr-HR"/>
        </w:rPr>
      </w:pPr>
    </w:p>
    <w:p w:rsidR="00695821" w:rsidRPr="00F70B2A" w:rsidRDefault="00695821" w:rsidP="00695821">
      <w:pPr>
        <w:rPr>
          <w:lang w:val="hr-HR"/>
        </w:rPr>
      </w:pPr>
    </w:p>
    <w:p w:rsidR="00695821" w:rsidRPr="00F70B2A" w:rsidRDefault="00695821" w:rsidP="00695821">
      <w:pPr>
        <w:rPr>
          <w:lang w:val="hr-HR"/>
        </w:rPr>
      </w:pPr>
    </w:p>
    <w:p w:rsidR="00695821" w:rsidRPr="00F70B2A" w:rsidRDefault="00695821" w:rsidP="00695821">
      <w:pPr>
        <w:rPr>
          <w:lang w:val="hr-HR"/>
        </w:rPr>
      </w:pPr>
    </w:p>
    <w:p w:rsidR="00695821" w:rsidRPr="00F70B2A" w:rsidRDefault="00695821" w:rsidP="00695821">
      <w:pPr>
        <w:rPr>
          <w:lang w:val="hr-HR"/>
        </w:rPr>
      </w:pPr>
    </w:p>
    <w:p w:rsidR="00695821" w:rsidRPr="00F70B2A" w:rsidRDefault="00695821" w:rsidP="00695821">
      <w:pPr>
        <w:pStyle w:val="Title"/>
        <w:jc w:val="center"/>
        <w:rPr>
          <w:lang w:val="hr-HR"/>
        </w:rPr>
      </w:pPr>
      <w:r w:rsidRPr="00F70B2A">
        <w:rPr>
          <w:lang w:val="hr-HR"/>
        </w:rPr>
        <w:t>OBRAZLOŽENJE DRŽAVNOG PRORAČUNA I FINANCIJSKIH PLANOVA IZ</w:t>
      </w:r>
      <w:r w:rsidR="00155FA2" w:rsidRPr="00F70B2A">
        <w:rPr>
          <w:lang w:val="hr-HR"/>
        </w:rPr>
        <w:t>VANPRORAČUNSKIH KORISNIKA ZA 202</w:t>
      </w:r>
      <w:r w:rsidR="00EE36D9">
        <w:rPr>
          <w:lang w:val="hr-HR"/>
        </w:rPr>
        <w:t>2</w:t>
      </w:r>
      <w:r w:rsidRPr="00F70B2A">
        <w:rPr>
          <w:lang w:val="hr-HR"/>
        </w:rPr>
        <w:t>. I</w:t>
      </w:r>
      <w:r w:rsidR="00BD3F20" w:rsidRPr="00F70B2A">
        <w:rPr>
          <w:lang w:val="hr-HR"/>
        </w:rPr>
        <w:t xml:space="preserve"> </w:t>
      </w:r>
      <w:r w:rsidR="00582827" w:rsidRPr="00F70B2A">
        <w:rPr>
          <w:lang w:val="hr-HR"/>
        </w:rPr>
        <w:t>PROJEKCIJE ZA 20</w:t>
      </w:r>
      <w:r w:rsidR="00BE094B" w:rsidRPr="00F70B2A">
        <w:rPr>
          <w:lang w:val="hr-HR"/>
        </w:rPr>
        <w:t>2</w:t>
      </w:r>
      <w:r w:rsidR="00EE36D9">
        <w:rPr>
          <w:lang w:val="hr-HR"/>
        </w:rPr>
        <w:t>3</w:t>
      </w:r>
      <w:r w:rsidR="00BE094B" w:rsidRPr="00F70B2A">
        <w:rPr>
          <w:lang w:val="hr-HR"/>
        </w:rPr>
        <w:t>. I 202</w:t>
      </w:r>
      <w:r w:rsidR="00EE36D9">
        <w:rPr>
          <w:lang w:val="hr-HR"/>
        </w:rPr>
        <w:t>4</w:t>
      </w:r>
      <w:r w:rsidRPr="00F70B2A">
        <w:rPr>
          <w:lang w:val="hr-HR"/>
        </w:rPr>
        <w:t>. GODINU</w:t>
      </w:r>
    </w:p>
    <w:p w:rsidR="00695821" w:rsidRPr="00F70B2A" w:rsidRDefault="00695821" w:rsidP="00695821">
      <w:pPr>
        <w:rPr>
          <w:lang w:val="hr-HR"/>
        </w:rPr>
      </w:pPr>
    </w:p>
    <w:p w:rsidR="00695821" w:rsidRPr="00F70B2A" w:rsidRDefault="00695821" w:rsidP="00695821">
      <w:pPr>
        <w:rPr>
          <w:lang w:val="hr-HR"/>
        </w:rPr>
      </w:pPr>
    </w:p>
    <w:p w:rsidR="00695821" w:rsidRPr="00F70B2A" w:rsidRDefault="00695821" w:rsidP="00695821">
      <w:pPr>
        <w:rPr>
          <w:lang w:val="hr-HR"/>
        </w:rPr>
      </w:pPr>
    </w:p>
    <w:p w:rsidR="00695821" w:rsidRPr="00F70B2A" w:rsidRDefault="00695821" w:rsidP="00695821">
      <w:pPr>
        <w:rPr>
          <w:lang w:val="hr-HR"/>
        </w:rPr>
      </w:pPr>
    </w:p>
    <w:p w:rsidR="00695821" w:rsidRPr="00F70B2A" w:rsidRDefault="00695821" w:rsidP="00695821">
      <w:pPr>
        <w:rPr>
          <w:lang w:val="hr-HR"/>
        </w:rPr>
      </w:pPr>
    </w:p>
    <w:p w:rsidR="00695821" w:rsidRPr="00F70B2A" w:rsidRDefault="00695821" w:rsidP="00695821">
      <w:pPr>
        <w:rPr>
          <w:lang w:val="hr-HR"/>
        </w:rPr>
      </w:pPr>
    </w:p>
    <w:p w:rsidR="00695821" w:rsidRPr="00F70B2A" w:rsidRDefault="00695821" w:rsidP="00695821">
      <w:pPr>
        <w:rPr>
          <w:lang w:val="hr-HR"/>
        </w:rPr>
      </w:pPr>
      <w:bookmarkStart w:id="0" w:name="_GoBack"/>
      <w:bookmarkEnd w:id="0"/>
    </w:p>
    <w:p w:rsidR="00695821" w:rsidRPr="00F70B2A" w:rsidRDefault="00695821" w:rsidP="00695821">
      <w:pPr>
        <w:rPr>
          <w:lang w:val="hr-HR"/>
        </w:rPr>
      </w:pPr>
    </w:p>
    <w:p w:rsidR="00695821" w:rsidRPr="00F70B2A" w:rsidRDefault="00695821" w:rsidP="00695821">
      <w:pPr>
        <w:rPr>
          <w:lang w:val="hr-HR"/>
        </w:rPr>
      </w:pPr>
    </w:p>
    <w:p w:rsidR="00695821" w:rsidRPr="00F70B2A" w:rsidRDefault="00695821" w:rsidP="00695821">
      <w:pPr>
        <w:jc w:val="center"/>
        <w:rPr>
          <w:lang w:val="hr-HR"/>
        </w:rPr>
        <w:sectPr w:rsidR="00695821" w:rsidRPr="00F70B2A" w:rsidSect="00927736">
          <w:footerReference w:type="default" r:id="rId8"/>
          <w:pgSz w:w="11906" w:h="16838"/>
          <w:pgMar w:top="1417" w:right="1417" w:bottom="1417" w:left="1417" w:header="708" w:footer="708" w:gutter="0"/>
          <w:cols w:space="708"/>
          <w:titlePg/>
          <w:docGrid w:linePitch="360"/>
        </w:sectPr>
      </w:pPr>
      <w:r w:rsidRPr="00DE05DF">
        <w:rPr>
          <w:lang w:val="hr-HR"/>
        </w:rPr>
        <w:t xml:space="preserve">Zagreb, </w:t>
      </w:r>
      <w:r w:rsidR="002A3B08">
        <w:rPr>
          <w:lang w:val="hr-HR"/>
        </w:rPr>
        <w:t>listopad</w:t>
      </w:r>
      <w:r w:rsidR="00980744">
        <w:rPr>
          <w:lang w:val="hr-HR"/>
        </w:rPr>
        <w:t xml:space="preserve"> 202</w:t>
      </w:r>
      <w:r w:rsidR="009A67BD">
        <w:rPr>
          <w:lang w:val="hr-HR"/>
        </w:rPr>
        <w:t>1</w:t>
      </w:r>
      <w:r w:rsidRPr="00DE05DF">
        <w:rPr>
          <w:lang w:val="hr-HR"/>
        </w:rPr>
        <w:t>.</w:t>
      </w:r>
    </w:p>
    <w:p w:rsidR="00695821" w:rsidRPr="00F70B2A" w:rsidRDefault="00695821" w:rsidP="00695821">
      <w:pPr>
        <w:rPr>
          <w:rFonts w:asciiTheme="majorHAnsi" w:hAnsiTheme="majorHAnsi"/>
          <w:b/>
          <w:color w:val="365F91" w:themeColor="accent1" w:themeShade="BF"/>
          <w:sz w:val="28"/>
          <w:lang w:val="hr-HR"/>
        </w:rPr>
      </w:pPr>
      <w:r w:rsidRPr="00F70B2A">
        <w:rPr>
          <w:rFonts w:asciiTheme="majorHAnsi" w:hAnsiTheme="majorHAnsi"/>
          <w:b/>
          <w:color w:val="365F91" w:themeColor="accent1" w:themeShade="BF"/>
          <w:sz w:val="28"/>
          <w:lang w:val="hr-HR"/>
        </w:rPr>
        <w:lastRenderedPageBreak/>
        <w:t>SADRŽAJ</w:t>
      </w:r>
    </w:p>
    <w:sdt>
      <w:sdtPr>
        <w:rPr>
          <w:rFonts w:asciiTheme="minorHAnsi" w:eastAsiaTheme="minorHAnsi" w:hAnsiTheme="minorHAnsi" w:cstheme="minorBidi"/>
          <w:b w:val="0"/>
          <w:bCs w:val="0"/>
          <w:color w:val="auto"/>
          <w:sz w:val="22"/>
          <w:szCs w:val="22"/>
          <w:lang w:val="hr-HR" w:eastAsia="en-US"/>
        </w:rPr>
        <w:id w:val="-814332695"/>
        <w:docPartObj>
          <w:docPartGallery w:val="Table of Contents"/>
          <w:docPartUnique/>
        </w:docPartObj>
      </w:sdtPr>
      <w:sdtEndPr/>
      <w:sdtContent>
        <w:p w:rsidR="00C93283" w:rsidRPr="00F70B2A" w:rsidRDefault="00C93283">
          <w:pPr>
            <w:pStyle w:val="TOCHeading"/>
            <w:rPr>
              <w:lang w:val="hr-HR"/>
            </w:rPr>
          </w:pPr>
        </w:p>
        <w:p w:rsidR="00D917AF" w:rsidRDefault="00C93283">
          <w:pPr>
            <w:pStyle w:val="TOC1"/>
            <w:rPr>
              <w:rFonts w:eastAsiaTheme="minorEastAsia"/>
              <w:noProof/>
              <w:lang w:val="hr-HR" w:eastAsia="hr-HR"/>
            </w:rPr>
          </w:pPr>
          <w:r w:rsidRPr="00F70B2A">
            <w:rPr>
              <w:lang w:val="hr-HR"/>
            </w:rPr>
            <w:fldChar w:fldCharType="begin"/>
          </w:r>
          <w:r w:rsidRPr="00F70B2A">
            <w:rPr>
              <w:lang w:val="hr-HR"/>
            </w:rPr>
            <w:instrText xml:space="preserve"> TOC \o "1-3" \h \z \u </w:instrText>
          </w:r>
          <w:r w:rsidRPr="00F70B2A">
            <w:rPr>
              <w:lang w:val="hr-HR"/>
            </w:rPr>
            <w:fldChar w:fldCharType="separate"/>
          </w:r>
          <w:hyperlink w:anchor="_Toc86303470" w:history="1">
            <w:r w:rsidR="00D917AF" w:rsidRPr="00292A92">
              <w:rPr>
                <w:rStyle w:val="Hyperlink"/>
                <w:noProof/>
                <w:lang w:val="hr-HR"/>
              </w:rPr>
              <w:t>1.</w:t>
            </w:r>
            <w:r w:rsidR="00D917AF">
              <w:rPr>
                <w:rFonts w:eastAsiaTheme="minorEastAsia"/>
                <w:noProof/>
                <w:lang w:val="hr-HR" w:eastAsia="hr-HR"/>
              </w:rPr>
              <w:tab/>
            </w:r>
            <w:r w:rsidR="00D917AF" w:rsidRPr="00292A92">
              <w:rPr>
                <w:rStyle w:val="Hyperlink"/>
                <w:noProof/>
                <w:lang w:val="hr-HR"/>
              </w:rPr>
              <w:t>UVOD</w:t>
            </w:r>
            <w:r w:rsidR="00D917AF">
              <w:rPr>
                <w:noProof/>
                <w:webHidden/>
              </w:rPr>
              <w:tab/>
            </w:r>
            <w:r w:rsidR="00D917AF">
              <w:rPr>
                <w:noProof/>
                <w:webHidden/>
              </w:rPr>
              <w:fldChar w:fldCharType="begin"/>
            </w:r>
            <w:r w:rsidR="00D917AF">
              <w:rPr>
                <w:noProof/>
                <w:webHidden/>
              </w:rPr>
              <w:instrText xml:space="preserve"> PAGEREF _Toc86303470 \h </w:instrText>
            </w:r>
            <w:r w:rsidR="00D917AF">
              <w:rPr>
                <w:noProof/>
                <w:webHidden/>
              </w:rPr>
            </w:r>
            <w:r w:rsidR="00D917AF">
              <w:rPr>
                <w:noProof/>
                <w:webHidden/>
              </w:rPr>
              <w:fldChar w:fldCharType="separate"/>
            </w:r>
            <w:r w:rsidR="002A3B08">
              <w:rPr>
                <w:noProof/>
                <w:webHidden/>
              </w:rPr>
              <w:t>3</w:t>
            </w:r>
            <w:r w:rsidR="00D917AF">
              <w:rPr>
                <w:noProof/>
                <w:webHidden/>
              </w:rPr>
              <w:fldChar w:fldCharType="end"/>
            </w:r>
          </w:hyperlink>
        </w:p>
        <w:p w:rsidR="00D917AF" w:rsidRDefault="002A3B08">
          <w:pPr>
            <w:pStyle w:val="TOC1"/>
            <w:rPr>
              <w:rFonts w:eastAsiaTheme="minorEastAsia"/>
              <w:noProof/>
              <w:lang w:val="hr-HR" w:eastAsia="hr-HR"/>
            </w:rPr>
          </w:pPr>
          <w:hyperlink w:anchor="_Toc86303471" w:history="1">
            <w:r w:rsidR="00D917AF" w:rsidRPr="00292A92">
              <w:rPr>
                <w:rStyle w:val="Hyperlink"/>
                <w:noProof/>
                <w:lang w:val="hr-HR"/>
              </w:rPr>
              <w:t>2.</w:t>
            </w:r>
            <w:r w:rsidR="00D917AF">
              <w:rPr>
                <w:rFonts w:eastAsiaTheme="minorEastAsia"/>
                <w:noProof/>
                <w:lang w:val="hr-HR" w:eastAsia="hr-HR"/>
              </w:rPr>
              <w:tab/>
            </w:r>
            <w:r w:rsidR="00D917AF" w:rsidRPr="00292A92">
              <w:rPr>
                <w:rStyle w:val="Hyperlink"/>
                <w:noProof/>
                <w:lang w:val="hr-HR"/>
              </w:rPr>
              <w:t>MAKROEKONOMSKI OKVIR</w:t>
            </w:r>
            <w:r w:rsidR="00D917AF">
              <w:rPr>
                <w:noProof/>
                <w:webHidden/>
              </w:rPr>
              <w:tab/>
            </w:r>
            <w:r w:rsidR="00D917AF">
              <w:rPr>
                <w:noProof/>
                <w:webHidden/>
              </w:rPr>
              <w:fldChar w:fldCharType="begin"/>
            </w:r>
            <w:r w:rsidR="00D917AF">
              <w:rPr>
                <w:noProof/>
                <w:webHidden/>
              </w:rPr>
              <w:instrText xml:space="preserve"> PAGEREF _Toc86303471 \h </w:instrText>
            </w:r>
            <w:r w:rsidR="00D917AF">
              <w:rPr>
                <w:noProof/>
                <w:webHidden/>
              </w:rPr>
            </w:r>
            <w:r w:rsidR="00D917AF">
              <w:rPr>
                <w:noProof/>
                <w:webHidden/>
              </w:rPr>
              <w:fldChar w:fldCharType="separate"/>
            </w:r>
            <w:r>
              <w:rPr>
                <w:noProof/>
                <w:webHidden/>
              </w:rPr>
              <w:t>5</w:t>
            </w:r>
            <w:r w:rsidR="00D917AF">
              <w:rPr>
                <w:noProof/>
                <w:webHidden/>
              </w:rPr>
              <w:fldChar w:fldCharType="end"/>
            </w:r>
          </w:hyperlink>
        </w:p>
        <w:p w:rsidR="00D917AF" w:rsidRDefault="002A3B08">
          <w:pPr>
            <w:pStyle w:val="TOC1"/>
            <w:rPr>
              <w:rFonts w:eastAsiaTheme="minorEastAsia"/>
              <w:noProof/>
              <w:lang w:val="hr-HR" w:eastAsia="hr-HR"/>
            </w:rPr>
          </w:pPr>
          <w:hyperlink w:anchor="_Toc86303472" w:history="1">
            <w:r w:rsidR="00D917AF" w:rsidRPr="00292A92">
              <w:rPr>
                <w:rStyle w:val="Hyperlink"/>
                <w:noProof/>
                <w:lang w:val="hr-HR"/>
              </w:rPr>
              <w:t>2.</w:t>
            </w:r>
            <w:r w:rsidR="00D917AF">
              <w:rPr>
                <w:rFonts w:eastAsiaTheme="minorEastAsia"/>
                <w:noProof/>
                <w:lang w:val="hr-HR" w:eastAsia="hr-HR"/>
              </w:rPr>
              <w:tab/>
            </w:r>
            <w:r w:rsidR="00D917AF" w:rsidRPr="00292A92">
              <w:rPr>
                <w:rStyle w:val="Hyperlink"/>
                <w:noProof/>
                <w:lang w:val="hr-HR"/>
              </w:rPr>
              <w:t>PRIHODI DRŽAVNOG PRORAČUNA</w:t>
            </w:r>
            <w:r w:rsidR="00D917AF">
              <w:rPr>
                <w:noProof/>
                <w:webHidden/>
              </w:rPr>
              <w:tab/>
            </w:r>
            <w:r w:rsidR="00D917AF">
              <w:rPr>
                <w:noProof/>
                <w:webHidden/>
              </w:rPr>
              <w:fldChar w:fldCharType="begin"/>
            </w:r>
            <w:r w:rsidR="00D917AF">
              <w:rPr>
                <w:noProof/>
                <w:webHidden/>
              </w:rPr>
              <w:instrText xml:space="preserve"> PAGEREF _Toc86303472 \h </w:instrText>
            </w:r>
            <w:r w:rsidR="00D917AF">
              <w:rPr>
                <w:noProof/>
                <w:webHidden/>
              </w:rPr>
            </w:r>
            <w:r w:rsidR="00D917AF">
              <w:rPr>
                <w:noProof/>
                <w:webHidden/>
              </w:rPr>
              <w:fldChar w:fldCharType="separate"/>
            </w:r>
            <w:r>
              <w:rPr>
                <w:noProof/>
                <w:webHidden/>
              </w:rPr>
              <w:t>11</w:t>
            </w:r>
            <w:r w:rsidR="00D917AF">
              <w:rPr>
                <w:noProof/>
                <w:webHidden/>
              </w:rPr>
              <w:fldChar w:fldCharType="end"/>
            </w:r>
          </w:hyperlink>
        </w:p>
        <w:p w:rsidR="00D917AF" w:rsidRDefault="002A3B08">
          <w:pPr>
            <w:pStyle w:val="TOC1"/>
            <w:rPr>
              <w:rFonts w:eastAsiaTheme="minorEastAsia"/>
              <w:noProof/>
              <w:lang w:val="hr-HR" w:eastAsia="hr-HR"/>
            </w:rPr>
          </w:pPr>
          <w:hyperlink w:anchor="_Toc86303473" w:history="1">
            <w:r w:rsidR="00D917AF" w:rsidRPr="00292A92">
              <w:rPr>
                <w:rStyle w:val="Hyperlink"/>
                <w:noProof/>
                <w:lang w:val="hr-HR"/>
              </w:rPr>
              <w:t>3.</w:t>
            </w:r>
            <w:r w:rsidR="00D917AF">
              <w:rPr>
                <w:rFonts w:eastAsiaTheme="minorEastAsia"/>
                <w:noProof/>
                <w:lang w:val="hr-HR" w:eastAsia="hr-HR"/>
              </w:rPr>
              <w:tab/>
            </w:r>
            <w:r w:rsidR="00D917AF" w:rsidRPr="00292A92">
              <w:rPr>
                <w:rStyle w:val="Hyperlink"/>
                <w:noProof/>
                <w:lang w:val="hr-HR"/>
              </w:rPr>
              <w:t>RASHODI DRŽAVNOG PRORAČUNA</w:t>
            </w:r>
            <w:r w:rsidR="00D917AF">
              <w:rPr>
                <w:noProof/>
                <w:webHidden/>
              </w:rPr>
              <w:tab/>
            </w:r>
            <w:r w:rsidR="00D917AF">
              <w:rPr>
                <w:noProof/>
                <w:webHidden/>
              </w:rPr>
              <w:fldChar w:fldCharType="begin"/>
            </w:r>
            <w:r w:rsidR="00D917AF">
              <w:rPr>
                <w:noProof/>
                <w:webHidden/>
              </w:rPr>
              <w:instrText xml:space="preserve"> PAGEREF _Toc86303473 \h </w:instrText>
            </w:r>
            <w:r w:rsidR="00D917AF">
              <w:rPr>
                <w:noProof/>
                <w:webHidden/>
              </w:rPr>
            </w:r>
            <w:r w:rsidR="00D917AF">
              <w:rPr>
                <w:noProof/>
                <w:webHidden/>
              </w:rPr>
              <w:fldChar w:fldCharType="separate"/>
            </w:r>
            <w:r>
              <w:rPr>
                <w:noProof/>
                <w:webHidden/>
              </w:rPr>
              <w:t>16</w:t>
            </w:r>
            <w:r w:rsidR="00D917AF">
              <w:rPr>
                <w:noProof/>
                <w:webHidden/>
              </w:rPr>
              <w:fldChar w:fldCharType="end"/>
            </w:r>
          </w:hyperlink>
        </w:p>
        <w:p w:rsidR="00D917AF" w:rsidRDefault="002A3B08">
          <w:pPr>
            <w:pStyle w:val="TOC2"/>
            <w:tabs>
              <w:tab w:val="left" w:pos="880"/>
              <w:tab w:val="right" w:leader="dot" w:pos="9062"/>
            </w:tabs>
            <w:rPr>
              <w:rFonts w:eastAsiaTheme="minorEastAsia"/>
              <w:noProof/>
              <w:lang w:val="hr-HR" w:eastAsia="hr-HR"/>
            </w:rPr>
          </w:pPr>
          <w:hyperlink w:anchor="_Toc86303474" w:history="1">
            <w:r w:rsidR="00D917AF" w:rsidRPr="00292A92">
              <w:rPr>
                <w:rStyle w:val="Hyperlink"/>
                <w:noProof/>
                <w:lang w:val="hr-HR"/>
              </w:rPr>
              <w:t>4.1.</w:t>
            </w:r>
            <w:r w:rsidR="00D917AF">
              <w:rPr>
                <w:rFonts w:eastAsiaTheme="minorEastAsia"/>
                <w:noProof/>
                <w:lang w:val="hr-HR" w:eastAsia="hr-HR"/>
              </w:rPr>
              <w:tab/>
            </w:r>
            <w:r w:rsidR="00D917AF" w:rsidRPr="00292A92">
              <w:rPr>
                <w:rStyle w:val="Hyperlink"/>
                <w:noProof/>
                <w:lang w:val="hr-HR"/>
              </w:rPr>
              <w:t>Obrazloženje rashoda po ekonomskoj klasifikaciji</w:t>
            </w:r>
            <w:r w:rsidR="00D917AF">
              <w:rPr>
                <w:noProof/>
                <w:webHidden/>
              </w:rPr>
              <w:tab/>
            </w:r>
            <w:r w:rsidR="00D917AF">
              <w:rPr>
                <w:noProof/>
                <w:webHidden/>
              </w:rPr>
              <w:fldChar w:fldCharType="begin"/>
            </w:r>
            <w:r w:rsidR="00D917AF">
              <w:rPr>
                <w:noProof/>
                <w:webHidden/>
              </w:rPr>
              <w:instrText xml:space="preserve"> PAGEREF _Toc86303474 \h </w:instrText>
            </w:r>
            <w:r w:rsidR="00D917AF">
              <w:rPr>
                <w:noProof/>
                <w:webHidden/>
              </w:rPr>
            </w:r>
            <w:r w:rsidR="00D917AF">
              <w:rPr>
                <w:noProof/>
                <w:webHidden/>
              </w:rPr>
              <w:fldChar w:fldCharType="separate"/>
            </w:r>
            <w:r>
              <w:rPr>
                <w:noProof/>
                <w:webHidden/>
              </w:rPr>
              <w:t>19</w:t>
            </w:r>
            <w:r w:rsidR="00D917AF">
              <w:rPr>
                <w:noProof/>
                <w:webHidden/>
              </w:rPr>
              <w:fldChar w:fldCharType="end"/>
            </w:r>
          </w:hyperlink>
        </w:p>
        <w:p w:rsidR="00D917AF" w:rsidRDefault="002A3B08">
          <w:pPr>
            <w:pStyle w:val="TOC2"/>
            <w:tabs>
              <w:tab w:val="left" w:pos="880"/>
              <w:tab w:val="right" w:leader="dot" w:pos="9062"/>
            </w:tabs>
            <w:rPr>
              <w:rFonts w:eastAsiaTheme="minorEastAsia"/>
              <w:noProof/>
              <w:lang w:val="hr-HR" w:eastAsia="hr-HR"/>
            </w:rPr>
          </w:pPr>
          <w:hyperlink w:anchor="_Toc86303475" w:history="1">
            <w:r w:rsidR="00D917AF" w:rsidRPr="00292A92">
              <w:rPr>
                <w:rStyle w:val="Hyperlink"/>
                <w:noProof/>
                <w:lang w:val="hr-HR"/>
              </w:rPr>
              <w:t>4.2.</w:t>
            </w:r>
            <w:r w:rsidR="00D917AF">
              <w:rPr>
                <w:rFonts w:eastAsiaTheme="minorEastAsia"/>
                <w:noProof/>
                <w:lang w:val="hr-HR" w:eastAsia="hr-HR"/>
              </w:rPr>
              <w:tab/>
            </w:r>
            <w:r w:rsidR="00D917AF" w:rsidRPr="00292A92">
              <w:rPr>
                <w:rStyle w:val="Hyperlink"/>
                <w:noProof/>
                <w:lang w:val="hr-HR"/>
              </w:rPr>
              <w:t>Obrazloženje rashoda po funkcijskoj klasifikaciji</w:t>
            </w:r>
            <w:r w:rsidR="00D917AF">
              <w:rPr>
                <w:noProof/>
                <w:webHidden/>
              </w:rPr>
              <w:tab/>
            </w:r>
            <w:r w:rsidR="00D917AF">
              <w:rPr>
                <w:noProof/>
                <w:webHidden/>
              </w:rPr>
              <w:fldChar w:fldCharType="begin"/>
            </w:r>
            <w:r w:rsidR="00D917AF">
              <w:rPr>
                <w:noProof/>
                <w:webHidden/>
              </w:rPr>
              <w:instrText xml:space="preserve"> PAGEREF _Toc86303475 \h </w:instrText>
            </w:r>
            <w:r w:rsidR="00D917AF">
              <w:rPr>
                <w:noProof/>
                <w:webHidden/>
              </w:rPr>
            </w:r>
            <w:r w:rsidR="00D917AF">
              <w:rPr>
                <w:noProof/>
                <w:webHidden/>
              </w:rPr>
              <w:fldChar w:fldCharType="separate"/>
            </w:r>
            <w:r>
              <w:rPr>
                <w:noProof/>
                <w:webHidden/>
              </w:rPr>
              <w:t>22</w:t>
            </w:r>
            <w:r w:rsidR="00D917AF">
              <w:rPr>
                <w:noProof/>
                <w:webHidden/>
              </w:rPr>
              <w:fldChar w:fldCharType="end"/>
            </w:r>
          </w:hyperlink>
        </w:p>
        <w:p w:rsidR="00D917AF" w:rsidRDefault="002A3B08">
          <w:pPr>
            <w:pStyle w:val="TOC1"/>
            <w:rPr>
              <w:rFonts w:eastAsiaTheme="minorEastAsia"/>
              <w:noProof/>
              <w:lang w:val="hr-HR" w:eastAsia="hr-HR"/>
            </w:rPr>
          </w:pPr>
          <w:hyperlink w:anchor="_Toc86303476" w:history="1">
            <w:r w:rsidR="00D917AF" w:rsidRPr="00292A92">
              <w:rPr>
                <w:rStyle w:val="Hyperlink"/>
                <w:noProof/>
                <w:lang w:val="hr-HR"/>
              </w:rPr>
              <w:t>4.</w:t>
            </w:r>
            <w:r w:rsidR="00D917AF">
              <w:rPr>
                <w:rFonts w:eastAsiaTheme="minorEastAsia"/>
                <w:noProof/>
                <w:lang w:val="hr-HR" w:eastAsia="hr-HR"/>
              </w:rPr>
              <w:tab/>
            </w:r>
            <w:r w:rsidR="00D917AF" w:rsidRPr="00292A92">
              <w:rPr>
                <w:rStyle w:val="Hyperlink"/>
                <w:noProof/>
                <w:lang w:val="hr-HR"/>
              </w:rPr>
              <w:t>UKUPNI MANJAK/VIŠAK DRŽAVNOG PRORAČUNA</w:t>
            </w:r>
            <w:r w:rsidR="00D917AF">
              <w:rPr>
                <w:noProof/>
                <w:webHidden/>
              </w:rPr>
              <w:tab/>
            </w:r>
            <w:r w:rsidR="00D917AF">
              <w:rPr>
                <w:noProof/>
                <w:webHidden/>
              </w:rPr>
              <w:fldChar w:fldCharType="begin"/>
            </w:r>
            <w:r w:rsidR="00D917AF">
              <w:rPr>
                <w:noProof/>
                <w:webHidden/>
              </w:rPr>
              <w:instrText xml:space="preserve"> PAGEREF _Toc86303476 \h </w:instrText>
            </w:r>
            <w:r w:rsidR="00D917AF">
              <w:rPr>
                <w:noProof/>
                <w:webHidden/>
              </w:rPr>
            </w:r>
            <w:r w:rsidR="00D917AF">
              <w:rPr>
                <w:noProof/>
                <w:webHidden/>
              </w:rPr>
              <w:fldChar w:fldCharType="separate"/>
            </w:r>
            <w:r>
              <w:rPr>
                <w:noProof/>
                <w:webHidden/>
              </w:rPr>
              <w:t>23</w:t>
            </w:r>
            <w:r w:rsidR="00D917AF">
              <w:rPr>
                <w:noProof/>
                <w:webHidden/>
              </w:rPr>
              <w:fldChar w:fldCharType="end"/>
            </w:r>
          </w:hyperlink>
        </w:p>
        <w:p w:rsidR="00D917AF" w:rsidRDefault="002A3B08">
          <w:pPr>
            <w:pStyle w:val="TOC1"/>
            <w:rPr>
              <w:rFonts w:eastAsiaTheme="minorEastAsia"/>
              <w:noProof/>
              <w:lang w:val="hr-HR" w:eastAsia="hr-HR"/>
            </w:rPr>
          </w:pPr>
          <w:hyperlink w:anchor="_Toc86303477" w:history="1">
            <w:r w:rsidR="00D917AF" w:rsidRPr="00292A92">
              <w:rPr>
                <w:rStyle w:val="Hyperlink"/>
                <w:noProof/>
                <w:lang w:val="hr-HR"/>
              </w:rPr>
              <w:t>5.</w:t>
            </w:r>
            <w:r w:rsidR="00D917AF">
              <w:rPr>
                <w:rFonts w:eastAsiaTheme="minorEastAsia"/>
                <w:noProof/>
                <w:lang w:val="hr-HR" w:eastAsia="hr-HR"/>
              </w:rPr>
              <w:tab/>
            </w:r>
            <w:r w:rsidR="00D917AF" w:rsidRPr="00292A92">
              <w:rPr>
                <w:rStyle w:val="Hyperlink"/>
                <w:noProof/>
                <w:lang w:val="hr-HR"/>
              </w:rPr>
              <w:t>RAČUN FINANCIRANJA DRŽAVNOG PRORAČUNA</w:t>
            </w:r>
            <w:r w:rsidR="00D917AF">
              <w:rPr>
                <w:noProof/>
                <w:webHidden/>
              </w:rPr>
              <w:tab/>
            </w:r>
            <w:r w:rsidR="00D917AF">
              <w:rPr>
                <w:noProof/>
                <w:webHidden/>
              </w:rPr>
              <w:fldChar w:fldCharType="begin"/>
            </w:r>
            <w:r w:rsidR="00D917AF">
              <w:rPr>
                <w:noProof/>
                <w:webHidden/>
              </w:rPr>
              <w:instrText xml:space="preserve"> PAGEREF _Toc86303477 \h </w:instrText>
            </w:r>
            <w:r w:rsidR="00D917AF">
              <w:rPr>
                <w:noProof/>
                <w:webHidden/>
              </w:rPr>
            </w:r>
            <w:r w:rsidR="00D917AF">
              <w:rPr>
                <w:noProof/>
                <w:webHidden/>
              </w:rPr>
              <w:fldChar w:fldCharType="separate"/>
            </w:r>
            <w:r>
              <w:rPr>
                <w:noProof/>
                <w:webHidden/>
              </w:rPr>
              <w:t>24</w:t>
            </w:r>
            <w:r w:rsidR="00D917AF">
              <w:rPr>
                <w:noProof/>
                <w:webHidden/>
              </w:rPr>
              <w:fldChar w:fldCharType="end"/>
            </w:r>
          </w:hyperlink>
        </w:p>
        <w:p w:rsidR="00D917AF" w:rsidRDefault="002A3B08">
          <w:pPr>
            <w:pStyle w:val="TOC1"/>
            <w:rPr>
              <w:rFonts w:eastAsiaTheme="minorEastAsia"/>
              <w:noProof/>
              <w:lang w:val="hr-HR" w:eastAsia="hr-HR"/>
            </w:rPr>
          </w:pPr>
          <w:hyperlink w:anchor="_Toc86303478" w:history="1">
            <w:r w:rsidR="00D917AF" w:rsidRPr="00292A92">
              <w:rPr>
                <w:rStyle w:val="Hyperlink"/>
                <w:noProof/>
                <w:lang w:val="hr-HR"/>
              </w:rPr>
              <w:t>6.</w:t>
            </w:r>
            <w:r w:rsidR="00D917AF">
              <w:rPr>
                <w:rFonts w:eastAsiaTheme="minorEastAsia"/>
                <w:noProof/>
                <w:lang w:val="hr-HR" w:eastAsia="hr-HR"/>
              </w:rPr>
              <w:tab/>
            </w:r>
            <w:r w:rsidR="00D917AF" w:rsidRPr="00292A92">
              <w:rPr>
                <w:rStyle w:val="Hyperlink"/>
                <w:noProof/>
                <w:lang w:val="hr-HR"/>
              </w:rPr>
              <w:t>STANJE DOSPJELIH NEPODMIRENIH OBVEZA PRORAČUNSKIH KORISNIKA DRŽAVNOG PRORAČUNA</w:t>
            </w:r>
            <w:r w:rsidR="00D917AF">
              <w:rPr>
                <w:noProof/>
                <w:webHidden/>
              </w:rPr>
              <w:tab/>
            </w:r>
            <w:r w:rsidR="00D917AF">
              <w:rPr>
                <w:noProof/>
                <w:webHidden/>
              </w:rPr>
              <w:fldChar w:fldCharType="begin"/>
            </w:r>
            <w:r w:rsidR="00D917AF">
              <w:rPr>
                <w:noProof/>
                <w:webHidden/>
              </w:rPr>
              <w:instrText xml:space="preserve"> PAGEREF _Toc86303478 \h </w:instrText>
            </w:r>
            <w:r w:rsidR="00D917AF">
              <w:rPr>
                <w:noProof/>
                <w:webHidden/>
              </w:rPr>
            </w:r>
            <w:r w:rsidR="00D917AF">
              <w:rPr>
                <w:noProof/>
                <w:webHidden/>
              </w:rPr>
              <w:fldChar w:fldCharType="separate"/>
            </w:r>
            <w:r>
              <w:rPr>
                <w:noProof/>
                <w:webHidden/>
              </w:rPr>
              <w:t>25</w:t>
            </w:r>
            <w:r w:rsidR="00D917AF">
              <w:rPr>
                <w:noProof/>
                <w:webHidden/>
              </w:rPr>
              <w:fldChar w:fldCharType="end"/>
            </w:r>
          </w:hyperlink>
        </w:p>
        <w:p w:rsidR="00D917AF" w:rsidRDefault="002A3B08">
          <w:pPr>
            <w:pStyle w:val="TOC1"/>
            <w:rPr>
              <w:rFonts w:eastAsiaTheme="minorEastAsia"/>
              <w:noProof/>
              <w:lang w:val="hr-HR" w:eastAsia="hr-HR"/>
            </w:rPr>
          </w:pPr>
          <w:hyperlink w:anchor="_Toc86303479" w:history="1">
            <w:r w:rsidR="00D917AF" w:rsidRPr="00292A92">
              <w:rPr>
                <w:rStyle w:val="Hyperlink"/>
                <w:noProof/>
                <w:lang w:val="hr-HR"/>
              </w:rPr>
              <w:t>7.</w:t>
            </w:r>
            <w:r w:rsidR="00D917AF">
              <w:rPr>
                <w:rFonts w:eastAsiaTheme="minorEastAsia"/>
                <w:noProof/>
                <w:lang w:val="hr-HR" w:eastAsia="hr-HR"/>
              </w:rPr>
              <w:tab/>
            </w:r>
            <w:r w:rsidR="00D917AF" w:rsidRPr="00292A92">
              <w:rPr>
                <w:rStyle w:val="Hyperlink"/>
                <w:noProof/>
                <w:lang w:val="hr-HR"/>
              </w:rPr>
              <w:t>PROCJENA UKUPNOG MANJKA/VIŠKA OPĆE DRŽAVE</w:t>
            </w:r>
            <w:r w:rsidR="00D917AF">
              <w:rPr>
                <w:noProof/>
                <w:webHidden/>
              </w:rPr>
              <w:tab/>
            </w:r>
            <w:r w:rsidR="00D917AF">
              <w:rPr>
                <w:noProof/>
                <w:webHidden/>
              </w:rPr>
              <w:fldChar w:fldCharType="begin"/>
            </w:r>
            <w:r w:rsidR="00D917AF">
              <w:rPr>
                <w:noProof/>
                <w:webHidden/>
              </w:rPr>
              <w:instrText xml:space="preserve"> PAGEREF _Toc86303479 \h </w:instrText>
            </w:r>
            <w:r w:rsidR="00D917AF">
              <w:rPr>
                <w:noProof/>
                <w:webHidden/>
              </w:rPr>
            </w:r>
            <w:r w:rsidR="00D917AF">
              <w:rPr>
                <w:noProof/>
                <w:webHidden/>
              </w:rPr>
              <w:fldChar w:fldCharType="separate"/>
            </w:r>
            <w:r>
              <w:rPr>
                <w:noProof/>
                <w:webHidden/>
              </w:rPr>
              <w:t>27</w:t>
            </w:r>
            <w:r w:rsidR="00D917AF">
              <w:rPr>
                <w:noProof/>
                <w:webHidden/>
              </w:rPr>
              <w:fldChar w:fldCharType="end"/>
            </w:r>
          </w:hyperlink>
        </w:p>
        <w:p w:rsidR="00C93283" w:rsidRPr="00F70B2A" w:rsidRDefault="00C93283">
          <w:pPr>
            <w:rPr>
              <w:lang w:val="hr-HR"/>
            </w:rPr>
          </w:pPr>
          <w:r w:rsidRPr="00F70B2A">
            <w:rPr>
              <w:b/>
              <w:bCs/>
              <w:lang w:val="hr-HR"/>
            </w:rPr>
            <w:fldChar w:fldCharType="end"/>
          </w:r>
        </w:p>
      </w:sdtContent>
    </w:sdt>
    <w:p w:rsidR="00695821" w:rsidRPr="00F70B2A" w:rsidRDefault="00695821" w:rsidP="00695821">
      <w:pPr>
        <w:rPr>
          <w:lang w:val="hr-HR"/>
        </w:rPr>
      </w:pPr>
    </w:p>
    <w:p w:rsidR="00680042" w:rsidRPr="00F70B2A" w:rsidRDefault="00680042" w:rsidP="00695821">
      <w:pPr>
        <w:rPr>
          <w:lang w:val="hr-HR"/>
        </w:rPr>
      </w:pPr>
    </w:p>
    <w:p w:rsidR="00695821" w:rsidRPr="00F70B2A" w:rsidRDefault="00695821" w:rsidP="00695821">
      <w:pPr>
        <w:rPr>
          <w:lang w:val="hr-HR"/>
        </w:rPr>
      </w:pPr>
      <w:r w:rsidRPr="00F70B2A">
        <w:rPr>
          <w:lang w:val="hr-HR"/>
        </w:rPr>
        <w:br w:type="page"/>
      </w:r>
    </w:p>
    <w:p w:rsidR="00695821" w:rsidRPr="00F70B2A" w:rsidRDefault="00695821" w:rsidP="00695821">
      <w:pPr>
        <w:pStyle w:val="Heading1"/>
        <w:numPr>
          <w:ilvl w:val="0"/>
          <w:numId w:val="2"/>
        </w:numPr>
        <w:rPr>
          <w:lang w:val="hr-HR"/>
        </w:rPr>
      </w:pPr>
      <w:bookmarkStart w:id="1" w:name="_Toc86303470"/>
      <w:r w:rsidRPr="00F70B2A">
        <w:rPr>
          <w:lang w:val="hr-HR"/>
        </w:rPr>
        <w:lastRenderedPageBreak/>
        <w:t>UVOD</w:t>
      </w:r>
      <w:bookmarkEnd w:id="1"/>
    </w:p>
    <w:p w:rsidR="00EE258E" w:rsidRPr="00EE258E" w:rsidRDefault="00EE258E" w:rsidP="00EE258E">
      <w:pPr>
        <w:spacing w:before="240"/>
        <w:jc w:val="both"/>
        <w:rPr>
          <w:lang w:val="hr-HR"/>
        </w:rPr>
      </w:pPr>
      <w:r w:rsidRPr="009F444C">
        <w:rPr>
          <w:lang w:val="hr-HR"/>
        </w:rPr>
        <w:t xml:space="preserve">Nakon snažnog </w:t>
      </w:r>
      <w:r w:rsidR="009F444C" w:rsidRPr="009F444C">
        <w:rPr>
          <w:lang w:val="hr-HR"/>
        </w:rPr>
        <w:t>pada</w:t>
      </w:r>
      <w:r w:rsidRPr="009F444C">
        <w:rPr>
          <w:lang w:val="hr-HR"/>
        </w:rPr>
        <w:t xml:space="preserve"> BDP-a u 202</w:t>
      </w:r>
      <w:r w:rsidR="009F444C" w:rsidRPr="009F444C">
        <w:rPr>
          <w:lang w:val="hr-HR"/>
        </w:rPr>
        <w:t>0</w:t>
      </w:r>
      <w:r w:rsidRPr="009F444C">
        <w:rPr>
          <w:lang w:val="hr-HR"/>
        </w:rPr>
        <w:t xml:space="preserve">. godini od </w:t>
      </w:r>
      <w:r w:rsidR="009F444C" w:rsidRPr="009F444C">
        <w:rPr>
          <w:lang w:val="hr-HR"/>
        </w:rPr>
        <w:t>8</w:t>
      </w:r>
      <w:r w:rsidRPr="009F444C">
        <w:rPr>
          <w:lang w:val="hr-HR"/>
        </w:rPr>
        <w:t>,</w:t>
      </w:r>
      <w:r w:rsidR="009F444C" w:rsidRPr="009F444C">
        <w:rPr>
          <w:lang w:val="hr-HR"/>
        </w:rPr>
        <w:t>1</w:t>
      </w:r>
      <w:r w:rsidRPr="009F444C">
        <w:rPr>
          <w:lang w:val="hr-HR"/>
        </w:rPr>
        <w:t xml:space="preserve">%, u srednjoročnom razdoblju u domaćem gospodarstvu predviđa se </w:t>
      </w:r>
      <w:r w:rsidR="009F444C" w:rsidRPr="009F444C">
        <w:rPr>
          <w:lang w:val="hr-HR"/>
        </w:rPr>
        <w:t>snažan</w:t>
      </w:r>
      <w:r w:rsidRPr="009F444C">
        <w:rPr>
          <w:lang w:val="hr-HR"/>
        </w:rPr>
        <w:t xml:space="preserve"> oporavak ekonomske aktivnosti. U 2021. očekuje se realni rast BDP-a od </w:t>
      </w:r>
      <w:r w:rsidR="009F444C" w:rsidRPr="009F444C">
        <w:rPr>
          <w:lang w:val="hr-HR"/>
        </w:rPr>
        <w:t>9</w:t>
      </w:r>
      <w:r w:rsidRPr="009F444C">
        <w:rPr>
          <w:lang w:val="hr-HR"/>
        </w:rPr>
        <w:t xml:space="preserve">,0%, kojega će </w:t>
      </w:r>
      <w:r w:rsidRPr="004A6E60">
        <w:rPr>
          <w:lang w:val="hr-HR"/>
        </w:rPr>
        <w:t xml:space="preserve">pratiti rast od </w:t>
      </w:r>
      <w:r w:rsidR="009F444C" w:rsidRPr="004A6E60">
        <w:rPr>
          <w:lang w:val="hr-HR"/>
        </w:rPr>
        <w:t>4</w:t>
      </w:r>
      <w:r w:rsidRPr="004A6E60">
        <w:rPr>
          <w:lang w:val="hr-HR"/>
        </w:rPr>
        <w:t>,4% u 2022.</w:t>
      </w:r>
      <w:r w:rsidR="009F444C" w:rsidRPr="004A6E60">
        <w:rPr>
          <w:lang w:val="hr-HR"/>
        </w:rPr>
        <w:t>, 3,7% u 2023.</w:t>
      </w:r>
      <w:r w:rsidRPr="004A6E60">
        <w:rPr>
          <w:lang w:val="hr-HR"/>
        </w:rPr>
        <w:t xml:space="preserve"> te 3,1% u 202</w:t>
      </w:r>
      <w:r w:rsidR="009F444C" w:rsidRPr="004A6E60">
        <w:rPr>
          <w:lang w:val="hr-HR"/>
        </w:rPr>
        <w:t>4</w:t>
      </w:r>
      <w:r w:rsidRPr="004A6E60">
        <w:rPr>
          <w:lang w:val="hr-HR"/>
        </w:rPr>
        <w:t xml:space="preserve">. godini. </w:t>
      </w:r>
      <w:r w:rsidR="009F444C" w:rsidRPr="004A6E60">
        <w:rPr>
          <w:lang w:val="hr-HR"/>
        </w:rPr>
        <w:t xml:space="preserve">Ovakva dinamika BDP-a uključuje i znatne pozitivne učinke NPOO-a. Rast BDP-a od 2022. do 2024. će se temeljiti na doprinosu domaće potražnje. </w:t>
      </w:r>
      <w:r w:rsidR="004A6E60" w:rsidRPr="004A6E60">
        <w:rPr>
          <w:lang w:val="hr-HR"/>
        </w:rPr>
        <w:t>U 2021. godini očekuje se</w:t>
      </w:r>
      <w:r w:rsidRPr="004A6E60">
        <w:rPr>
          <w:lang w:val="hr-HR"/>
        </w:rPr>
        <w:t xml:space="preserve"> </w:t>
      </w:r>
      <w:r w:rsidR="004A6E60" w:rsidRPr="004A6E60">
        <w:rPr>
          <w:lang w:val="hr-HR"/>
        </w:rPr>
        <w:t xml:space="preserve">stopa </w:t>
      </w:r>
      <w:r w:rsidRPr="004A6E60">
        <w:rPr>
          <w:lang w:val="hr-HR"/>
        </w:rPr>
        <w:t>inflacij</w:t>
      </w:r>
      <w:r w:rsidR="004A6E60" w:rsidRPr="004A6E60">
        <w:rPr>
          <w:lang w:val="hr-HR"/>
        </w:rPr>
        <w:t>e potrošačkih cijena od</w:t>
      </w:r>
      <w:r w:rsidRPr="004A6E60">
        <w:rPr>
          <w:lang w:val="hr-HR"/>
        </w:rPr>
        <w:t xml:space="preserve"> </w:t>
      </w:r>
      <w:r w:rsidR="009F444C" w:rsidRPr="004A6E60">
        <w:rPr>
          <w:lang w:val="hr-HR"/>
        </w:rPr>
        <w:t>2</w:t>
      </w:r>
      <w:r w:rsidRPr="004A6E60">
        <w:rPr>
          <w:lang w:val="hr-HR"/>
        </w:rPr>
        <w:t>,</w:t>
      </w:r>
      <w:r w:rsidR="009F444C" w:rsidRPr="004A6E60">
        <w:rPr>
          <w:lang w:val="hr-HR"/>
        </w:rPr>
        <w:t>4</w:t>
      </w:r>
      <w:r w:rsidRPr="004A6E60">
        <w:rPr>
          <w:lang w:val="hr-HR"/>
        </w:rPr>
        <w:t xml:space="preserve">%, </w:t>
      </w:r>
      <w:r w:rsidR="009F444C" w:rsidRPr="004A6E60">
        <w:rPr>
          <w:lang w:val="hr-HR"/>
        </w:rPr>
        <w:t xml:space="preserve">koja će </w:t>
      </w:r>
      <w:r w:rsidR="004A6E60">
        <w:rPr>
          <w:lang w:val="hr-HR"/>
        </w:rPr>
        <w:t xml:space="preserve">potom </w:t>
      </w:r>
      <w:r w:rsidR="009F444C" w:rsidRPr="004A6E60">
        <w:rPr>
          <w:lang w:val="hr-HR"/>
        </w:rPr>
        <w:t>blago ubrzati na 2,6% u 2022. godini</w:t>
      </w:r>
      <w:r w:rsidR="004A6E60" w:rsidRPr="004A6E60">
        <w:rPr>
          <w:lang w:val="hr-HR"/>
        </w:rPr>
        <w:t xml:space="preserve">, da bi </w:t>
      </w:r>
      <w:r w:rsidRPr="004A6E60">
        <w:rPr>
          <w:lang w:val="hr-HR"/>
        </w:rPr>
        <w:t>u ostatku projekcijskog razdoblja inflacija</w:t>
      </w:r>
      <w:r w:rsidR="004A6E60" w:rsidRPr="004A6E60">
        <w:rPr>
          <w:lang w:val="hr-HR"/>
        </w:rPr>
        <w:t xml:space="preserve"> usporila na prosječnu razinu od 2,2%</w:t>
      </w:r>
      <w:r w:rsidRPr="004A6E60">
        <w:rPr>
          <w:lang w:val="hr-HR"/>
        </w:rPr>
        <w:t>. U iduće tri godine očekuje se oporavak zaposlenosti po stopi od</w:t>
      </w:r>
      <w:r w:rsidR="004A6E60" w:rsidRPr="004A6E60">
        <w:rPr>
          <w:lang w:val="hr-HR"/>
        </w:rPr>
        <w:t xml:space="preserve"> 1</w:t>
      </w:r>
      <w:r w:rsidRPr="004A6E60">
        <w:rPr>
          <w:lang w:val="hr-HR"/>
        </w:rPr>
        <w:t>,7% u 202</w:t>
      </w:r>
      <w:r w:rsidR="004A6E60" w:rsidRPr="004A6E60">
        <w:rPr>
          <w:lang w:val="hr-HR"/>
        </w:rPr>
        <w:t>2</w:t>
      </w:r>
      <w:r w:rsidRPr="004A6E60">
        <w:rPr>
          <w:lang w:val="hr-HR"/>
        </w:rPr>
        <w:t>. te nešto snažniji rast zaposlenosti od 1,4%</w:t>
      </w:r>
      <w:r w:rsidR="004A6E60" w:rsidRPr="004A6E60">
        <w:rPr>
          <w:lang w:val="hr-HR"/>
        </w:rPr>
        <w:t xml:space="preserve"> i 1,3%</w:t>
      </w:r>
      <w:r w:rsidRPr="004A6E60">
        <w:rPr>
          <w:lang w:val="hr-HR"/>
        </w:rPr>
        <w:t xml:space="preserve"> u 202</w:t>
      </w:r>
      <w:r w:rsidR="004A6E60" w:rsidRPr="004A6E60">
        <w:rPr>
          <w:lang w:val="hr-HR"/>
        </w:rPr>
        <w:t>3</w:t>
      </w:r>
      <w:r w:rsidRPr="004A6E60">
        <w:rPr>
          <w:lang w:val="hr-HR"/>
        </w:rPr>
        <w:t>. i 202</w:t>
      </w:r>
      <w:r w:rsidR="004A6E60" w:rsidRPr="004A6E60">
        <w:rPr>
          <w:lang w:val="hr-HR"/>
        </w:rPr>
        <w:t>4</w:t>
      </w:r>
      <w:r w:rsidRPr="004A6E60">
        <w:rPr>
          <w:lang w:val="hr-HR"/>
        </w:rPr>
        <w:t>.</w:t>
      </w:r>
      <w:r w:rsidRPr="00EE258E">
        <w:rPr>
          <w:lang w:val="hr-HR"/>
        </w:rPr>
        <w:t xml:space="preserve"> </w:t>
      </w:r>
    </w:p>
    <w:p w:rsidR="00EE258E" w:rsidRDefault="00EE258E" w:rsidP="00EE258E">
      <w:pPr>
        <w:spacing w:before="240"/>
        <w:jc w:val="both"/>
        <w:rPr>
          <w:lang w:val="hr-HR"/>
        </w:rPr>
      </w:pPr>
      <w:r w:rsidRPr="00EE258E">
        <w:rPr>
          <w:lang w:val="hr-HR"/>
        </w:rPr>
        <w:t>Kretanja prihoda državnog proračuna u razdoblju 2022. – 2024. određena su očekivanim oporavkom i daljnjim rastom gospodarske aktivnosti, te cjelogodišnjim učinkom poreznih reformi provedenih tijekom 2021. Naime, od 1. siječnja 2021. stopa poreza na dobit za sve poduzetnike koji imaju promet do 7,5 milijuna kuna smanjila se s 12% na 10%, dok su u sustavu poreza na dohodak snižene stope poreza na dohodak s 36% na 30% te s 24% na 20%. Kod poreza na dodanu vrijednost ukinuto je oslobođenje od plaćanja PDV-a pri uvoz</w:t>
      </w:r>
      <w:r>
        <w:rPr>
          <w:lang w:val="hr-HR"/>
        </w:rPr>
        <w:t xml:space="preserve">u dobara male vrijednosti. </w:t>
      </w:r>
      <w:r w:rsidRPr="00EE258E">
        <w:rPr>
          <w:lang w:val="hr-HR"/>
        </w:rPr>
        <w:t>Osim toga, značajan učinak na prihode proračuna imat će i povlačenje sredstva iz EU fondova. Naime, s jedne strane očekuje se ubrzanje povlačenja ugovorenih sredstava iz tekućeg Višegodišnjeg financijskog okvira 2014.- 2020., a s druge strane, predviđaju se i nova sredstva iz Višegodišnjeg financijskog okvira 2021. – 2027. U fiskalne projekcije uključeno je i korištenje sredstava iz novog instrumenta EU Nove generacije</w:t>
      </w:r>
      <w:r>
        <w:rPr>
          <w:lang w:val="hr-HR"/>
        </w:rPr>
        <w:t xml:space="preserve"> koja će se usmjeriti na financiranje razvojnih, strateških i reformskih projekata iz </w:t>
      </w:r>
      <w:r w:rsidR="00BD69DE">
        <w:rPr>
          <w:lang w:val="hr-HR"/>
        </w:rPr>
        <w:t>Nacionalnog p</w:t>
      </w:r>
      <w:r>
        <w:rPr>
          <w:lang w:val="hr-HR"/>
        </w:rPr>
        <w:t>lana oporavka i otpornosti.</w:t>
      </w:r>
      <w:r w:rsidRPr="00EE258E">
        <w:rPr>
          <w:lang w:val="hr-HR"/>
        </w:rPr>
        <w:t xml:space="preserve"> Uz navedeno, u proračunu su projicirana i sredstva iz Fonda solidarnosti EU za financiranje dijela obnove javne infrastrukture, ponajprije obrazovne, zdravstvene i kulturne oštećene u razornim potresima.</w:t>
      </w:r>
    </w:p>
    <w:p w:rsidR="00AE54C5" w:rsidRPr="00747B62" w:rsidRDefault="00EE258E" w:rsidP="00EE258E">
      <w:pPr>
        <w:spacing w:before="240"/>
        <w:jc w:val="both"/>
        <w:rPr>
          <w:lang w:val="hr-HR"/>
        </w:rPr>
      </w:pPr>
      <w:r w:rsidRPr="00747B62">
        <w:rPr>
          <w:lang w:val="hr-HR"/>
        </w:rPr>
        <w:t>Rashodna strana proračuna usmjerena je na provođenje aktivnosti u svrhu oporavka i jačanja konkurentnosti i otpornosti gospodarstva, uz osiguravanje primjerene zaštite svih slojeva stanovništva. Za sanaciju šteta uzrokov</w:t>
      </w:r>
      <w:r w:rsidR="00851F78" w:rsidRPr="00747B62">
        <w:rPr>
          <w:lang w:val="hr-HR"/>
        </w:rPr>
        <w:t xml:space="preserve">anih potresom </w:t>
      </w:r>
      <w:r w:rsidRPr="00747B62">
        <w:rPr>
          <w:lang w:val="hr-HR"/>
        </w:rPr>
        <w:t>predviđena su značajna sredstva, kako iz nacionalnih izvora financiranja,</w:t>
      </w:r>
      <w:r w:rsidR="004E07B4" w:rsidRPr="00747B62">
        <w:rPr>
          <w:lang w:val="hr-HR"/>
        </w:rPr>
        <w:t xml:space="preserve"> tako i iz Europskih fondova</w:t>
      </w:r>
      <w:r w:rsidRPr="00747B62">
        <w:rPr>
          <w:lang w:val="hr-HR"/>
        </w:rPr>
        <w:t xml:space="preserve">. Vodeći računa o fiskalnoj stabilnosti, ali i osiguranju odgovarajućeg životnog standarda za građane RH, osigurana su dodatna sredstva za </w:t>
      </w:r>
      <w:r w:rsidR="004E07B4" w:rsidRPr="00747B62">
        <w:rPr>
          <w:lang w:val="hr-HR"/>
        </w:rPr>
        <w:t xml:space="preserve">povećanje </w:t>
      </w:r>
      <w:r w:rsidRPr="00747B62">
        <w:rPr>
          <w:lang w:val="hr-HR"/>
        </w:rPr>
        <w:t>socijalnih naknada</w:t>
      </w:r>
      <w:r w:rsidR="004E07B4" w:rsidRPr="00747B62">
        <w:rPr>
          <w:lang w:val="hr-HR"/>
        </w:rPr>
        <w:t xml:space="preserve"> uslijed primjene novog Zakona o socijalnoj skrbi i  Zakona o izmjenama i dopunama Zakona o udomiteljstvu. Isto tako uzevši u obzir ozbiljnost demografskih problema osiguravaju se i dodatna sredstva za provedbu izmjena Zakona o rodiljnim i roditeljskim potporama</w:t>
      </w:r>
      <w:r w:rsidR="00AE54C5" w:rsidRPr="00747B62">
        <w:rPr>
          <w:lang w:val="hr-HR"/>
        </w:rPr>
        <w:t xml:space="preserve"> kojima će se osigurati povećana naknada za vrijeme trajanja roditeljskog dopusta. </w:t>
      </w:r>
      <w:r w:rsidRPr="00747B62">
        <w:rPr>
          <w:lang w:val="hr-HR"/>
        </w:rPr>
        <w:t>Također, s ciljem osiguravanja fiskalne održivosti lokalnih jedinica, na r</w:t>
      </w:r>
      <w:r w:rsidR="00AE54C5" w:rsidRPr="00747B62">
        <w:rPr>
          <w:lang w:val="hr-HR"/>
        </w:rPr>
        <w:t>ashodnoj strani predviđena su sredstva za poticanje dobrovoljnog stvarnog i funkcionalnog spajanja jedinica lokalne samouprave. Ujedno u svrhu daljnjeg učvršćivanja međunarodnog položaja Republike Hrvatske</w:t>
      </w:r>
      <w:r w:rsidR="00851F78" w:rsidRPr="00747B62">
        <w:rPr>
          <w:lang w:val="hr-HR"/>
        </w:rPr>
        <w:t>,</w:t>
      </w:r>
      <w:r w:rsidR="00AE54C5" w:rsidRPr="00747B62">
        <w:rPr>
          <w:lang w:val="hr-HR"/>
        </w:rPr>
        <w:t xml:space="preserve"> kao saveznika u okviru NATO-a i partnera unutar Europske unije, zaštite zračnog prostora te uvećanja ukupne borbene sposobnost Hrvatske vojske</w:t>
      </w:r>
      <w:r w:rsidR="00372BCF" w:rsidRPr="00747B62">
        <w:rPr>
          <w:lang w:val="hr-HR"/>
        </w:rPr>
        <w:t xml:space="preserve"> osigurana su sredstva za nabavu višenamjenskih borbenih aviona.</w:t>
      </w:r>
    </w:p>
    <w:p w:rsidR="00EE258E" w:rsidRPr="00761075" w:rsidRDefault="00EE258E" w:rsidP="00EE258E">
      <w:pPr>
        <w:spacing w:before="240"/>
        <w:jc w:val="both"/>
        <w:rPr>
          <w:lang w:val="hr-HR"/>
        </w:rPr>
      </w:pPr>
      <w:r>
        <w:rPr>
          <w:lang w:val="hr-HR"/>
        </w:rPr>
        <w:t>U</w:t>
      </w:r>
      <w:r w:rsidRPr="00761075">
        <w:rPr>
          <w:lang w:val="hr-HR"/>
        </w:rPr>
        <w:t xml:space="preserve">sprkos zahtjevnim financijskim okolnostima, u nadolazećem razdoblju nastavit će se s odgovornim upravljanjem javnim financijama radi smanjenja makroekonomskih neravnoteža, što je preduvjet za zdravi i održivi gospodarski oporavak i rast Hrvatske, kao i za uvođenje eura koji će također pridonijeti otpornosti hrvatskog gospodarstva. Na tom će putu Nacionalni plan oporavka i otpornosti osigurati nove razvojne iskorake, pomoći će oporavku od zdravstvenih, društvenih i ekonomskih posljedica </w:t>
      </w:r>
      <w:r w:rsidRPr="00761075">
        <w:rPr>
          <w:lang w:val="hr-HR"/>
        </w:rPr>
        <w:lastRenderedPageBreak/>
        <w:t>pandemije, a pridonijet će obnovi Zagreba i okolice te Banovine. Prema Planu provest će se i već započete reforme koje će dodatno pridonijeti jačanju konkurentnosti Hrvatske na europskoj i globalnoj razini. Tu je riječ prije svega o reformama i investicijama u nove tehnologije povezanim sa zelenom i digitalnom tranzicijom, zapošljavanjem, razvojem vještina, obrazovanjem, istraživanjem i inovacijama, poboljšanjem poslovnog okruženja, učinkovitosti javne uprave, pravosuđa, zdravstvenog sustava i ostalo.</w:t>
      </w:r>
    </w:p>
    <w:p w:rsidR="00EE258E" w:rsidRPr="00761075" w:rsidRDefault="00EE258E" w:rsidP="00EE258E">
      <w:pPr>
        <w:spacing w:before="240"/>
        <w:jc w:val="both"/>
        <w:rPr>
          <w:lang w:val="hr-HR"/>
        </w:rPr>
      </w:pPr>
      <w:r w:rsidRPr="00761075">
        <w:rPr>
          <w:lang w:val="hr-HR"/>
        </w:rPr>
        <w:t>Konkretno, glavne komponente usmjerene na zelenu tranziciju sastoje se od ulaganja u obnovu zgrada, obnovljive izvore energije i energetsku učinkovitost, vodno gospodarstvo i gospodarenje otpadom te održivu i inovativnu mobilnost. Potpore će obuhvatiti i poduzeća u njihovoj zelenoj tranziciji, dok pojedinačne mjere u drugim komponentama dodatno doprinose postizanju ciljeva zelene tranzicije.</w:t>
      </w:r>
    </w:p>
    <w:p w:rsidR="00EE258E" w:rsidRDefault="00EE258E" w:rsidP="00EE258E">
      <w:pPr>
        <w:spacing w:before="240"/>
        <w:jc w:val="both"/>
        <w:rPr>
          <w:lang w:val="hr-HR"/>
        </w:rPr>
      </w:pPr>
      <w:r w:rsidRPr="00761075">
        <w:rPr>
          <w:lang w:val="hr-HR"/>
        </w:rPr>
        <w:t>Kad je riječ o digitalnim ulaganjima, i tu se planira ostvariti značajan iskorak. Planom su predviđena ulaganja u bolju širokopojasnu pristupnu infrastrukturu (usmjerenu u ruralna i suburbana područja), kao i za pristup brzom internetu za građane i poslovni sektor. Nadalje, kako bi se komunikacija između građana i poduzetnika s jedne strane te države s druge učinila efikasnijom, ali i osiguralo nesmetano pružanje usluga u nepredvidivim situacijama poput pandemije COVID-19, značajni će se napori uložiti u digitalizaciju javnih usluga. Stoga će se digitalna ulaganja velikim dijelom usmjeriti u javni sektor odnosno državnu upravu, obrazovanje, zdravstvo i pravosuđe.</w:t>
      </w:r>
    </w:p>
    <w:p w:rsidR="00BD69DE" w:rsidRDefault="00EE258E" w:rsidP="00BD69DE">
      <w:pPr>
        <w:jc w:val="both"/>
        <w:rPr>
          <w:lang w:val="hr-HR"/>
        </w:rPr>
      </w:pPr>
      <w:r w:rsidRPr="00EE258E">
        <w:rPr>
          <w:lang w:val="hr-HR"/>
        </w:rPr>
        <w:t>Opisani smjer fiskalnih kretanja kako na prihodnoj tako i na rashodnoj strani proračuna rezultirat će manjkom općeg proračuna prema metodologiji ESA 2010 u iznosu od 2,</w:t>
      </w:r>
      <w:r w:rsidR="00BD69DE">
        <w:rPr>
          <w:lang w:val="hr-HR"/>
        </w:rPr>
        <w:t>6% BDP-a u 2022. godini. U 2023</w:t>
      </w:r>
      <w:r w:rsidRPr="00EE258E">
        <w:rPr>
          <w:lang w:val="hr-HR"/>
        </w:rPr>
        <w:t>. p</w:t>
      </w:r>
      <w:r w:rsidR="00BD69DE">
        <w:rPr>
          <w:lang w:val="hr-HR"/>
        </w:rPr>
        <w:t>onovno se predviđa manjak od 2,4</w:t>
      </w:r>
      <w:r w:rsidRPr="00EE258E">
        <w:rPr>
          <w:lang w:val="hr-HR"/>
        </w:rPr>
        <w:t>% BDP-a, dok će manjak u 202</w:t>
      </w:r>
      <w:r w:rsidR="00BD69DE">
        <w:rPr>
          <w:lang w:val="hr-HR"/>
        </w:rPr>
        <w:t>4. iznositi 1,9</w:t>
      </w:r>
      <w:r w:rsidRPr="00EE258E">
        <w:rPr>
          <w:lang w:val="hr-HR"/>
        </w:rPr>
        <w:t xml:space="preserve">% BDP-a. </w:t>
      </w:r>
      <w:r w:rsidR="00BD69DE" w:rsidRPr="00CC6DE1">
        <w:rPr>
          <w:lang w:val="hr-HR"/>
        </w:rPr>
        <w:t xml:space="preserve">Planira se i daljnje smanjenje udjela javnog duga u BDP-u i to za prosječno </w:t>
      </w:r>
      <w:r w:rsidR="00BD69DE">
        <w:rPr>
          <w:lang w:val="hr-HR"/>
        </w:rPr>
        <w:t>2,6</w:t>
      </w:r>
      <w:r w:rsidR="00BD69DE" w:rsidRPr="00CC6DE1">
        <w:rPr>
          <w:lang w:val="hr-HR"/>
        </w:rPr>
        <w:t xml:space="preserve"> postotna boda </w:t>
      </w:r>
      <w:r w:rsidR="00BD69DE">
        <w:rPr>
          <w:lang w:val="hr-HR"/>
        </w:rPr>
        <w:t xml:space="preserve">te će iznositi 80,7% u 2022., 78,0% u 2023., dok će u 2024. godini udio javnog duga u BDP-u iznositi </w:t>
      </w:r>
      <w:r w:rsidR="0003434E">
        <w:rPr>
          <w:lang w:val="hr-HR"/>
        </w:rPr>
        <w:t>75,3</w:t>
      </w:r>
      <w:r w:rsidR="00BD69DE">
        <w:rPr>
          <w:lang w:val="hr-HR"/>
        </w:rPr>
        <w:t xml:space="preserve">%. </w:t>
      </w:r>
    </w:p>
    <w:p w:rsidR="00EE258E" w:rsidRDefault="00EE258E" w:rsidP="00EE258E">
      <w:pPr>
        <w:spacing w:before="240"/>
        <w:jc w:val="both"/>
        <w:rPr>
          <w:lang w:val="hr-HR"/>
        </w:rPr>
      </w:pPr>
    </w:p>
    <w:p w:rsidR="00D27552" w:rsidRPr="00F70B2A" w:rsidRDefault="00D27552" w:rsidP="005B307D">
      <w:pPr>
        <w:spacing w:before="240"/>
        <w:jc w:val="both"/>
        <w:rPr>
          <w:lang w:val="hr-HR"/>
        </w:rPr>
      </w:pPr>
      <w:r w:rsidRPr="00F70B2A">
        <w:rPr>
          <w:lang w:val="hr-HR"/>
        </w:rPr>
        <w:br w:type="page"/>
      </w:r>
    </w:p>
    <w:p w:rsidR="00695821" w:rsidRPr="00F70B2A" w:rsidRDefault="00695821" w:rsidP="00695821">
      <w:pPr>
        <w:pStyle w:val="Heading1"/>
        <w:numPr>
          <w:ilvl w:val="0"/>
          <w:numId w:val="2"/>
        </w:numPr>
        <w:rPr>
          <w:lang w:val="hr-HR"/>
        </w:rPr>
      </w:pPr>
      <w:bookmarkStart w:id="2" w:name="_Toc86303471"/>
      <w:r w:rsidRPr="00F70B2A">
        <w:rPr>
          <w:lang w:val="hr-HR"/>
        </w:rPr>
        <w:lastRenderedPageBreak/>
        <w:t>MAKROEKONOMSKI OKVIR</w:t>
      </w:r>
      <w:bookmarkEnd w:id="2"/>
    </w:p>
    <w:p w:rsidR="00F048AB" w:rsidRDefault="00F048AB" w:rsidP="00695821">
      <w:pPr>
        <w:rPr>
          <w:lang w:val="hr-HR"/>
        </w:rPr>
      </w:pPr>
    </w:p>
    <w:p w:rsidR="009F444C" w:rsidRPr="00205CB0" w:rsidRDefault="009F444C" w:rsidP="009F444C">
      <w:pPr>
        <w:spacing w:afterLines="120" w:after="288"/>
        <w:jc w:val="both"/>
        <w:rPr>
          <w:rFonts w:cstheme="minorHAnsi"/>
          <w:lang w:val="hr-HR"/>
        </w:rPr>
      </w:pPr>
      <w:bookmarkStart w:id="3" w:name="_Toc520963978"/>
      <w:r w:rsidRPr="00205CB0">
        <w:rPr>
          <w:rFonts w:cstheme="minorHAnsi"/>
          <w:lang w:val="hr-HR"/>
        </w:rPr>
        <w:t>Vanjske pretpostavke za izradu makroekonomskih projekcija preuzete su iz projekcija Međunarodnog monetarnog fonda</w:t>
      </w:r>
      <w:r w:rsidRPr="00205CB0">
        <w:rPr>
          <w:rStyle w:val="FootnoteReference"/>
          <w:rFonts w:cstheme="minorHAnsi"/>
          <w:lang w:val="hr-HR"/>
        </w:rPr>
        <w:footnoteReference w:id="1"/>
      </w:r>
      <w:r w:rsidRPr="00205CB0">
        <w:rPr>
          <w:rFonts w:cstheme="minorHAnsi"/>
          <w:lang w:val="hr-HR"/>
        </w:rPr>
        <w:t xml:space="preserve"> (dalje u tekstu: MMF) i Economist Intelligence Unit</w:t>
      </w:r>
      <w:r w:rsidRPr="00205CB0">
        <w:rPr>
          <w:rStyle w:val="FootnoteReference"/>
          <w:rFonts w:cstheme="minorHAnsi"/>
          <w:lang w:val="hr-HR"/>
        </w:rPr>
        <w:footnoteReference w:id="2"/>
      </w:r>
      <w:r w:rsidRPr="00205CB0">
        <w:rPr>
          <w:rFonts w:cstheme="minorHAnsi"/>
          <w:lang w:val="hr-HR"/>
        </w:rPr>
        <w:t xml:space="preserve"> (dalje u tekstu: EIU). Prema najnovijim projekcijama MMF-a, nakon realnog pada svjetskog gospodarstva od 3,1% u 2020. godini, u narednom razdoblju očekuje se oporavak na globalnoj razini, iako će on i dalje biti ograničen pandemijom koronavirusa. U odnosu na projekcije MMF-a iz travnja ove godine, projicirani rast svjetskog gospodarstva za 2021. je neznatno korigiran na niže (za 0,1 postotni bod) te iznosi 5,9%, dok se u 2022. godini očekuje snažniji rast svjetskog gospodarstva od ranije projiciranog (za 0,5 postotnih bodova) te će on iznositi 4,9%, da bi potom usporio na 3,6% u 2023. te 3,4% u 2024. godini. Nadalje, očekuje se snažniji rast ekonomske aktivnosti u gospodarstvu eurozone od onog projiciranog u travnju. Tako se nakon snažnog pada gospodarstva eurozone od 6,3% u 2020., očekuje rast od 5,0% u 2021., koji će usporiti na 4,3% u 2022., 2,0% u 2023. te 1,6% u 2024. godini. Nakon snažnog pada od 8,2% u 2020. godini, u 2021. se očekuje snažan oporavak svjetske trgovine </w:t>
      </w:r>
      <w:r>
        <w:rPr>
          <w:rFonts w:cstheme="minorHAnsi"/>
          <w:lang w:val="hr-HR"/>
        </w:rPr>
        <w:t xml:space="preserve">po stopi </w:t>
      </w:r>
      <w:r w:rsidRPr="00205CB0">
        <w:rPr>
          <w:rFonts w:cstheme="minorHAnsi"/>
          <w:lang w:val="hr-HR"/>
        </w:rPr>
        <w:t xml:space="preserve">od 9,7%, te potom usporavanje </w:t>
      </w:r>
      <w:r>
        <w:rPr>
          <w:rFonts w:cstheme="minorHAnsi"/>
          <w:lang w:val="hr-HR"/>
        </w:rPr>
        <w:t xml:space="preserve">rasta </w:t>
      </w:r>
      <w:r w:rsidRPr="00205CB0">
        <w:rPr>
          <w:rFonts w:cstheme="minorHAnsi"/>
          <w:lang w:val="hr-HR"/>
        </w:rPr>
        <w:t>na 6,7% u 2022., 4,5% u 2023. i 3,8% u 2024. godini. Prema projekcijama MMF-a, u europodručju se, nakon blage inflacije od 0,3% u 2020., očekuje rast potrošačkih cijena od 2,2% u 2021. i 1,7% u 2022., koj</w:t>
      </w:r>
      <w:r>
        <w:rPr>
          <w:rFonts w:cstheme="minorHAnsi"/>
          <w:lang w:val="hr-HR"/>
        </w:rPr>
        <w:t>i</w:t>
      </w:r>
      <w:r w:rsidRPr="00205CB0">
        <w:rPr>
          <w:rFonts w:cstheme="minorHAnsi"/>
          <w:lang w:val="hr-HR"/>
        </w:rPr>
        <w:t xml:space="preserve"> će potom blago usporiti u ostatku projekcijskog razdoblja. Porast inflacije u projekcijskom razdoblju, osim rasta cijena sirovina u usporedbi s prošlogodišnjom niskom bazom, odraz je i poremećaja u lancima opskrbe kao posljedica pandemije. Prema prognozama EIU, očekuje se kako će cijene nafte tipa Brent, nakon pada na 4</w:t>
      </w:r>
      <w:r>
        <w:rPr>
          <w:rFonts w:cstheme="minorHAnsi"/>
          <w:lang w:val="hr-HR"/>
        </w:rPr>
        <w:t>2</w:t>
      </w:r>
      <w:r w:rsidRPr="00205CB0">
        <w:rPr>
          <w:rFonts w:cstheme="minorHAnsi"/>
          <w:lang w:val="hr-HR"/>
        </w:rPr>
        <w:t>,3 dolar</w:t>
      </w:r>
      <w:r>
        <w:rPr>
          <w:rFonts w:cstheme="minorHAnsi"/>
          <w:lang w:val="hr-HR"/>
        </w:rPr>
        <w:t>a</w:t>
      </w:r>
      <w:r w:rsidRPr="00205CB0">
        <w:rPr>
          <w:rFonts w:cstheme="minorHAnsi"/>
          <w:lang w:val="hr-HR"/>
        </w:rPr>
        <w:t xml:space="preserve"> po barelu u 2020., porasti na 71,7 dolar po barelu u 2021. te potom </w:t>
      </w:r>
      <w:r>
        <w:rPr>
          <w:rFonts w:cstheme="minorHAnsi"/>
          <w:lang w:val="hr-HR"/>
        </w:rPr>
        <w:t xml:space="preserve">na </w:t>
      </w:r>
      <w:r w:rsidRPr="00205CB0">
        <w:rPr>
          <w:rFonts w:cstheme="minorHAnsi"/>
          <w:lang w:val="hr-HR"/>
        </w:rPr>
        <w:t xml:space="preserve">78,5 dolar po barelu u 2022., nakon čega će bilježiti postupno smanjenje. </w:t>
      </w:r>
    </w:p>
    <w:bookmarkEnd w:id="3"/>
    <w:p w:rsidR="009F444C" w:rsidRDefault="009F444C" w:rsidP="009F444C">
      <w:pPr>
        <w:spacing w:afterLines="120" w:after="288"/>
        <w:jc w:val="both"/>
        <w:rPr>
          <w:rFonts w:eastAsia="Calibri" w:cs="Times New Roman"/>
          <w:lang w:val="hr-HR"/>
        </w:rPr>
      </w:pPr>
      <w:r>
        <w:rPr>
          <w:rFonts w:eastAsia="Calibri" w:cs="Times New Roman"/>
          <w:lang w:val="hr-HR"/>
        </w:rPr>
        <w:t>Nakon snažnog pada BDP-a od 8,1</w:t>
      </w:r>
      <w:r w:rsidRPr="00C96B8A">
        <w:rPr>
          <w:rFonts w:eastAsia="Calibri" w:cs="Times New Roman"/>
          <w:lang w:val="hr-HR"/>
        </w:rPr>
        <w:t xml:space="preserve">% u 2020. godini, </w:t>
      </w:r>
      <w:r>
        <w:rPr>
          <w:rFonts w:eastAsia="Calibri" w:cs="Times New Roman"/>
          <w:lang w:val="hr-HR"/>
        </w:rPr>
        <w:t>očekuje se kako će, sa stopom rasta od 9,0%, već ove godine domaće gospodarstvo dostići pretkriznu razinu iz 2019. Tako se</w:t>
      </w:r>
      <w:r w:rsidRPr="00C96B8A">
        <w:rPr>
          <w:rFonts w:eastAsia="Calibri" w:cs="Times New Roman"/>
          <w:lang w:val="hr-HR"/>
        </w:rPr>
        <w:t xml:space="preserve"> očekuje </w:t>
      </w:r>
      <w:r>
        <w:rPr>
          <w:rFonts w:eastAsia="Calibri" w:cs="Times New Roman"/>
          <w:lang w:val="hr-HR"/>
        </w:rPr>
        <w:t>snažan pozitivan</w:t>
      </w:r>
      <w:r w:rsidRPr="00C96B8A">
        <w:rPr>
          <w:rFonts w:eastAsia="Calibri" w:cs="Times New Roman"/>
          <w:lang w:val="hr-HR"/>
        </w:rPr>
        <w:t xml:space="preserve"> doprinos gospodarskom rastu od strane domaće potražnje, </w:t>
      </w:r>
      <w:r>
        <w:rPr>
          <w:rFonts w:eastAsia="Calibri" w:cs="Times New Roman"/>
          <w:lang w:val="hr-HR"/>
        </w:rPr>
        <w:t>ali</w:t>
      </w:r>
      <w:r w:rsidRPr="00C96B8A">
        <w:rPr>
          <w:rFonts w:eastAsia="Calibri" w:cs="Times New Roman"/>
          <w:lang w:val="hr-HR"/>
        </w:rPr>
        <w:t xml:space="preserve"> i od </w:t>
      </w:r>
      <w:r w:rsidRPr="007E5D1B">
        <w:rPr>
          <w:rFonts w:eastAsia="Calibri" w:cs="Times New Roman"/>
          <w:lang w:val="hr-HR"/>
        </w:rPr>
        <w:t>neto inozemne potražnje</w:t>
      </w:r>
      <w:r>
        <w:rPr>
          <w:rFonts w:eastAsia="Calibri" w:cs="Times New Roman"/>
          <w:lang w:val="hr-HR"/>
        </w:rPr>
        <w:t>, dok će</w:t>
      </w:r>
      <w:r w:rsidRPr="00C96B8A">
        <w:rPr>
          <w:rFonts w:eastAsia="Calibri" w:cs="Times New Roman"/>
          <w:lang w:val="hr-HR"/>
        </w:rPr>
        <w:t xml:space="preserve"> blagi negativan doprinos </w:t>
      </w:r>
      <w:r>
        <w:rPr>
          <w:rFonts w:eastAsia="Calibri" w:cs="Times New Roman"/>
          <w:lang w:val="hr-HR"/>
        </w:rPr>
        <w:t xml:space="preserve">doći </w:t>
      </w:r>
      <w:r w:rsidRPr="00C96B8A">
        <w:rPr>
          <w:rFonts w:eastAsia="Calibri" w:cs="Times New Roman"/>
          <w:lang w:val="hr-HR"/>
        </w:rPr>
        <w:t xml:space="preserve">od kategorije promjena zaliha. </w:t>
      </w:r>
      <w:r w:rsidRPr="004A1FF7">
        <w:rPr>
          <w:rFonts w:eastAsia="Calibri" w:cs="Times New Roman"/>
          <w:lang w:val="hr-HR"/>
        </w:rPr>
        <w:t xml:space="preserve">U </w:t>
      </w:r>
      <w:r>
        <w:rPr>
          <w:rFonts w:eastAsia="Calibri" w:cs="Times New Roman"/>
          <w:lang w:val="hr-HR"/>
        </w:rPr>
        <w:t>ostatku srednjoročnog razdoblja,</w:t>
      </w:r>
      <w:r w:rsidRPr="004A1FF7">
        <w:rPr>
          <w:rFonts w:eastAsia="Calibri" w:cs="Times New Roman"/>
          <w:lang w:val="hr-HR"/>
        </w:rPr>
        <w:t xml:space="preserve"> u uvjetima </w:t>
      </w:r>
      <w:r>
        <w:rPr>
          <w:rFonts w:eastAsia="Calibri" w:cs="Times New Roman"/>
          <w:lang w:val="hr-HR"/>
        </w:rPr>
        <w:t>naglog zatvaranja</w:t>
      </w:r>
      <w:r w:rsidRPr="004A1FF7">
        <w:rPr>
          <w:rFonts w:eastAsia="Calibri" w:cs="Times New Roman"/>
          <w:lang w:val="hr-HR"/>
        </w:rPr>
        <w:t xml:space="preserve"> </w:t>
      </w:r>
      <w:r>
        <w:rPr>
          <w:rFonts w:eastAsia="Calibri" w:cs="Times New Roman"/>
          <w:lang w:val="hr-HR"/>
        </w:rPr>
        <w:t>negativnog jaza BDP-a,</w:t>
      </w:r>
      <w:r w:rsidRPr="00C96B8A">
        <w:rPr>
          <w:rFonts w:eastAsia="Calibri" w:cs="Times New Roman"/>
          <w:lang w:val="hr-HR"/>
        </w:rPr>
        <w:t xml:space="preserve"> </w:t>
      </w:r>
      <w:r w:rsidRPr="004A1FF7">
        <w:rPr>
          <w:rFonts w:eastAsia="Calibri" w:cs="Times New Roman"/>
          <w:lang w:val="hr-HR"/>
        </w:rPr>
        <w:t xml:space="preserve">očekuje se </w:t>
      </w:r>
      <w:r>
        <w:rPr>
          <w:rFonts w:eastAsia="Calibri" w:cs="Times New Roman"/>
          <w:lang w:val="hr-HR"/>
        </w:rPr>
        <w:t>nastavak snaž</w:t>
      </w:r>
      <w:r w:rsidRPr="004A1FF7">
        <w:rPr>
          <w:rFonts w:eastAsia="Calibri" w:cs="Times New Roman"/>
          <w:lang w:val="hr-HR"/>
        </w:rPr>
        <w:t>n</w:t>
      </w:r>
      <w:r>
        <w:rPr>
          <w:rFonts w:eastAsia="Calibri" w:cs="Times New Roman"/>
          <w:lang w:val="hr-HR"/>
        </w:rPr>
        <w:t>og rasta</w:t>
      </w:r>
      <w:r w:rsidRPr="004A1FF7">
        <w:rPr>
          <w:rFonts w:eastAsia="Calibri" w:cs="Times New Roman"/>
          <w:lang w:val="hr-HR"/>
        </w:rPr>
        <w:t xml:space="preserve"> gospodarske aktivnosti </w:t>
      </w:r>
      <w:r>
        <w:rPr>
          <w:rFonts w:eastAsia="Calibri" w:cs="Times New Roman"/>
          <w:lang w:val="hr-HR"/>
        </w:rPr>
        <w:t>po stopama</w:t>
      </w:r>
      <w:r w:rsidRPr="004A1FF7">
        <w:rPr>
          <w:rFonts w:eastAsia="Calibri" w:cs="Times New Roman"/>
          <w:lang w:val="hr-HR"/>
        </w:rPr>
        <w:t xml:space="preserve"> </w:t>
      </w:r>
      <w:r>
        <w:rPr>
          <w:rFonts w:eastAsia="Calibri" w:cs="Times New Roman"/>
          <w:lang w:val="hr-HR"/>
        </w:rPr>
        <w:t>od 4,4</w:t>
      </w:r>
      <w:r w:rsidRPr="004A1FF7">
        <w:rPr>
          <w:rFonts w:eastAsia="Calibri" w:cs="Times New Roman"/>
          <w:lang w:val="hr-HR"/>
        </w:rPr>
        <w:t xml:space="preserve">% u 2022., </w:t>
      </w:r>
      <w:r>
        <w:rPr>
          <w:rFonts w:eastAsia="Calibri" w:cs="Times New Roman"/>
          <w:lang w:val="hr-HR"/>
        </w:rPr>
        <w:t>zatim 3,7% u 2023. te 3,1</w:t>
      </w:r>
      <w:r w:rsidRPr="004A1FF7">
        <w:rPr>
          <w:rFonts w:eastAsia="Calibri" w:cs="Times New Roman"/>
          <w:lang w:val="hr-HR"/>
        </w:rPr>
        <w:t>% u 2024. godini</w:t>
      </w:r>
      <w:r>
        <w:rPr>
          <w:rFonts w:eastAsia="Calibri" w:cs="Times New Roman"/>
          <w:lang w:val="hr-HR"/>
        </w:rPr>
        <w:t>.</w:t>
      </w:r>
      <w:r w:rsidRPr="004A1FF7">
        <w:rPr>
          <w:rFonts w:eastAsia="Calibri" w:cs="Times New Roman"/>
          <w:lang w:val="hr-HR"/>
        </w:rPr>
        <w:t xml:space="preserve"> </w:t>
      </w:r>
      <w:r>
        <w:rPr>
          <w:rFonts w:eastAsia="Calibri" w:cs="Times New Roman"/>
          <w:lang w:val="hr-HR"/>
        </w:rPr>
        <w:t>Ovakva dinamika BDP-a</w:t>
      </w:r>
      <w:r w:rsidRPr="004A1FF7">
        <w:rPr>
          <w:rFonts w:eastAsia="Calibri" w:cs="Times New Roman"/>
          <w:lang w:val="hr-HR"/>
        </w:rPr>
        <w:t xml:space="preserve"> uključuje i znatne pozitivne učinke NPOO-a</w:t>
      </w:r>
      <w:r>
        <w:rPr>
          <w:rFonts w:eastAsia="Calibri" w:cs="Times New Roman"/>
          <w:lang w:val="hr-HR"/>
        </w:rPr>
        <w:t>.</w:t>
      </w:r>
      <w:r w:rsidRPr="004A1FF7">
        <w:rPr>
          <w:rFonts w:eastAsia="Calibri" w:cs="Times New Roman"/>
          <w:lang w:val="hr-HR"/>
        </w:rPr>
        <w:t xml:space="preserve"> </w:t>
      </w:r>
      <w:r>
        <w:rPr>
          <w:rFonts w:eastAsia="Calibri" w:cs="Times New Roman"/>
          <w:lang w:val="hr-HR"/>
        </w:rPr>
        <w:t>R</w:t>
      </w:r>
      <w:r w:rsidRPr="00C96B8A">
        <w:rPr>
          <w:rFonts w:eastAsia="Calibri" w:cs="Times New Roman"/>
          <w:lang w:val="hr-HR"/>
        </w:rPr>
        <w:t xml:space="preserve">ast BDP-a </w:t>
      </w:r>
      <w:r>
        <w:rPr>
          <w:rFonts w:eastAsia="Calibri" w:cs="Times New Roman"/>
          <w:lang w:val="hr-HR"/>
        </w:rPr>
        <w:t xml:space="preserve">od 2022. do 2024. </w:t>
      </w:r>
      <w:r w:rsidRPr="00C96B8A">
        <w:rPr>
          <w:rFonts w:eastAsia="Calibri" w:cs="Times New Roman"/>
          <w:lang w:val="hr-HR"/>
        </w:rPr>
        <w:t>će se temeljiti na doprinosu domaće potražnje, dok se od strane neto inozemne potražnje</w:t>
      </w:r>
      <w:r>
        <w:rPr>
          <w:rFonts w:eastAsia="Calibri" w:cs="Times New Roman"/>
          <w:lang w:val="hr-HR"/>
        </w:rPr>
        <w:t>, nakon pozitivnog doprinosa 2021.,</w:t>
      </w:r>
      <w:r w:rsidRPr="00C96B8A">
        <w:rPr>
          <w:rFonts w:eastAsia="Calibri" w:cs="Times New Roman"/>
          <w:lang w:val="hr-HR"/>
        </w:rPr>
        <w:t xml:space="preserve"> očekuje </w:t>
      </w:r>
      <w:r>
        <w:rPr>
          <w:rFonts w:eastAsia="Calibri" w:cs="Times New Roman"/>
          <w:lang w:val="hr-HR"/>
        </w:rPr>
        <w:t xml:space="preserve">stabilan </w:t>
      </w:r>
      <w:r w:rsidRPr="00C96B8A">
        <w:rPr>
          <w:rFonts w:eastAsia="Calibri" w:cs="Times New Roman"/>
          <w:lang w:val="hr-HR"/>
        </w:rPr>
        <w:t xml:space="preserve">blago </w:t>
      </w:r>
      <w:r>
        <w:rPr>
          <w:rFonts w:eastAsia="Calibri" w:cs="Times New Roman"/>
          <w:lang w:val="hr-HR"/>
        </w:rPr>
        <w:t>negativan</w:t>
      </w:r>
      <w:r w:rsidRPr="00C96B8A">
        <w:rPr>
          <w:rFonts w:eastAsia="Calibri" w:cs="Times New Roman"/>
          <w:lang w:val="hr-HR"/>
        </w:rPr>
        <w:t xml:space="preserve"> doprinos</w:t>
      </w:r>
      <w:r>
        <w:rPr>
          <w:rFonts w:eastAsia="Calibri" w:cs="Times New Roman"/>
          <w:lang w:val="hr-HR"/>
        </w:rPr>
        <w:t>.</w:t>
      </w:r>
      <w:r w:rsidRPr="00C96B8A">
        <w:rPr>
          <w:rFonts w:eastAsia="Calibri" w:cs="Times New Roman"/>
          <w:lang w:val="hr-HR"/>
        </w:rPr>
        <w:t xml:space="preserve"> </w:t>
      </w:r>
      <w:r>
        <w:rPr>
          <w:rFonts w:eastAsia="Calibri" w:cs="Times New Roman"/>
          <w:lang w:val="hr-HR"/>
        </w:rPr>
        <w:t>P</w:t>
      </w:r>
      <w:r w:rsidRPr="00C96B8A">
        <w:rPr>
          <w:rFonts w:eastAsia="Calibri" w:cs="Times New Roman"/>
          <w:lang w:val="hr-HR"/>
        </w:rPr>
        <w:t>romatrajući strukturu BDP-a s rashodne strane</w:t>
      </w:r>
      <w:r w:rsidRPr="00567B61">
        <w:rPr>
          <w:rFonts w:eastAsia="Calibri" w:cs="Times New Roman"/>
          <w:lang w:val="hr-HR"/>
        </w:rPr>
        <w:t xml:space="preserve"> </w:t>
      </w:r>
      <w:r w:rsidRPr="00C96B8A">
        <w:rPr>
          <w:rFonts w:eastAsia="Calibri" w:cs="Times New Roman"/>
          <w:lang w:val="hr-HR"/>
        </w:rPr>
        <w:t xml:space="preserve">u stalnim cijenama, </w:t>
      </w:r>
      <w:r>
        <w:rPr>
          <w:rFonts w:eastAsia="Calibri" w:cs="Times New Roman"/>
          <w:lang w:val="hr-HR"/>
        </w:rPr>
        <w:t>već 2021</w:t>
      </w:r>
      <w:r w:rsidRPr="00C96B8A">
        <w:rPr>
          <w:rFonts w:eastAsia="Calibri" w:cs="Times New Roman"/>
          <w:lang w:val="hr-HR"/>
        </w:rPr>
        <w:t>. godine</w:t>
      </w:r>
      <w:r>
        <w:rPr>
          <w:rFonts w:eastAsia="Calibri" w:cs="Times New Roman"/>
          <w:lang w:val="hr-HR"/>
        </w:rPr>
        <w:t xml:space="preserve"> sve komponente</w:t>
      </w:r>
      <w:r w:rsidRPr="00C96B8A">
        <w:rPr>
          <w:rFonts w:eastAsia="Calibri" w:cs="Times New Roman"/>
          <w:lang w:val="hr-HR"/>
        </w:rPr>
        <w:t xml:space="preserve"> će dostići svoje </w:t>
      </w:r>
      <w:r>
        <w:rPr>
          <w:rFonts w:eastAsia="Calibri" w:cs="Times New Roman"/>
          <w:lang w:val="hr-HR"/>
        </w:rPr>
        <w:t xml:space="preserve">pretkrizne </w:t>
      </w:r>
      <w:r w:rsidRPr="00C96B8A">
        <w:rPr>
          <w:rFonts w:eastAsia="Calibri" w:cs="Times New Roman"/>
          <w:lang w:val="hr-HR"/>
        </w:rPr>
        <w:t xml:space="preserve">razine </w:t>
      </w:r>
      <w:r>
        <w:rPr>
          <w:rFonts w:eastAsia="Calibri" w:cs="Times New Roman"/>
          <w:lang w:val="hr-HR"/>
        </w:rPr>
        <w:t xml:space="preserve">iz 2019., izuzev izvoza te uvoza usluga, koji će tu razinu dostići tek 2023. godine kao posljedica </w:t>
      </w:r>
      <w:r w:rsidRPr="007E5D1B">
        <w:rPr>
          <w:rFonts w:eastAsia="Calibri" w:cs="Times New Roman"/>
          <w:lang w:val="hr-HR"/>
        </w:rPr>
        <w:t>pandemije koronavirusa</w:t>
      </w:r>
      <w:r w:rsidRPr="00C96B8A">
        <w:rPr>
          <w:rFonts w:eastAsia="Calibri" w:cs="Times New Roman"/>
          <w:lang w:val="hr-HR"/>
        </w:rPr>
        <w:t>. BDP izražen u tek</w:t>
      </w:r>
      <w:r>
        <w:rPr>
          <w:rFonts w:eastAsia="Calibri" w:cs="Times New Roman"/>
          <w:lang w:val="hr-HR"/>
        </w:rPr>
        <w:t>ućim cijenama</w:t>
      </w:r>
      <w:r w:rsidRPr="00B304CA">
        <w:rPr>
          <w:rFonts w:eastAsia="Calibri" w:cs="Times New Roman"/>
          <w:lang w:val="hr-HR"/>
        </w:rPr>
        <w:t xml:space="preserve"> </w:t>
      </w:r>
      <w:r>
        <w:rPr>
          <w:rFonts w:eastAsia="Calibri" w:cs="Times New Roman"/>
          <w:lang w:val="hr-HR"/>
        </w:rPr>
        <w:t>istovremeno će, potpomognut dinamičnijim rastom deflatora,</w:t>
      </w:r>
      <w:r w:rsidRPr="00C96B8A">
        <w:rPr>
          <w:rFonts w:eastAsia="Calibri" w:cs="Times New Roman"/>
          <w:lang w:val="hr-HR"/>
        </w:rPr>
        <w:t xml:space="preserve"> </w:t>
      </w:r>
      <w:r>
        <w:rPr>
          <w:rFonts w:eastAsia="Calibri" w:cs="Times New Roman"/>
          <w:lang w:val="hr-HR"/>
        </w:rPr>
        <w:t>u 2021. godini značajno</w:t>
      </w:r>
      <w:r w:rsidRPr="00C96B8A">
        <w:rPr>
          <w:rFonts w:eastAsia="Calibri" w:cs="Times New Roman"/>
          <w:lang w:val="hr-HR"/>
        </w:rPr>
        <w:t xml:space="preserve"> pr</w:t>
      </w:r>
      <w:r>
        <w:rPr>
          <w:rFonts w:eastAsia="Calibri" w:cs="Times New Roman"/>
          <w:lang w:val="hr-HR"/>
        </w:rPr>
        <w:t>emašiti svoju veličinu iz 2019</w:t>
      </w:r>
      <w:r w:rsidRPr="00C96B8A">
        <w:rPr>
          <w:rFonts w:eastAsia="Calibri" w:cs="Times New Roman"/>
          <w:lang w:val="hr-HR"/>
        </w:rPr>
        <w:t xml:space="preserve">. </w:t>
      </w:r>
    </w:p>
    <w:p w:rsidR="009F444C" w:rsidRPr="00C96B8A" w:rsidRDefault="009F444C" w:rsidP="009F444C">
      <w:pPr>
        <w:spacing w:afterLines="120" w:after="288"/>
        <w:jc w:val="both"/>
        <w:rPr>
          <w:rFonts w:eastAsia="Calibri" w:cs="Times New Roman"/>
          <w:lang w:val="hr-HR"/>
        </w:rPr>
      </w:pPr>
    </w:p>
    <w:p w:rsidR="009F444C" w:rsidRDefault="009F444C" w:rsidP="009F444C">
      <w:pPr>
        <w:pStyle w:val="Caption"/>
        <w:rPr>
          <w:rFonts w:cstheme="minorHAnsi"/>
          <w:b w:val="0"/>
          <w:i/>
          <w:sz w:val="22"/>
          <w:szCs w:val="22"/>
          <w:lang w:val="hr-HR"/>
        </w:rPr>
      </w:pPr>
      <w:bookmarkStart w:id="4" w:name="_Toc15461767"/>
      <w:bookmarkStart w:id="5" w:name="_Toc51682465"/>
    </w:p>
    <w:p w:rsidR="009F444C" w:rsidRDefault="009F444C" w:rsidP="009F444C">
      <w:pPr>
        <w:pStyle w:val="Caption"/>
        <w:rPr>
          <w:rFonts w:cstheme="minorHAnsi"/>
          <w:b w:val="0"/>
          <w:i/>
          <w:sz w:val="22"/>
          <w:szCs w:val="22"/>
          <w:lang w:val="hr-HR"/>
        </w:rPr>
      </w:pPr>
    </w:p>
    <w:p w:rsidR="009F444C" w:rsidRPr="009F444C" w:rsidRDefault="009F444C" w:rsidP="009F444C">
      <w:pPr>
        <w:spacing w:before="240" w:after="120"/>
        <w:jc w:val="both"/>
        <w:rPr>
          <w:rFonts w:cstheme="minorHAnsi"/>
          <w:i/>
          <w:lang w:val="hr-HR"/>
        </w:rPr>
      </w:pPr>
      <w:r w:rsidRPr="007E6217">
        <w:rPr>
          <w:rFonts w:cstheme="minorHAnsi"/>
          <w:i/>
          <w:lang w:val="hr-HR"/>
        </w:rPr>
        <w:lastRenderedPageBreak/>
        <w:t xml:space="preserve">Tablica </w:t>
      </w:r>
      <w:r w:rsidRPr="009F444C">
        <w:rPr>
          <w:rFonts w:cstheme="minorHAnsi"/>
          <w:i/>
          <w:lang w:val="hr-HR"/>
        </w:rPr>
        <w:fldChar w:fldCharType="begin"/>
      </w:r>
      <w:r w:rsidRPr="007E6217">
        <w:rPr>
          <w:rFonts w:cstheme="minorHAnsi"/>
          <w:i/>
          <w:lang w:val="hr-HR"/>
        </w:rPr>
        <w:instrText xml:space="preserve"> SEQ Tablica \* ARABIC </w:instrText>
      </w:r>
      <w:r w:rsidRPr="009F444C">
        <w:rPr>
          <w:rFonts w:cstheme="minorHAnsi"/>
          <w:i/>
          <w:lang w:val="hr-HR"/>
        </w:rPr>
        <w:fldChar w:fldCharType="separate"/>
      </w:r>
      <w:r w:rsidR="002A3B08">
        <w:rPr>
          <w:rFonts w:cstheme="minorHAnsi"/>
          <w:i/>
          <w:noProof/>
          <w:lang w:val="hr-HR"/>
        </w:rPr>
        <w:t>1</w:t>
      </w:r>
      <w:r w:rsidRPr="009F444C">
        <w:rPr>
          <w:rFonts w:cstheme="minorHAnsi"/>
          <w:i/>
          <w:lang w:val="hr-HR"/>
        </w:rPr>
        <w:fldChar w:fldCharType="end"/>
      </w:r>
      <w:r w:rsidRPr="007E6217">
        <w:rPr>
          <w:rFonts w:cstheme="minorHAnsi"/>
          <w:i/>
          <w:lang w:val="hr-HR"/>
        </w:rPr>
        <w:t>: Makroekonomski</w:t>
      </w:r>
      <w:r w:rsidRPr="009F444C">
        <w:rPr>
          <w:rFonts w:cstheme="minorHAnsi"/>
          <w:i/>
          <w:lang w:val="hr-HR"/>
        </w:rPr>
        <w:t xml:space="preserve"> okvir u razdoblju 2020. – 2024.</w:t>
      </w:r>
      <w:bookmarkEnd w:id="4"/>
      <w:bookmarkEnd w:id="5"/>
    </w:p>
    <w:p w:rsidR="009F444C" w:rsidRPr="007E6217" w:rsidRDefault="009F444C" w:rsidP="009F444C">
      <w:pPr>
        <w:rPr>
          <w:rFonts w:ascii="Calibri" w:hAnsi="Calibri"/>
          <w:bCs/>
          <w:i/>
          <w:sz w:val="20"/>
          <w:szCs w:val="20"/>
          <w:lang w:val="hr-HR"/>
        </w:rPr>
      </w:pPr>
      <w:r w:rsidRPr="007E6217">
        <w:rPr>
          <w:noProof/>
          <w:lang w:val="hr-HR" w:eastAsia="hr-HR"/>
        </w:rPr>
        <w:drawing>
          <wp:inline distT="0" distB="0" distL="0" distR="0" wp14:anchorId="5C673546" wp14:editId="7E73981E">
            <wp:extent cx="5760720" cy="3678132"/>
            <wp:effectExtent l="0" t="0" r="0" b="0"/>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3678132"/>
                    </a:xfrm>
                    <a:prstGeom prst="rect">
                      <a:avLst/>
                    </a:prstGeom>
                    <a:noFill/>
                    <a:ln>
                      <a:noFill/>
                    </a:ln>
                  </pic:spPr>
                </pic:pic>
              </a:graphicData>
            </a:graphic>
          </wp:inline>
        </w:drawing>
      </w:r>
      <w:r w:rsidRPr="007E6217">
        <w:rPr>
          <w:rFonts w:ascii="Calibri" w:hAnsi="Calibri"/>
          <w:bCs/>
          <w:i/>
          <w:sz w:val="20"/>
          <w:szCs w:val="20"/>
          <w:lang w:val="hr-HR"/>
        </w:rPr>
        <w:t xml:space="preserve">   Izvor: DZS, Ministarstvo financija</w:t>
      </w:r>
      <w:r w:rsidRPr="007E6217">
        <w:rPr>
          <w:i/>
          <w:lang w:val="hr-HR"/>
        </w:rPr>
        <w:t xml:space="preserve"> </w:t>
      </w:r>
    </w:p>
    <w:p w:rsidR="009F444C" w:rsidRDefault="009F444C" w:rsidP="009F444C">
      <w:pPr>
        <w:spacing w:afterLines="120" w:after="288"/>
        <w:jc w:val="both"/>
        <w:rPr>
          <w:rFonts w:eastAsia="Calibri" w:cs="Times New Roman"/>
          <w:lang w:val="hr-HR"/>
        </w:rPr>
      </w:pPr>
      <w:r>
        <w:rPr>
          <w:rFonts w:eastAsia="Calibri" w:cs="Times New Roman"/>
          <w:lang w:val="hr-HR"/>
        </w:rPr>
        <w:t xml:space="preserve">U </w:t>
      </w:r>
      <w:r w:rsidRPr="00EC6ED6">
        <w:rPr>
          <w:rFonts w:eastAsia="Calibri" w:cs="Times New Roman"/>
          <w:lang w:val="hr-HR"/>
        </w:rPr>
        <w:t xml:space="preserve">usporedbi s makroekonomskim projekcijama </w:t>
      </w:r>
      <w:r>
        <w:rPr>
          <w:rFonts w:eastAsia="Calibri" w:cs="Times New Roman"/>
          <w:lang w:val="hr-HR"/>
        </w:rPr>
        <w:t xml:space="preserve">iz </w:t>
      </w:r>
      <w:r w:rsidRPr="007E5D1B">
        <w:rPr>
          <w:rFonts w:eastAsia="Calibri" w:cs="Times New Roman"/>
          <w:lang w:val="hr-HR"/>
        </w:rPr>
        <w:t>Programa konvergencije Vlade RH</w:t>
      </w:r>
      <w:r>
        <w:rPr>
          <w:rFonts w:eastAsia="Calibri" w:cs="Times New Roman"/>
          <w:lang w:val="hr-HR"/>
        </w:rPr>
        <w:t xml:space="preserve"> (iz travnja 2021</w:t>
      </w:r>
      <w:r w:rsidRPr="00EC6ED6">
        <w:rPr>
          <w:rFonts w:eastAsia="Calibri" w:cs="Times New Roman"/>
          <w:lang w:val="hr-HR"/>
        </w:rPr>
        <w:t>. godine</w:t>
      </w:r>
      <w:r>
        <w:rPr>
          <w:rFonts w:eastAsia="Calibri" w:cs="Times New Roman"/>
          <w:lang w:val="hr-HR"/>
        </w:rPr>
        <w:t>)</w:t>
      </w:r>
      <w:r w:rsidRPr="00EC6ED6">
        <w:rPr>
          <w:rFonts w:eastAsia="Calibri" w:cs="Times New Roman"/>
          <w:lang w:val="hr-HR"/>
        </w:rPr>
        <w:t xml:space="preserve">, realni </w:t>
      </w:r>
      <w:r>
        <w:rPr>
          <w:rFonts w:eastAsia="Calibri" w:cs="Times New Roman"/>
          <w:lang w:val="hr-HR"/>
        </w:rPr>
        <w:t xml:space="preserve">rast </w:t>
      </w:r>
      <w:r w:rsidRPr="00EC6ED6">
        <w:rPr>
          <w:rFonts w:eastAsia="Calibri" w:cs="Times New Roman"/>
          <w:lang w:val="hr-HR"/>
        </w:rPr>
        <w:t xml:space="preserve">BDP-a </w:t>
      </w:r>
      <w:r>
        <w:rPr>
          <w:rFonts w:eastAsia="Calibri" w:cs="Times New Roman"/>
          <w:lang w:val="hr-HR"/>
        </w:rPr>
        <w:t>u 2021</w:t>
      </w:r>
      <w:r w:rsidRPr="00EC6ED6">
        <w:rPr>
          <w:rFonts w:eastAsia="Calibri" w:cs="Times New Roman"/>
          <w:lang w:val="hr-HR"/>
        </w:rPr>
        <w:t xml:space="preserve">. </w:t>
      </w:r>
      <w:r>
        <w:rPr>
          <w:rFonts w:eastAsia="Calibri" w:cs="Times New Roman"/>
          <w:lang w:val="hr-HR"/>
        </w:rPr>
        <w:t>je promijenjen značajno naviše uslijed povoljnijih ostvarenja u dosadašnjem dijelu godinu.</w:t>
      </w:r>
      <w:r w:rsidRPr="00EC6ED6">
        <w:rPr>
          <w:rFonts w:eastAsia="Calibri" w:cs="Times New Roman"/>
          <w:lang w:val="hr-HR"/>
        </w:rPr>
        <w:t xml:space="preserve"> </w:t>
      </w:r>
      <w:r>
        <w:rPr>
          <w:rFonts w:eastAsia="Calibri" w:cs="Times New Roman"/>
          <w:lang w:val="hr-HR"/>
        </w:rPr>
        <w:t>Za sve sastavnice BDP-a, izuzev bruto investicija u fiksni kapital te promjena zaliha, u 2021. se očekuju povoljnija ostvarenja u odnosu na prethodne projekcije, a posebno se to odnosi na izvoz roba i usluga te osobnu potrošnju. Investicije su u 2021. korigirane naniže unatoč nastavku snažnog rasta u građevinskoj djelatnosti, u većem djelu zbog nepovoljne dinamike preostalih vrsta bruto investicija u privatnom sektoru, te u manjem djelu zbog blage korekcije investicija u fiksni kapital na razini opće države. U ostatku projekcijskog razdoblja</w:t>
      </w:r>
      <w:r w:rsidRPr="00030D09">
        <w:rPr>
          <w:rFonts w:eastAsia="Calibri" w:cs="Times New Roman"/>
          <w:lang w:val="hr-HR"/>
        </w:rPr>
        <w:t xml:space="preserve"> </w:t>
      </w:r>
      <w:r>
        <w:rPr>
          <w:rFonts w:eastAsia="Calibri" w:cs="Times New Roman"/>
          <w:lang w:val="hr-HR"/>
        </w:rPr>
        <w:t xml:space="preserve">rast </w:t>
      </w:r>
      <w:r w:rsidRPr="00EC6ED6">
        <w:rPr>
          <w:rFonts w:eastAsia="Calibri" w:cs="Times New Roman"/>
          <w:lang w:val="hr-HR"/>
        </w:rPr>
        <w:t>BDP-a</w:t>
      </w:r>
      <w:r>
        <w:rPr>
          <w:rFonts w:eastAsia="Calibri" w:cs="Times New Roman"/>
          <w:lang w:val="hr-HR"/>
        </w:rPr>
        <w:t xml:space="preserve"> zabilježio je negativnu korekciju, jednim dijelom i uslijed navedenog baznog učinka.</w:t>
      </w:r>
      <w:r w:rsidRPr="00EC6ED6">
        <w:rPr>
          <w:rFonts w:eastAsia="Calibri" w:cs="Times New Roman"/>
          <w:lang w:val="hr-HR"/>
        </w:rPr>
        <w:t xml:space="preserve"> </w:t>
      </w:r>
    </w:p>
    <w:p w:rsidR="009F444C" w:rsidRDefault="009F444C" w:rsidP="009F444C">
      <w:pPr>
        <w:spacing w:afterLines="120" w:after="288"/>
        <w:jc w:val="both"/>
        <w:rPr>
          <w:rFonts w:eastAsia="Calibri" w:cs="Times New Roman"/>
          <w:lang w:val="hr-HR"/>
        </w:rPr>
      </w:pPr>
      <w:r>
        <w:rPr>
          <w:rFonts w:eastAsia="Calibri" w:cs="Times New Roman"/>
          <w:lang w:val="hr-HR"/>
        </w:rPr>
        <w:t>Nakon snažnog oporavka 2021., osobnu potrošnju</w:t>
      </w:r>
      <w:r w:rsidRPr="006B13C5">
        <w:rPr>
          <w:rFonts w:eastAsia="Calibri" w:cs="Times New Roman"/>
          <w:lang w:val="hr-HR"/>
        </w:rPr>
        <w:t xml:space="preserve"> </w:t>
      </w:r>
      <w:r>
        <w:rPr>
          <w:rFonts w:eastAsia="Calibri" w:cs="Times New Roman"/>
          <w:lang w:val="hr-HR"/>
        </w:rPr>
        <w:t>karakterizirat će izražen i stabilan</w:t>
      </w:r>
      <w:r w:rsidRPr="006B13C5">
        <w:rPr>
          <w:rFonts w:eastAsia="Calibri" w:cs="Times New Roman"/>
          <w:lang w:val="hr-HR"/>
        </w:rPr>
        <w:t xml:space="preserve"> </w:t>
      </w:r>
      <w:r>
        <w:rPr>
          <w:rFonts w:eastAsia="Calibri" w:cs="Times New Roman"/>
          <w:lang w:val="hr-HR"/>
        </w:rPr>
        <w:t xml:space="preserve">doprinos BDP-u </w:t>
      </w:r>
      <w:r w:rsidRPr="006B13C5">
        <w:rPr>
          <w:rFonts w:eastAsia="Calibri" w:cs="Times New Roman"/>
          <w:lang w:val="hr-HR"/>
        </w:rPr>
        <w:t xml:space="preserve">prvenstveno </w:t>
      </w:r>
      <w:r>
        <w:rPr>
          <w:rFonts w:eastAsia="Calibri" w:cs="Times New Roman"/>
          <w:lang w:val="hr-HR"/>
        </w:rPr>
        <w:t xml:space="preserve">zato jer </w:t>
      </w:r>
      <w:r w:rsidRPr="006B13C5">
        <w:rPr>
          <w:rFonts w:eastAsia="Calibri" w:cs="Times New Roman"/>
          <w:lang w:val="hr-HR"/>
        </w:rPr>
        <w:t xml:space="preserve">multiplikativni učinci NPOO-a na osobnu potrošnju </w:t>
      </w:r>
      <w:r>
        <w:rPr>
          <w:rFonts w:eastAsia="Calibri" w:cs="Times New Roman"/>
          <w:lang w:val="hr-HR"/>
        </w:rPr>
        <w:t xml:space="preserve">bivaju </w:t>
      </w:r>
      <w:r w:rsidRPr="006B13C5">
        <w:rPr>
          <w:rFonts w:eastAsia="Calibri" w:cs="Times New Roman"/>
          <w:lang w:val="hr-HR"/>
        </w:rPr>
        <w:t xml:space="preserve">izraženiji </w:t>
      </w:r>
      <w:r>
        <w:rPr>
          <w:rFonts w:eastAsia="Calibri" w:cs="Times New Roman"/>
          <w:lang w:val="hr-HR"/>
        </w:rPr>
        <w:t xml:space="preserve">prema kraju promatranog razdoblja. Ovo </w:t>
      </w:r>
      <w:r w:rsidRPr="006B13C5">
        <w:rPr>
          <w:rFonts w:eastAsia="Calibri" w:cs="Times New Roman"/>
          <w:lang w:val="hr-HR"/>
        </w:rPr>
        <w:t xml:space="preserve">odražava činjenicu </w:t>
      </w:r>
      <w:r>
        <w:rPr>
          <w:rFonts w:eastAsia="Calibri" w:cs="Times New Roman"/>
          <w:lang w:val="hr-HR"/>
        </w:rPr>
        <w:t xml:space="preserve">da je </w:t>
      </w:r>
      <w:r w:rsidRPr="006B13C5">
        <w:rPr>
          <w:rFonts w:eastAsia="Calibri" w:cs="Times New Roman"/>
          <w:lang w:val="hr-HR"/>
        </w:rPr>
        <w:t>r</w:t>
      </w:r>
      <w:r>
        <w:rPr>
          <w:rFonts w:eastAsia="Calibri" w:cs="Times New Roman"/>
          <w:lang w:val="hr-HR"/>
        </w:rPr>
        <w:t xml:space="preserve">aspoloživi dohodak kućanstava </w:t>
      </w:r>
      <w:r w:rsidRPr="006B13C5">
        <w:rPr>
          <w:rFonts w:eastAsia="Calibri" w:cs="Times New Roman"/>
          <w:lang w:val="hr-HR"/>
        </w:rPr>
        <w:t>te</w:t>
      </w:r>
      <w:r>
        <w:rPr>
          <w:rFonts w:eastAsia="Calibri" w:cs="Times New Roman"/>
          <w:lang w:val="hr-HR"/>
        </w:rPr>
        <w:t>meljni kanal multiplikativnih učinaka NPOO-a, pri čemu dominira utjecaj naknada zaposlenicima.</w:t>
      </w:r>
      <w:r w:rsidRPr="006B13C5">
        <w:rPr>
          <w:rFonts w:eastAsia="Calibri" w:cs="Times New Roman"/>
          <w:lang w:val="hr-HR"/>
        </w:rPr>
        <w:t xml:space="preserve"> </w:t>
      </w:r>
      <w:r>
        <w:rPr>
          <w:rFonts w:eastAsia="Calibri" w:cs="Times New Roman"/>
          <w:lang w:val="hr-HR"/>
        </w:rPr>
        <w:t xml:space="preserve">Također, </w:t>
      </w:r>
      <w:r w:rsidRPr="006B13C5">
        <w:rPr>
          <w:rFonts w:eastAsia="Calibri" w:cs="Times New Roman"/>
          <w:lang w:val="hr-HR"/>
        </w:rPr>
        <w:t>u uvjetima oporavka raspoloženja potrošača</w:t>
      </w:r>
      <w:r w:rsidRPr="009E4993">
        <w:rPr>
          <w:rFonts w:eastAsia="Calibri" w:cs="Times New Roman"/>
          <w:lang w:val="hr-HR"/>
        </w:rPr>
        <w:t xml:space="preserve"> </w:t>
      </w:r>
      <w:r>
        <w:rPr>
          <w:rFonts w:eastAsia="Calibri" w:cs="Times New Roman"/>
          <w:lang w:val="hr-HR"/>
        </w:rPr>
        <w:t>te zadržavanja razmjerno</w:t>
      </w:r>
      <w:r w:rsidRPr="006B13C5">
        <w:rPr>
          <w:rFonts w:eastAsia="Calibri" w:cs="Times New Roman"/>
          <w:lang w:val="hr-HR"/>
        </w:rPr>
        <w:t xml:space="preserve"> niskih kamatnih stopa, </w:t>
      </w:r>
      <w:r>
        <w:rPr>
          <w:rFonts w:eastAsia="Calibri" w:cs="Times New Roman"/>
          <w:lang w:val="hr-HR"/>
        </w:rPr>
        <w:t>očekuje se</w:t>
      </w:r>
      <w:r w:rsidRPr="006B13C5">
        <w:rPr>
          <w:rFonts w:eastAsia="Calibri" w:cs="Times New Roman"/>
          <w:lang w:val="hr-HR"/>
        </w:rPr>
        <w:t xml:space="preserve"> znatnije korištenje financijske poluge sektora kućanstava koji je u proteklom razdoblju prošao </w:t>
      </w:r>
      <w:r>
        <w:rPr>
          <w:rFonts w:eastAsia="Calibri" w:cs="Times New Roman"/>
          <w:lang w:val="hr-HR"/>
        </w:rPr>
        <w:t>znata</w:t>
      </w:r>
      <w:r w:rsidRPr="006B13C5">
        <w:rPr>
          <w:rFonts w:eastAsia="Calibri" w:cs="Times New Roman"/>
          <w:lang w:val="hr-HR"/>
        </w:rPr>
        <w:t xml:space="preserve">n proces razduživanja. Tako će stopu štednje sektora kućanstava </w:t>
      </w:r>
      <w:r>
        <w:rPr>
          <w:rFonts w:eastAsia="Calibri" w:cs="Times New Roman"/>
          <w:lang w:val="hr-HR"/>
        </w:rPr>
        <w:t>karakteriz</w:t>
      </w:r>
      <w:r w:rsidRPr="006B13C5">
        <w:rPr>
          <w:rFonts w:eastAsia="Calibri" w:cs="Times New Roman"/>
          <w:lang w:val="hr-HR"/>
        </w:rPr>
        <w:t>i</w:t>
      </w:r>
      <w:r>
        <w:rPr>
          <w:rFonts w:eastAsia="Calibri" w:cs="Times New Roman"/>
          <w:lang w:val="hr-HR"/>
        </w:rPr>
        <w:t>ra</w:t>
      </w:r>
      <w:r w:rsidRPr="006B13C5">
        <w:rPr>
          <w:rFonts w:eastAsia="Calibri" w:cs="Times New Roman"/>
          <w:lang w:val="hr-HR"/>
        </w:rPr>
        <w:t>ti kontinuirano smanj</w:t>
      </w:r>
      <w:r>
        <w:rPr>
          <w:rFonts w:eastAsia="Calibri" w:cs="Times New Roman"/>
          <w:lang w:val="hr-HR"/>
        </w:rPr>
        <w:t>enje u srednjoročnom razdoblju</w:t>
      </w:r>
      <w:r w:rsidRPr="006B13C5">
        <w:rPr>
          <w:rFonts w:eastAsia="Calibri" w:cs="Times New Roman"/>
          <w:lang w:val="hr-HR"/>
        </w:rPr>
        <w:t xml:space="preserve">. </w:t>
      </w:r>
      <w:r>
        <w:rPr>
          <w:rFonts w:eastAsia="Calibri" w:cs="Times New Roman"/>
          <w:lang w:val="hr-HR"/>
        </w:rPr>
        <w:t>D</w:t>
      </w:r>
      <w:r w:rsidRPr="006B13C5">
        <w:rPr>
          <w:rFonts w:eastAsia="Calibri" w:cs="Times New Roman"/>
          <w:lang w:val="hr-HR"/>
        </w:rPr>
        <w:t>in</w:t>
      </w:r>
      <w:r>
        <w:rPr>
          <w:rFonts w:eastAsia="Calibri" w:cs="Times New Roman"/>
          <w:lang w:val="hr-HR"/>
        </w:rPr>
        <w:t>amika</w:t>
      </w:r>
      <w:r w:rsidRPr="006B13C5">
        <w:rPr>
          <w:rFonts w:eastAsia="Calibri" w:cs="Times New Roman"/>
          <w:lang w:val="hr-HR"/>
        </w:rPr>
        <w:t xml:space="preserve"> r</w:t>
      </w:r>
      <w:r>
        <w:rPr>
          <w:rFonts w:eastAsia="Calibri" w:cs="Times New Roman"/>
          <w:lang w:val="hr-HR"/>
        </w:rPr>
        <w:t>aspoloživog dohotka kućanstava zavisit</w:t>
      </w:r>
      <w:r w:rsidRPr="006B13C5">
        <w:rPr>
          <w:rFonts w:eastAsia="Calibri" w:cs="Times New Roman"/>
          <w:lang w:val="hr-HR"/>
        </w:rPr>
        <w:t xml:space="preserve"> će prvenstveno </w:t>
      </w:r>
      <w:r>
        <w:rPr>
          <w:rFonts w:eastAsia="Calibri" w:cs="Times New Roman"/>
          <w:lang w:val="hr-HR"/>
        </w:rPr>
        <w:t xml:space="preserve">od </w:t>
      </w:r>
      <w:r w:rsidRPr="006B13C5">
        <w:rPr>
          <w:rFonts w:eastAsia="Calibri" w:cs="Times New Roman"/>
          <w:lang w:val="hr-HR"/>
        </w:rPr>
        <w:t>kretanje naknada zaposlenicima, uzimajući u obzir očekivano usporavanje rasta zaposlenosti prema nacionalnom konceptu, koje će biti izraženije od onog prema domaćem ko</w:t>
      </w:r>
      <w:r>
        <w:rPr>
          <w:rFonts w:eastAsia="Calibri" w:cs="Times New Roman"/>
          <w:lang w:val="hr-HR"/>
        </w:rPr>
        <w:t>nceptu, kao i očekivan</w:t>
      </w:r>
      <w:r w:rsidRPr="006B13C5">
        <w:rPr>
          <w:rFonts w:eastAsia="Calibri" w:cs="Times New Roman"/>
          <w:lang w:val="hr-HR"/>
        </w:rPr>
        <w:t xml:space="preserve"> </w:t>
      </w:r>
      <w:r>
        <w:rPr>
          <w:rFonts w:eastAsia="Calibri" w:cs="Times New Roman"/>
          <w:lang w:val="hr-HR"/>
        </w:rPr>
        <w:t>oporavak</w:t>
      </w:r>
      <w:r w:rsidRPr="006B13C5">
        <w:rPr>
          <w:rFonts w:eastAsia="Calibri" w:cs="Times New Roman"/>
          <w:lang w:val="hr-HR"/>
        </w:rPr>
        <w:t xml:space="preserve"> neoporezivih dohodaka kućanstava. Nepovoljan utjecaj na realni rast raspoloživog dohotka u č</w:t>
      </w:r>
      <w:r>
        <w:rPr>
          <w:rFonts w:eastAsia="Calibri" w:cs="Times New Roman"/>
          <w:lang w:val="hr-HR"/>
        </w:rPr>
        <w:t>itavom razdoblju dolazit će od nešto po</w:t>
      </w:r>
      <w:r w:rsidRPr="006B13C5">
        <w:rPr>
          <w:rFonts w:eastAsia="Calibri" w:cs="Times New Roman"/>
          <w:lang w:val="hr-HR"/>
        </w:rPr>
        <w:t xml:space="preserve">većane stope inflacije. </w:t>
      </w:r>
      <w:r>
        <w:rPr>
          <w:rFonts w:eastAsia="Calibri" w:cs="Times New Roman"/>
          <w:lang w:val="hr-HR"/>
        </w:rPr>
        <w:t>Osobna potrošnja će</w:t>
      </w:r>
      <w:r w:rsidRPr="006B13C5">
        <w:rPr>
          <w:rFonts w:eastAsia="Calibri" w:cs="Times New Roman"/>
          <w:lang w:val="hr-HR"/>
        </w:rPr>
        <w:t xml:space="preserve"> </w:t>
      </w:r>
      <w:r>
        <w:rPr>
          <w:rFonts w:eastAsia="Calibri" w:cs="Times New Roman"/>
          <w:lang w:val="hr-HR"/>
        </w:rPr>
        <w:t>tako najveći</w:t>
      </w:r>
      <w:r w:rsidRPr="006B13C5">
        <w:rPr>
          <w:rFonts w:eastAsia="Calibri" w:cs="Times New Roman"/>
          <w:lang w:val="hr-HR"/>
        </w:rPr>
        <w:t xml:space="preserve"> </w:t>
      </w:r>
      <w:r>
        <w:rPr>
          <w:rFonts w:eastAsia="Calibri" w:cs="Times New Roman"/>
          <w:lang w:val="hr-HR"/>
        </w:rPr>
        <w:t>doprinos rastu</w:t>
      </w:r>
      <w:r w:rsidRPr="006B13C5">
        <w:rPr>
          <w:rFonts w:eastAsia="Calibri" w:cs="Times New Roman"/>
          <w:lang w:val="hr-HR"/>
        </w:rPr>
        <w:t xml:space="preserve"> domaće p</w:t>
      </w:r>
      <w:r>
        <w:rPr>
          <w:rFonts w:eastAsia="Calibri" w:cs="Times New Roman"/>
          <w:lang w:val="hr-HR"/>
        </w:rPr>
        <w:t>otražnje dati u prvoj te ponovo u</w:t>
      </w:r>
      <w:r w:rsidRPr="006B13C5">
        <w:rPr>
          <w:rFonts w:eastAsia="Calibri" w:cs="Times New Roman"/>
          <w:lang w:val="hr-HR"/>
        </w:rPr>
        <w:t xml:space="preserve"> zadnjoj godini projekcijskog razdoblja</w:t>
      </w:r>
      <w:r>
        <w:rPr>
          <w:rFonts w:eastAsia="Calibri" w:cs="Times New Roman"/>
          <w:lang w:val="hr-HR"/>
        </w:rPr>
        <w:t xml:space="preserve">. </w:t>
      </w:r>
      <w:r w:rsidRPr="006B13C5">
        <w:rPr>
          <w:rFonts w:eastAsia="Calibri" w:cs="Times New Roman"/>
          <w:lang w:val="hr-HR"/>
        </w:rPr>
        <w:t xml:space="preserve">U </w:t>
      </w:r>
      <w:r w:rsidRPr="006B13C5">
        <w:rPr>
          <w:rFonts w:eastAsia="Calibri" w:cs="Times New Roman"/>
          <w:lang w:val="hr-HR"/>
        </w:rPr>
        <w:lastRenderedPageBreak/>
        <w:t xml:space="preserve">skladu s projekcijama fiskalnih kategorija na razini opće države, </w:t>
      </w:r>
      <w:r>
        <w:rPr>
          <w:rFonts w:eastAsia="Calibri" w:cs="Times New Roman"/>
          <w:lang w:val="hr-HR"/>
        </w:rPr>
        <w:t xml:space="preserve">nakon 2021. i pojačanih troškova uvjetovanih krizom uslijed </w:t>
      </w:r>
      <w:r w:rsidRPr="007E5D1B">
        <w:rPr>
          <w:rFonts w:eastAsia="Calibri" w:cs="Times New Roman"/>
          <w:lang w:val="hr-HR"/>
        </w:rPr>
        <w:t>pandemije koronavirusa</w:t>
      </w:r>
      <w:r>
        <w:rPr>
          <w:rFonts w:eastAsia="Calibri" w:cs="Times New Roman"/>
          <w:lang w:val="hr-HR"/>
        </w:rPr>
        <w:t xml:space="preserve">, do kraja razdoblja se ne očekuje </w:t>
      </w:r>
      <w:r w:rsidRPr="006B13C5">
        <w:rPr>
          <w:rFonts w:eastAsia="Calibri" w:cs="Times New Roman"/>
          <w:lang w:val="hr-HR"/>
        </w:rPr>
        <w:t xml:space="preserve">izražen doprinos državne potrošnje gospodarskom rastu. Najveći doprinos realnom rastu državne potrošnje kroz čitavo projekcijsko razdoblje dolazit će od rasta intermedijarne potrošnje. Doprinos od strane naknada zaposlenicima tijekom promatranog razdoblja bit će </w:t>
      </w:r>
      <w:r>
        <w:rPr>
          <w:rFonts w:eastAsia="Calibri" w:cs="Times New Roman"/>
          <w:lang w:val="hr-HR"/>
        </w:rPr>
        <w:t>blag te usporavajući</w:t>
      </w:r>
      <w:r w:rsidRPr="006B13C5">
        <w:rPr>
          <w:rFonts w:eastAsia="Calibri" w:cs="Times New Roman"/>
          <w:lang w:val="hr-HR"/>
        </w:rPr>
        <w:t xml:space="preserve">, odražavajući očekivanu dinamiku rasta zaposlenosti na razini opće države koja će </w:t>
      </w:r>
      <w:r>
        <w:rPr>
          <w:rFonts w:eastAsia="Calibri" w:cs="Times New Roman"/>
          <w:lang w:val="hr-HR"/>
        </w:rPr>
        <w:t>biti</w:t>
      </w:r>
      <w:r w:rsidRPr="006B13C5">
        <w:rPr>
          <w:rFonts w:eastAsia="Calibri" w:cs="Times New Roman"/>
          <w:lang w:val="hr-HR"/>
        </w:rPr>
        <w:t xml:space="preserve"> </w:t>
      </w:r>
      <w:r>
        <w:rPr>
          <w:rFonts w:eastAsia="Calibri" w:cs="Times New Roman"/>
          <w:lang w:val="hr-HR"/>
        </w:rPr>
        <w:t>nešto slabija od kretanja</w:t>
      </w:r>
      <w:r w:rsidRPr="006B13C5">
        <w:rPr>
          <w:rFonts w:eastAsia="Calibri" w:cs="Times New Roman"/>
          <w:lang w:val="hr-HR"/>
        </w:rPr>
        <w:t xml:space="preserve"> zaposlenosti u privatnom sektoru. Manji pozitivan doprinos rastu državne potrošnje očekuje se i od kategorije socijalnih transfera u naravi, dok se negativan doprinos, </w:t>
      </w:r>
      <w:r>
        <w:rPr>
          <w:rFonts w:eastAsia="Calibri" w:cs="Times New Roman"/>
          <w:lang w:val="hr-HR"/>
        </w:rPr>
        <w:t>posebno izražen u 2021., ali i 2022.,</w:t>
      </w:r>
      <w:r w:rsidRPr="006B13C5">
        <w:rPr>
          <w:rFonts w:eastAsia="Calibri" w:cs="Times New Roman"/>
          <w:lang w:val="hr-HR"/>
        </w:rPr>
        <w:t xml:space="preserve"> očekuje od tržišnog outputa</w:t>
      </w:r>
      <w:r>
        <w:rPr>
          <w:rFonts w:eastAsia="Calibri" w:cs="Times New Roman"/>
          <w:lang w:val="hr-HR"/>
        </w:rPr>
        <w:t xml:space="preserve"> opće države.</w:t>
      </w:r>
    </w:p>
    <w:p w:rsidR="009F444C" w:rsidRDefault="009F444C" w:rsidP="009F444C">
      <w:pPr>
        <w:spacing w:afterLines="120" w:after="288"/>
        <w:jc w:val="both"/>
        <w:rPr>
          <w:rFonts w:eastAsia="Calibri" w:cs="Times New Roman"/>
          <w:lang w:val="hr-HR"/>
        </w:rPr>
      </w:pPr>
      <w:r>
        <w:rPr>
          <w:rFonts w:eastAsia="Calibri" w:cs="Times New Roman"/>
          <w:lang w:val="hr-HR"/>
        </w:rPr>
        <w:t>Nakon pogoršanja dinamike investicija u privatnom sektoru</w:t>
      </w:r>
      <w:r w:rsidRPr="005B6655">
        <w:rPr>
          <w:rFonts w:eastAsia="Calibri" w:cs="Times New Roman"/>
          <w:lang w:val="hr-HR"/>
        </w:rPr>
        <w:t xml:space="preserve"> </w:t>
      </w:r>
      <w:r>
        <w:rPr>
          <w:rFonts w:eastAsia="Calibri" w:cs="Times New Roman"/>
          <w:lang w:val="hr-HR"/>
        </w:rPr>
        <w:t>tijekom 2021., ne uključujući građevinsku djelatnost, u naredni</w:t>
      </w:r>
      <w:r w:rsidRPr="00993184">
        <w:rPr>
          <w:rFonts w:eastAsia="Calibri" w:cs="Times New Roman"/>
          <w:lang w:val="hr-HR"/>
        </w:rPr>
        <w:t xml:space="preserve">m </w:t>
      </w:r>
      <w:r>
        <w:rPr>
          <w:rFonts w:eastAsia="Calibri" w:cs="Times New Roman"/>
          <w:lang w:val="hr-HR"/>
        </w:rPr>
        <w:t>godinama</w:t>
      </w:r>
      <w:r w:rsidRPr="00993184">
        <w:rPr>
          <w:rFonts w:eastAsia="Calibri" w:cs="Times New Roman"/>
          <w:lang w:val="hr-HR"/>
        </w:rPr>
        <w:t xml:space="preserve"> </w:t>
      </w:r>
      <w:r>
        <w:rPr>
          <w:rFonts w:eastAsia="Calibri" w:cs="Times New Roman"/>
          <w:lang w:val="hr-HR"/>
        </w:rPr>
        <w:t>predstoji</w:t>
      </w:r>
      <w:r w:rsidRPr="00993184">
        <w:rPr>
          <w:rFonts w:eastAsia="Calibri" w:cs="Times New Roman"/>
          <w:lang w:val="hr-HR"/>
        </w:rPr>
        <w:t xml:space="preserve"> snažna investicijska aktivnost potpomognuta postojećim kapitalnim priljevima iz fondova EU, kao i novim instrumentima financiranim ponajprije sredstvima iz Mehanizma oporavka i otpornosti. Snažniji doprinos rastu ukupnih investicija dolazit će od strane privatnih investicija kro</w:t>
      </w:r>
      <w:r>
        <w:rPr>
          <w:rFonts w:eastAsia="Calibri" w:cs="Times New Roman"/>
          <w:lang w:val="hr-HR"/>
        </w:rPr>
        <w:t>z čitavo projekcijsko razdoblje. Izraženi pozitivan doprinos</w:t>
      </w:r>
      <w:r w:rsidRPr="00993184">
        <w:rPr>
          <w:rFonts w:eastAsia="Calibri" w:cs="Times New Roman"/>
          <w:lang w:val="hr-HR"/>
        </w:rPr>
        <w:t xml:space="preserve"> od strane ja</w:t>
      </w:r>
      <w:r>
        <w:rPr>
          <w:rFonts w:eastAsia="Calibri" w:cs="Times New Roman"/>
          <w:lang w:val="hr-HR"/>
        </w:rPr>
        <w:t>vnih investicija bit će prisutan</w:t>
      </w:r>
      <w:r w:rsidRPr="00993184">
        <w:rPr>
          <w:rFonts w:eastAsia="Calibri" w:cs="Times New Roman"/>
          <w:lang w:val="hr-HR"/>
        </w:rPr>
        <w:t xml:space="preserve"> </w:t>
      </w:r>
      <w:r>
        <w:rPr>
          <w:rFonts w:eastAsia="Calibri" w:cs="Times New Roman"/>
          <w:lang w:val="hr-HR"/>
        </w:rPr>
        <w:t>poglavito u 2022. godini</w:t>
      </w:r>
      <w:r w:rsidRPr="00993184">
        <w:rPr>
          <w:rFonts w:eastAsia="Calibri" w:cs="Times New Roman"/>
          <w:lang w:val="hr-HR"/>
        </w:rPr>
        <w:t xml:space="preserve">, dok će </w:t>
      </w:r>
      <w:r>
        <w:rPr>
          <w:rFonts w:eastAsia="Calibri" w:cs="Times New Roman"/>
          <w:lang w:val="hr-HR"/>
        </w:rPr>
        <w:t>krajem projekcijskog razdoblja</w:t>
      </w:r>
      <w:r w:rsidRPr="00993184">
        <w:rPr>
          <w:rFonts w:eastAsia="Calibri" w:cs="Times New Roman"/>
          <w:lang w:val="hr-HR"/>
        </w:rPr>
        <w:t xml:space="preserve"> javne investicije bilježiti blagi pad, </w:t>
      </w:r>
      <w:r>
        <w:rPr>
          <w:rFonts w:eastAsia="Calibri" w:cs="Times New Roman"/>
          <w:lang w:val="hr-HR"/>
        </w:rPr>
        <w:t>no i dalje će ostati</w:t>
      </w:r>
      <w:r w:rsidRPr="00993184">
        <w:rPr>
          <w:rFonts w:eastAsia="Calibri" w:cs="Times New Roman"/>
          <w:lang w:val="hr-HR"/>
        </w:rPr>
        <w:t xml:space="preserve"> na povijesno visokim razinama</w:t>
      </w:r>
      <w:r>
        <w:rPr>
          <w:rFonts w:eastAsia="Calibri" w:cs="Times New Roman"/>
          <w:lang w:val="hr-HR"/>
        </w:rPr>
        <w:t xml:space="preserve">. </w:t>
      </w:r>
      <w:r w:rsidRPr="00993184">
        <w:rPr>
          <w:rFonts w:eastAsia="Calibri" w:cs="Times New Roman"/>
          <w:lang w:val="hr-HR"/>
        </w:rPr>
        <w:t>Što se tiče strukture investicija prema vrsti, u kratkom roku očekuje se nastavak povoljne dinamike u građevinskom sektoru</w:t>
      </w:r>
      <w:r>
        <w:rPr>
          <w:rFonts w:eastAsia="Calibri" w:cs="Times New Roman"/>
          <w:lang w:val="hr-HR"/>
        </w:rPr>
        <w:t>,</w:t>
      </w:r>
      <w:r w:rsidRPr="00993184">
        <w:rPr>
          <w:rFonts w:eastAsia="Calibri" w:cs="Times New Roman"/>
          <w:lang w:val="hr-HR"/>
        </w:rPr>
        <w:t xml:space="preserve"> potpomognute </w:t>
      </w:r>
      <w:r>
        <w:rPr>
          <w:rFonts w:eastAsia="Calibri" w:cs="Times New Roman"/>
          <w:lang w:val="hr-HR"/>
        </w:rPr>
        <w:t>i</w:t>
      </w:r>
      <w:r w:rsidRPr="00993184">
        <w:rPr>
          <w:rFonts w:eastAsia="Calibri" w:cs="Times New Roman"/>
          <w:lang w:val="hr-HR"/>
        </w:rPr>
        <w:t xml:space="preserve"> potrebom obnove fonda stambenih objekata nakon potresa zabilježenih u 2020. godini. </w:t>
      </w:r>
      <w:r>
        <w:rPr>
          <w:rFonts w:eastAsia="Calibri" w:cs="Times New Roman"/>
          <w:lang w:val="hr-HR"/>
        </w:rPr>
        <w:t>Krajem 2021. mogao bi se dinamizirati oporavak</w:t>
      </w:r>
      <w:r w:rsidRPr="00993184">
        <w:rPr>
          <w:rFonts w:eastAsia="Calibri" w:cs="Times New Roman"/>
          <w:lang w:val="hr-HR"/>
        </w:rPr>
        <w:t xml:space="preserve"> </w:t>
      </w:r>
      <w:r>
        <w:rPr>
          <w:rFonts w:eastAsia="Calibri" w:cs="Times New Roman"/>
          <w:lang w:val="hr-HR"/>
        </w:rPr>
        <w:t>kod preostalih vrsta</w:t>
      </w:r>
      <w:r w:rsidRPr="00993184">
        <w:rPr>
          <w:rFonts w:eastAsia="Calibri" w:cs="Times New Roman"/>
          <w:lang w:val="hr-HR"/>
        </w:rPr>
        <w:t xml:space="preserve"> investicija</w:t>
      </w:r>
      <w:r>
        <w:rPr>
          <w:rFonts w:eastAsia="Calibri" w:cs="Times New Roman"/>
          <w:lang w:val="hr-HR"/>
        </w:rPr>
        <w:t>, koje će također do kraja</w:t>
      </w:r>
      <w:r w:rsidRPr="00993184">
        <w:rPr>
          <w:rFonts w:eastAsia="Calibri" w:cs="Times New Roman"/>
          <w:lang w:val="hr-HR"/>
        </w:rPr>
        <w:t xml:space="preserve"> </w:t>
      </w:r>
      <w:r>
        <w:rPr>
          <w:rFonts w:eastAsia="Calibri" w:cs="Times New Roman"/>
          <w:lang w:val="hr-HR"/>
        </w:rPr>
        <w:t>projekcijskog razdoblja biti podržane</w:t>
      </w:r>
      <w:r w:rsidRPr="00993184">
        <w:rPr>
          <w:rFonts w:eastAsia="Calibri" w:cs="Times New Roman"/>
          <w:lang w:val="hr-HR"/>
        </w:rPr>
        <w:t xml:space="preserve"> </w:t>
      </w:r>
      <w:r>
        <w:rPr>
          <w:rFonts w:eastAsia="Calibri" w:cs="Times New Roman"/>
          <w:lang w:val="hr-HR"/>
        </w:rPr>
        <w:t>sredstvima iz fondova EU</w:t>
      </w:r>
      <w:r w:rsidRPr="00993184">
        <w:rPr>
          <w:rFonts w:eastAsia="Calibri" w:cs="Times New Roman"/>
          <w:lang w:val="hr-HR"/>
        </w:rPr>
        <w:t xml:space="preserve">. </w:t>
      </w:r>
      <w:r>
        <w:rPr>
          <w:rFonts w:eastAsia="Calibri" w:cs="Times New Roman"/>
          <w:lang w:val="hr-HR"/>
        </w:rPr>
        <w:t>T</w:t>
      </w:r>
      <w:r w:rsidRPr="00993184">
        <w:rPr>
          <w:rFonts w:eastAsia="Calibri" w:cs="Times New Roman"/>
          <w:lang w:val="hr-HR"/>
        </w:rPr>
        <w:t xml:space="preserve">ijekom srednjoročnog razdoblja očekuje se </w:t>
      </w:r>
      <w:r>
        <w:rPr>
          <w:rFonts w:eastAsia="Calibri" w:cs="Times New Roman"/>
          <w:lang w:val="hr-HR"/>
        </w:rPr>
        <w:t xml:space="preserve">i </w:t>
      </w:r>
      <w:r w:rsidRPr="00993184">
        <w:rPr>
          <w:rFonts w:eastAsia="Calibri" w:cs="Times New Roman"/>
          <w:lang w:val="hr-HR"/>
        </w:rPr>
        <w:t xml:space="preserve">daljnje poboljšanje investicijske klime u uvjetima oporavka profitabilnosti sektora poduzeća, pozitivnog kretanja ekonomskog raspoloženja te zadržavanja </w:t>
      </w:r>
      <w:r>
        <w:rPr>
          <w:rFonts w:eastAsia="Calibri" w:cs="Times New Roman"/>
          <w:lang w:val="hr-HR"/>
        </w:rPr>
        <w:t xml:space="preserve">razmjerno </w:t>
      </w:r>
      <w:r w:rsidRPr="00993184">
        <w:rPr>
          <w:rFonts w:eastAsia="Calibri" w:cs="Times New Roman"/>
          <w:lang w:val="hr-HR"/>
        </w:rPr>
        <w:t xml:space="preserve">povoljnih inozemnih uvjeta financiranja, kao i kreditnog rejtinga zemlje. </w:t>
      </w:r>
      <w:r>
        <w:rPr>
          <w:rFonts w:eastAsia="Calibri" w:cs="Times New Roman"/>
          <w:lang w:val="hr-HR"/>
        </w:rPr>
        <w:t>Međutim</w:t>
      </w:r>
      <w:r w:rsidRPr="00993184">
        <w:rPr>
          <w:rFonts w:eastAsia="Calibri" w:cs="Times New Roman"/>
          <w:lang w:val="hr-HR"/>
        </w:rPr>
        <w:t>, kao rezultat COVID-19 krize, ugrožene su bilance mnogih poduzeća, a pogotovo malih i srednjih</w:t>
      </w:r>
      <w:r>
        <w:rPr>
          <w:rFonts w:eastAsia="Calibri" w:cs="Times New Roman"/>
          <w:lang w:val="hr-HR"/>
        </w:rPr>
        <w:t xml:space="preserve"> u uslužnom sektoru</w:t>
      </w:r>
      <w:r w:rsidRPr="00993184">
        <w:rPr>
          <w:rFonts w:eastAsia="Calibri" w:cs="Times New Roman"/>
          <w:lang w:val="hr-HR"/>
        </w:rPr>
        <w:t xml:space="preserve">. Tako će sektor poduzeća, koji je u desetgodišnjem razdoblju nakon velike financijske krize 2008. godine zabilježio relativno slabije razduživanje od ostalih sektora, unatoč razmjerno visokoj profitabilnosti proteklih godina, morati proći daljnje razdoblje jačanja svojih bilanci. </w:t>
      </w:r>
    </w:p>
    <w:p w:rsidR="009F444C" w:rsidRDefault="009F444C" w:rsidP="009F444C">
      <w:pPr>
        <w:spacing w:afterLines="120" w:after="288"/>
        <w:jc w:val="both"/>
        <w:rPr>
          <w:rFonts w:eastAsia="Calibri" w:cs="Times New Roman"/>
          <w:lang w:val="hr-HR"/>
        </w:rPr>
      </w:pPr>
      <w:r w:rsidRPr="002228C2">
        <w:rPr>
          <w:rFonts w:eastAsia="Calibri" w:cs="Times New Roman"/>
          <w:lang w:val="hr-HR"/>
        </w:rPr>
        <w:t xml:space="preserve">U kriznoj 2020. </w:t>
      </w:r>
      <w:r>
        <w:rPr>
          <w:rFonts w:eastAsia="Calibri" w:cs="Times New Roman"/>
          <w:lang w:val="hr-HR"/>
        </w:rPr>
        <w:t xml:space="preserve">te </w:t>
      </w:r>
      <w:r w:rsidRPr="002228C2">
        <w:rPr>
          <w:rFonts w:eastAsia="Calibri" w:cs="Times New Roman"/>
          <w:lang w:val="hr-HR"/>
        </w:rPr>
        <w:t xml:space="preserve">dosadašnjem dijelu 2021. godine kretanje izvoza roba karakterizirala je iznimno povoljna dinamika u uvjetima pandemije i višestrukih izazova u trgovinskoj razmjeni. </w:t>
      </w:r>
      <w:r>
        <w:rPr>
          <w:rFonts w:cs="Times New Roman"/>
          <w:lang w:val="hr-HR"/>
        </w:rPr>
        <w:t>D</w:t>
      </w:r>
      <w:r w:rsidRPr="002228C2">
        <w:rPr>
          <w:rFonts w:cs="Times New Roman"/>
          <w:lang w:val="hr-HR"/>
        </w:rPr>
        <w:t>osadašnja ostvarenja robnog izvoza te industrijske proizvodnje</w:t>
      </w:r>
      <w:r>
        <w:rPr>
          <w:rFonts w:cs="Times New Roman"/>
          <w:lang w:val="hr-HR"/>
        </w:rPr>
        <w:t>, potpomognuta</w:t>
      </w:r>
      <w:r w:rsidRPr="002228C2">
        <w:rPr>
          <w:rFonts w:cs="Times New Roman"/>
          <w:lang w:val="hr-HR"/>
        </w:rPr>
        <w:t xml:space="preserve"> </w:t>
      </w:r>
      <w:r>
        <w:rPr>
          <w:rFonts w:cs="Times New Roman"/>
          <w:lang w:val="hr-HR"/>
        </w:rPr>
        <w:t>pozitiv</w:t>
      </w:r>
      <w:r w:rsidRPr="002228C2">
        <w:rPr>
          <w:rFonts w:cs="Times New Roman"/>
          <w:lang w:val="hr-HR"/>
        </w:rPr>
        <w:t>n</w:t>
      </w:r>
      <w:r>
        <w:rPr>
          <w:rFonts w:cs="Times New Roman"/>
          <w:lang w:val="hr-HR"/>
        </w:rPr>
        <w:t>im</w:t>
      </w:r>
      <w:r w:rsidRPr="002228C2">
        <w:rPr>
          <w:rFonts w:cs="Times New Roman"/>
          <w:lang w:val="hr-HR"/>
        </w:rPr>
        <w:t xml:space="preserve"> bazni</w:t>
      </w:r>
      <w:r>
        <w:rPr>
          <w:rFonts w:cs="Times New Roman"/>
          <w:lang w:val="hr-HR"/>
        </w:rPr>
        <w:t>m</w:t>
      </w:r>
      <w:r w:rsidRPr="002228C2">
        <w:rPr>
          <w:rFonts w:cs="Times New Roman"/>
          <w:lang w:val="hr-HR"/>
        </w:rPr>
        <w:t xml:space="preserve"> efekt</w:t>
      </w:r>
      <w:r>
        <w:rPr>
          <w:rFonts w:cs="Times New Roman"/>
          <w:lang w:val="hr-HR"/>
        </w:rPr>
        <w:t>om</w:t>
      </w:r>
      <w:r w:rsidRPr="002228C2">
        <w:rPr>
          <w:rFonts w:cs="Times New Roman"/>
          <w:lang w:val="hr-HR"/>
        </w:rPr>
        <w:t xml:space="preserve"> </w:t>
      </w:r>
      <w:r>
        <w:rPr>
          <w:rFonts w:cs="Times New Roman"/>
          <w:lang w:val="hr-HR"/>
        </w:rPr>
        <w:t>od</w:t>
      </w:r>
      <w:r w:rsidRPr="002228C2">
        <w:rPr>
          <w:rFonts w:cs="Times New Roman"/>
          <w:lang w:val="hr-HR"/>
        </w:rPr>
        <w:t xml:space="preserve"> prošle godine</w:t>
      </w:r>
      <w:r>
        <w:rPr>
          <w:rFonts w:cs="Times New Roman"/>
          <w:lang w:val="hr-HR"/>
        </w:rPr>
        <w:t>,</w:t>
      </w:r>
      <w:r>
        <w:rPr>
          <w:rFonts w:eastAsia="Calibri" w:cs="Times New Roman"/>
          <w:lang w:val="hr-HR"/>
        </w:rPr>
        <w:t xml:space="preserve"> </w:t>
      </w:r>
      <w:r>
        <w:rPr>
          <w:rFonts w:cs="Times New Roman"/>
          <w:lang w:val="hr-HR"/>
        </w:rPr>
        <w:t>kao i</w:t>
      </w:r>
      <w:r w:rsidRPr="002228C2">
        <w:rPr>
          <w:rFonts w:cs="Times New Roman"/>
          <w:lang w:val="hr-HR"/>
        </w:rPr>
        <w:t xml:space="preserve"> u kratkom roku prisutan globalni trend supstitucije </w:t>
      </w:r>
      <w:r>
        <w:rPr>
          <w:rFonts w:cs="Times New Roman"/>
          <w:lang w:val="hr-HR"/>
        </w:rPr>
        <w:t xml:space="preserve">privremeno nedostupnih usluga </w:t>
      </w:r>
      <w:r w:rsidRPr="002228C2">
        <w:rPr>
          <w:rFonts w:cs="Times New Roman"/>
          <w:lang w:val="hr-HR"/>
        </w:rPr>
        <w:t>dobrima</w:t>
      </w:r>
      <w:r>
        <w:rPr>
          <w:rFonts w:cs="Times New Roman"/>
          <w:lang w:val="hr-HR"/>
        </w:rPr>
        <w:t>, dovela su do očekivanja rekordnog ostvarenja izvoza roba u 2021. godini</w:t>
      </w:r>
      <w:r w:rsidRPr="002228C2">
        <w:rPr>
          <w:rFonts w:cs="Times New Roman"/>
          <w:lang w:val="hr-HR"/>
        </w:rPr>
        <w:t xml:space="preserve">. </w:t>
      </w:r>
      <w:r>
        <w:rPr>
          <w:rFonts w:eastAsia="Calibri" w:cs="Times New Roman"/>
          <w:lang w:val="hr-HR"/>
        </w:rPr>
        <w:t>Unatoč tomu, nakon naglašenog skoka 2020., rast domaćeg udjela na inozemnim robnim tržištima nastavit će se slabijim intenzitetom i u 2021. godini. Do kraja projekcijskog razdoblja,</w:t>
      </w:r>
      <w:r w:rsidRPr="002228C2">
        <w:rPr>
          <w:rFonts w:eastAsia="Calibri" w:cs="Times New Roman"/>
          <w:lang w:val="hr-HR"/>
        </w:rPr>
        <w:t xml:space="preserve"> uslijed usporavanja kretanja inozemn</w:t>
      </w:r>
      <w:r>
        <w:rPr>
          <w:rFonts w:eastAsia="Calibri" w:cs="Times New Roman"/>
          <w:lang w:val="hr-HR"/>
        </w:rPr>
        <w:t>e potražnje</w:t>
      </w:r>
      <w:r w:rsidRPr="002228C2">
        <w:rPr>
          <w:rFonts w:eastAsia="Calibri" w:cs="Times New Roman"/>
          <w:lang w:val="hr-HR"/>
        </w:rPr>
        <w:t xml:space="preserve"> za domaćim robama</w:t>
      </w:r>
      <w:r>
        <w:rPr>
          <w:rFonts w:eastAsia="Calibri" w:cs="Times New Roman"/>
          <w:lang w:val="hr-HR"/>
        </w:rPr>
        <w:t xml:space="preserve"> te</w:t>
      </w:r>
      <w:r w:rsidRPr="002228C2">
        <w:rPr>
          <w:rFonts w:eastAsia="Calibri" w:cs="Times New Roman"/>
          <w:lang w:val="hr-HR"/>
        </w:rPr>
        <w:t xml:space="preserve"> </w:t>
      </w:r>
      <w:r>
        <w:rPr>
          <w:rFonts w:eastAsia="Calibri" w:cs="Times New Roman"/>
          <w:lang w:val="hr-HR"/>
        </w:rPr>
        <w:t>blagog</w:t>
      </w:r>
      <w:r w:rsidRPr="002228C2">
        <w:rPr>
          <w:rFonts w:eastAsia="Calibri" w:cs="Times New Roman"/>
          <w:lang w:val="hr-HR"/>
        </w:rPr>
        <w:t xml:space="preserve"> </w:t>
      </w:r>
      <w:r>
        <w:rPr>
          <w:rFonts w:eastAsia="Calibri" w:cs="Times New Roman"/>
          <w:lang w:val="hr-HR"/>
        </w:rPr>
        <w:t xml:space="preserve">slabljenja </w:t>
      </w:r>
      <w:r w:rsidRPr="002228C2">
        <w:rPr>
          <w:rFonts w:eastAsia="Calibri" w:cs="Times New Roman"/>
          <w:lang w:val="hr-HR"/>
        </w:rPr>
        <w:t>dinamike zastupljenosti na izvoznim tržištima, ali i ograničenih kapaciteta domaće industrijske proizvodnje</w:t>
      </w:r>
      <w:r>
        <w:rPr>
          <w:rFonts w:eastAsia="Calibri" w:cs="Times New Roman"/>
          <w:lang w:val="hr-HR"/>
        </w:rPr>
        <w:t>,</w:t>
      </w:r>
      <w:r w:rsidRPr="002228C2">
        <w:rPr>
          <w:rFonts w:eastAsia="Calibri" w:cs="Times New Roman"/>
          <w:lang w:val="hr-HR"/>
        </w:rPr>
        <w:t xml:space="preserve"> rast izvoza roba i usluga očekuje se po </w:t>
      </w:r>
      <w:r>
        <w:rPr>
          <w:rFonts w:eastAsia="Calibri" w:cs="Times New Roman"/>
          <w:lang w:val="hr-HR"/>
        </w:rPr>
        <w:t>umjerenim</w:t>
      </w:r>
      <w:r w:rsidRPr="002228C2">
        <w:rPr>
          <w:rFonts w:eastAsia="Calibri" w:cs="Times New Roman"/>
          <w:lang w:val="hr-HR"/>
        </w:rPr>
        <w:t xml:space="preserve"> </w:t>
      </w:r>
      <w:r>
        <w:rPr>
          <w:rFonts w:eastAsia="Calibri" w:cs="Times New Roman"/>
          <w:lang w:val="hr-HR"/>
        </w:rPr>
        <w:t>i usporavajućim stopama</w:t>
      </w:r>
      <w:r w:rsidRPr="002228C2">
        <w:rPr>
          <w:rFonts w:eastAsia="Calibri" w:cs="Times New Roman"/>
          <w:lang w:val="hr-HR"/>
        </w:rPr>
        <w:t xml:space="preserve">. </w:t>
      </w:r>
      <w:r w:rsidRPr="002228C2">
        <w:rPr>
          <w:rFonts w:cs="Times New Roman"/>
          <w:lang w:val="hr-HR"/>
        </w:rPr>
        <w:t xml:space="preserve">Iako će dinamika izvoza roba prvenstveno ovisiti o gospodarskom oporavku glavnih vanjskotrgovinskih partnera u EU, pozitivan utjecaj očekuje se i od povećanja udjela izvoza roba prema brže rastućim netradicionalnim partnerima. </w:t>
      </w:r>
      <w:r>
        <w:rPr>
          <w:rFonts w:cs="Times New Roman"/>
          <w:lang w:val="hr-HR"/>
        </w:rPr>
        <w:t>Što se tiče izvoza usluga, čimbenici koji su</w:t>
      </w:r>
      <w:r w:rsidRPr="002228C2">
        <w:rPr>
          <w:rFonts w:cs="Times New Roman"/>
          <w:lang w:val="hr-HR"/>
        </w:rPr>
        <w:t xml:space="preserve"> pridonijeli </w:t>
      </w:r>
      <w:r>
        <w:rPr>
          <w:rFonts w:cs="Times New Roman"/>
          <w:lang w:val="hr-HR"/>
        </w:rPr>
        <w:t>povoljnim ostvarenjima sektora turizma u kriznim uvjetima, među kojima se mnogi</w:t>
      </w:r>
      <w:r w:rsidRPr="002228C2">
        <w:rPr>
          <w:rFonts w:cs="Times New Roman"/>
          <w:lang w:val="hr-HR"/>
        </w:rPr>
        <w:t xml:space="preserve"> uobičajeno smatraju nepovoljnim strukturnim obilježjima hrvatskog turizma</w:t>
      </w:r>
      <w:r>
        <w:rPr>
          <w:rFonts w:cs="Times New Roman"/>
          <w:lang w:val="hr-HR"/>
        </w:rPr>
        <w:t>, mogli bi se djelomično zadržati i u 2022. godini</w:t>
      </w:r>
      <w:r w:rsidRPr="002228C2">
        <w:rPr>
          <w:rFonts w:cs="Times New Roman"/>
          <w:lang w:val="hr-HR"/>
        </w:rPr>
        <w:t xml:space="preserve">. </w:t>
      </w:r>
      <w:r>
        <w:rPr>
          <w:rFonts w:cs="Times New Roman"/>
          <w:lang w:val="hr-HR"/>
        </w:rPr>
        <w:t xml:space="preserve">Noćenja stranih turista, nakon iznenađujuće povoljnih ostvarenja u 2020. i 2021. u uvjetima pandemije, u 2022. zabilježit će izražen rast, da bi u narednim </w:t>
      </w:r>
      <w:r>
        <w:rPr>
          <w:rFonts w:cs="Times New Roman"/>
          <w:lang w:val="hr-HR"/>
        </w:rPr>
        <w:lastRenderedPageBreak/>
        <w:t xml:space="preserve">godinama usporavala prema nižim stopama te tek u 2024. prestigla pretkriznu 2019. godinu. </w:t>
      </w:r>
      <w:r>
        <w:rPr>
          <w:rFonts w:eastAsia="Calibri" w:cs="Times New Roman"/>
          <w:lang w:val="hr-HR"/>
        </w:rPr>
        <w:t>N</w:t>
      </w:r>
      <w:r w:rsidRPr="002228C2">
        <w:rPr>
          <w:rFonts w:eastAsia="Calibri" w:cs="Times New Roman"/>
          <w:lang w:val="hr-HR"/>
        </w:rPr>
        <w:t>akon višegodišnjih rekordnih rezultata kao i značajno boljih ostvarenja u odnosu na konkurenciju za vrijeme protekle dvije „epidemijske“ turističke sezone, domaći turistički sektor</w:t>
      </w:r>
      <w:r>
        <w:rPr>
          <w:rFonts w:eastAsia="Calibri" w:cs="Times New Roman"/>
          <w:lang w:val="hr-HR"/>
        </w:rPr>
        <w:t xml:space="preserve"> će u srednjem roku biti</w:t>
      </w:r>
      <w:r w:rsidRPr="002228C2">
        <w:rPr>
          <w:rFonts w:eastAsia="Calibri" w:cs="Times New Roman"/>
          <w:lang w:val="hr-HR"/>
        </w:rPr>
        <w:t xml:space="preserve"> suočen s unutarnjim ograničenjima na strani ponude kao i sa slabijom dinamikom potražnje, što naglašava važnost strateških pomaka u smjeru smanjivanja masovnosti </w:t>
      </w:r>
      <w:r>
        <w:rPr>
          <w:rFonts w:eastAsia="Calibri" w:cs="Times New Roman"/>
          <w:lang w:val="hr-HR"/>
        </w:rPr>
        <w:t xml:space="preserve">i sezonalnosti domaćeg turizma. </w:t>
      </w:r>
      <w:r>
        <w:rPr>
          <w:rFonts w:cs="Times New Roman"/>
          <w:lang w:val="hr-HR"/>
        </w:rPr>
        <w:t>G</w:t>
      </w:r>
      <w:r w:rsidRPr="002228C2">
        <w:rPr>
          <w:rFonts w:cs="Times New Roman"/>
          <w:lang w:val="hr-HR"/>
        </w:rPr>
        <w:t>lobalni oporavak sektora usluga</w:t>
      </w:r>
      <w:r>
        <w:rPr>
          <w:rFonts w:cs="Times New Roman"/>
          <w:lang w:val="hr-HR"/>
        </w:rPr>
        <w:t xml:space="preserve"> </w:t>
      </w:r>
      <w:r w:rsidRPr="002228C2">
        <w:rPr>
          <w:rFonts w:cs="Times New Roman"/>
          <w:lang w:val="hr-HR"/>
        </w:rPr>
        <w:t>djelovati</w:t>
      </w:r>
      <w:r>
        <w:rPr>
          <w:rFonts w:cs="Times New Roman"/>
          <w:lang w:val="hr-HR"/>
        </w:rPr>
        <w:t xml:space="preserve"> će na postupni oporavak i</w:t>
      </w:r>
      <w:r w:rsidRPr="002228C2">
        <w:rPr>
          <w:rFonts w:cs="Times New Roman"/>
          <w:lang w:val="hr-HR"/>
        </w:rPr>
        <w:t>zvoz</w:t>
      </w:r>
      <w:r>
        <w:rPr>
          <w:rFonts w:cs="Times New Roman"/>
          <w:lang w:val="hr-HR"/>
        </w:rPr>
        <w:t>a</w:t>
      </w:r>
      <w:r w:rsidRPr="002228C2">
        <w:rPr>
          <w:rFonts w:cs="Times New Roman"/>
          <w:lang w:val="hr-HR"/>
        </w:rPr>
        <w:t xml:space="preserve"> usluga is</w:t>
      </w:r>
      <w:r>
        <w:rPr>
          <w:rFonts w:cs="Times New Roman"/>
          <w:lang w:val="hr-HR"/>
        </w:rPr>
        <w:t>ključujući turizam.</w:t>
      </w:r>
    </w:p>
    <w:p w:rsidR="009F444C" w:rsidRDefault="009F444C" w:rsidP="009F444C">
      <w:pPr>
        <w:spacing w:afterLines="120" w:after="288"/>
        <w:jc w:val="both"/>
        <w:rPr>
          <w:rFonts w:cs="Times New Roman"/>
          <w:lang w:val="hr-HR"/>
        </w:rPr>
      </w:pPr>
      <w:r>
        <w:rPr>
          <w:rFonts w:eastAsia="Calibri" w:cs="Times New Roman"/>
          <w:lang w:val="hr-HR"/>
        </w:rPr>
        <w:t>Iako treba naglasiti kako se  prethodno očekivalo više ostvarenje elastičnosti uvoza roba i usluga u odnosu na konačnu potražnju u 2021. godini, u</w:t>
      </w:r>
      <w:r w:rsidRPr="002228C2">
        <w:rPr>
          <w:rFonts w:eastAsia="Calibri" w:cs="Times New Roman"/>
          <w:lang w:val="hr-HR"/>
        </w:rPr>
        <w:t xml:space="preserve"> uvjetima </w:t>
      </w:r>
      <w:r>
        <w:rPr>
          <w:rFonts w:eastAsia="Calibri" w:cs="Times New Roman"/>
          <w:lang w:val="hr-HR"/>
        </w:rPr>
        <w:t xml:space="preserve">snažnog </w:t>
      </w:r>
      <w:r w:rsidRPr="002228C2">
        <w:rPr>
          <w:rFonts w:eastAsia="Calibri" w:cs="Times New Roman"/>
          <w:lang w:val="hr-HR"/>
        </w:rPr>
        <w:t>rasta potražnje</w:t>
      </w:r>
      <w:r>
        <w:rPr>
          <w:rFonts w:eastAsia="Calibri" w:cs="Times New Roman"/>
          <w:lang w:val="hr-HR"/>
        </w:rPr>
        <w:t xml:space="preserve"> te smanjenih kapaciteta</w:t>
      </w:r>
      <w:r w:rsidRPr="002228C2">
        <w:rPr>
          <w:rFonts w:eastAsia="Calibri" w:cs="Times New Roman"/>
          <w:lang w:val="hr-HR"/>
        </w:rPr>
        <w:t>, domaća gospodarska struktura, kao malog otvor</w:t>
      </w:r>
      <w:r>
        <w:rPr>
          <w:rFonts w:eastAsia="Calibri" w:cs="Times New Roman"/>
          <w:lang w:val="hr-HR"/>
        </w:rPr>
        <w:t>enog gospodarstva uz ograničene domete</w:t>
      </w:r>
      <w:r w:rsidRPr="002228C2">
        <w:rPr>
          <w:rFonts w:eastAsia="Calibri" w:cs="Times New Roman"/>
          <w:lang w:val="hr-HR"/>
        </w:rPr>
        <w:t xml:space="preserve"> industrijske proizvodnje, </w:t>
      </w:r>
      <w:r>
        <w:rPr>
          <w:rFonts w:eastAsia="Calibri" w:cs="Times New Roman"/>
          <w:lang w:val="hr-HR"/>
        </w:rPr>
        <w:t>vodi ka</w:t>
      </w:r>
      <w:r w:rsidRPr="002228C2">
        <w:rPr>
          <w:rFonts w:eastAsia="Calibri" w:cs="Times New Roman"/>
          <w:lang w:val="hr-HR"/>
        </w:rPr>
        <w:t xml:space="preserve"> </w:t>
      </w:r>
      <w:r>
        <w:rPr>
          <w:rFonts w:eastAsia="Calibri" w:cs="Times New Roman"/>
          <w:lang w:val="hr-HR"/>
        </w:rPr>
        <w:t>snažnom rastu</w:t>
      </w:r>
      <w:r w:rsidRPr="002228C2">
        <w:rPr>
          <w:rFonts w:eastAsia="Calibri" w:cs="Times New Roman"/>
          <w:lang w:val="hr-HR"/>
        </w:rPr>
        <w:t xml:space="preserve"> </w:t>
      </w:r>
      <w:r>
        <w:rPr>
          <w:rFonts w:eastAsia="Calibri" w:cs="Times New Roman"/>
          <w:lang w:val="hr-HR"/>
        </w:rPr>
        <w:t>uvoza roba i usluga te nastavku</w:t>
      </w:r>
      <w:r w:rsidRPr="002228C2">
        <w:rPr>
          <w:rFonts w:eastAsia="Calibri" w:cs="Times New Roman"/>
          <w:lang w:val="hr-HR"/>
        </w:rPr>
        <w:t xml:space="preserve"> rasta njegovog udjela u BDP-u.</w:t>
      </w:r>
      <w:r w:rsidRPr="00AA2D5B">
        <w:rPr>
          <w:rFonts w:eastAsia="Calibri" w:cs="Times New Roman"/>
          <w:lang w:val="hr-HR"/>
        </w:rPr>
        <w:t xml:space="preserve"> </w:t>
      </w:r>
      <w:r>
        <w:rPr>
          <w:rFonts w:eastAsia="Calibri" w:cs="Times New Roman"/>
          <w:lang w:val="hr-HR"/>
        </w:rPr>
        <w:t xml:space="preserve">Pri tomu se, u usporedbi s uvozom roba čiji će udjel u BDP-u bilježiti kontinuiran i snažan rast, kod uvoza usluga očekuje prigušeni oporavak pomaknut prema kraju projekcijskog razdoblja. </w:t>
      </w:r>
      <w:r>
        <w:rPr>
          <w:rFonts w:cs="Times New Roman"/>
          <w:lang w:val="hr-HR"/>
        </w:rPr>
        <w:t>Međutim, u</w:t>
      </w:r>
      <w:r w:rsidRPr="002228C2">
        <w:rPr>
          <w:rFonts w:cs="Times New Roman"/>
          <w:lang w:val="hr-HR"/>
        </w:rPr>
        <w:t xml:space="preserve">činci </w:t>
      </w:r>
      <w:r w:rsidRPr="00720F84">
        <w:rPr>
          <w:rFonts w:cs="Times New Roman"/>
          <w:lang w:val="hr-HR"/>
        </w:rPr>
        <w:t>NPOO-a</w:t>
      </w:r>
      <w:r w:rsidRPr="002228C2">
        <w:rPr>
          <w:rFonts w:cs="Times New Roman"/>
          <w:lang w:val="hr-HR"/>
        </w:rPr>
        <w:t xml:space="preserve"> </w:t>
      </w:r>
      <w:r>
        <w:rPr>
          <w:rFonts w:cs="Times New Roman"/>
          <w:lang w:val="hr-HR"/>
        </w:rPr>
        <w:t>na uvoz</w:t>
      </w:r>
      <w:r w:rsidRPr="002228C2">
        <w:rPr>
          <w:rFonts w:cs="Times New Roman"/>
          <w:lang w:val="hr-HR"/>
        </w:rPr>
        <w:t xml:space="preserve"> roba i usluga u velikoj su mjeri koncentrirani u prvim godinama promatranog razdoblja, te tako uvjetuju razmjerno nisku razinu elastičnosti uvoza u odnosu na konačnu potražnju u zadnjoj projekcijskoj godini. </w:t>
      </w:r>
      <w:r>
        <w:rPr>
          <w:rFonts w:cs="Times New Roman"/>
          <w:lang w:val="hr-HR"/>
        </w:rPr>
        <w:t>Također, u</w:t>
      </w:r>
      <w:r w:rsidRPr="002228C2">
        <w:rPr>
          <w:rFonts w:cs="Times New Roman"/>
          <w:lang w:val="hr-HR"/>
        </w:rPr>
        <w:t xml:space="preserve">većana razina elastičnosti uvoza u </w:t>
      </w:r>
      <w:r>
        <w:rPr>
          <w:rFonts w:cs="Times New Roman"/>
          <w:lang w:val="hr-HR"/>
        </w:rPr>
        <w:t>2022. godini</w:t>
      </w:r>
      <w:r w:rsidRPr="002228C2">
        <w:rPr>
          <w:rFonts w:cs="Times New Roman"/>
          <w:lang w:val="hr-HR"/>
        </w:rPr>
        <w:t xml:space="preserve">, osim same snažne dinamike finalne potražnje, odnosi se i na njezinu strukturu budući da pojačani gospodarski rast počiva prvenstveno na skoku investicijske potrošnje te snažnom oporavku izvoza, koje obilježava najizraženijom uvozna ovisnost. </w:t>
      </w:r>
      <w:r>
        <w:rPr>
          <w:rFonts w:cs="Times New Roman"/>
          <w:lang w:val="hr-HR"/>
        </w:rPr>
        <w:t>U</w:t>
      </w:r>
      <w:r w:rsidRPr="002228C2">
        <w:rPr>
          <w:rFonts w:cs="Times New Roman"/>
          <w:lang w:val="hr-HR"/>
        </w:rPr>
        <w:t xml:space="preserve"> skladu s projiciranim kretanjem konačne potražnje, </w:t>
      </w:r>
      <w:r>
        <w:rPr>
          <w:rFonts w:cs="Times New Roman"/>
          <w:lang w:val="hr-HR"/>
        </w:rPr>
        <w:t xml:space="preserve">uvoz će imati usporavajuću dinamiku prema kraju projekcijskog razdoblja. </w:t>
      </w:r>
    </w:p>
    <w:p w:rsidR="009F444C" w:rsidRPr="002617D2" w:rsidRDefault="009F444C" w:rsidP="009F444C">
      <w:pPr>
        <w:jc w:val="both"/>
        <w:rPr>
          <w:rFonts w:cs="Times New Roman"/>
          <w:highlight w:val="yellow"/>
          <w:lang w:val="hr-HR"/>
        </w:rPr>
      </w:pPr>
      <w:r w:rsidRPr="00545CC6">
        <w:rPr>
          <w:rFonts w:cs="Times New Roman"/>
          <w:lang w:val="hr-HR"/>
        </w:rPr>
        <w:t xml:space="preserve">Predviđa se da </w:t>
      </w:r>
      <w:r w:rsidRPr="004C5867">
        <w:rPr>
          <w:rFonts w:cs="Times New Roman"/>
          <w:lang w:val="hr-HR"/>
        </w:rPr>
        <w:t xml:space="preserve">će nakon blagog rasta od 0,1% u 2020., međugodišnji rast potrošačkih cijena u 2021. godini snažno ubrzati te će iznositi 2,4%. </w:t>
      </w:r>
      <w:r w:rsidRPr="004C5867">
        <w:rPr>
          <w:lang w:val="hr-HR"/>
        </w:rPr>
        <w:t xml:space="preserve">Navedeno ubrzanje inflacije prvenstveno je posljedica izraženog </w:t>
      </w:r>
      <w:r w:rsidRPr="00C65F48">
        <w:rPr>
          <w:lang w:val="hr-HR"/>
        </w:rPr>
        <w:t xml:space="preserve">povećanja cijena energije, uslijed snažnog rasta cijena </w:t>
      </w:r>
      <w:r>
        <w:rPr>
          <w:lang w:val="hr-HR"/>
        </w:rPr>
        <w:t>nafte</w:t>
      </w:r>
      <w:r w:rsidRPr="00C65F48">
        <w:rPr>
          <w:lang w:val="hr-HR"/>
        </w:rPr>
        <w:t xml:space="preserve"> na svjetskom tržištu. Nadalje, </w:t>
      </w:r>
      <w:r w:rsidRPr="002617D2">
        <w:rPr>
          <w:lang w:val="hr-HR"/>
        </w:rPr>
        <w:t>izraženiji doprinos inflaciji u ovoj godini doći će i od ubrzanja rasta potrošačkih cijena koje isključuju hranu i energiju, dok će cijene hrane u 2021. rasti nešto sporijom dinamikom u odnosu na prethodnu godinu, pri čemu će u drugoj polovici ove godine njihov doprinos rastu inflacije biti sve izraženiji. Kretanje proizvođačkih cijena tijekom 2021. godine pokazuje da se inflatorni pritisci povezani s kretanjem cijena sirovina na svjetskom tržištu i poremećajima u globalnim opskrbnim lancima, koji utječu na sve izraženiji rast proizvođačkih cijena u EU, počinju prelijevati i na domaće proizvođačke cijene</w:t>
      </w:r>
      <w:r w:rsidRPr="002617D2">
        <w:rPr>
          <w:rStyle w:val="FootnoteReference"/>
          <w:lang w:val="hr-HR"/>
        </w:rPr>
        <w:footnoteReference w:id="3"/>
      </w:r>
      <w:r w:rsidRPr="002617D2">
        <w:rPr>
          <w:lang w:val="hr-HR"/>
        </w:rPr>
        <w:t xml:space="preserve">. U 2022. godini očekuje se dodatno ubrzanje inflacije potrošačkih cijena na razinu od 2,6%. Navedenom ubrzanju doprinijet će snažniji rast cijena hrane, pod utjecajem povećanja troškova inputa u poljoprivrednoj proizvodnji, te kretanja cijena prehrambenih sirovina na globalnom i EU tržištu. Nadalje, u smjeru ubrzanja inflacije djelovat će i potrošačke cijene bez hrane i energije, koje bi mogle ubrzati u uvjetima oporavka potražnje, kao i prelijevanja snažnog rasta cijena sirovina te proizvođačkih cijena u EU i RH na potrošačke cijene. Istovremeno, znatno usporavanje rasta cijena nafte na svjetskim tržištima trebalo bi djelovati u smjeru ublažavanja inflatornih pritisaka u usporedbi sa prethodnom godinom. U ostatku projekcijskog razdoblja se očekuje nešto niža prosječna inflacija od 2,3% u 2023. i 2,2% u 2024. godini, u uvjetima očekivanog nastavka rasta potrošnje kućanstava te blagog usporavanja inflacije u eurozoni, dok će cijene sirovina na svjetskom tržištu imati padajuću dinamiku. Pritom su u navedenu projekciju uključeni učinci NPOO-a, koji upućuju na blagi učinak na rast cijena u 2021. i 2022. te izraženiji učinak u posljednje dvije godine projekcijskog razdoblja. </w:t>
      </w:r>
    </w:p>
    <w:p w:rsidR="009F444C" w:rsidRPr="009F444C" w:rsidRDefault="009F444C" w:rsidP="009F444C">
      <w:pPr>
        <w:spacing w:before="240" w:after="120"/>
        <w:jc w:val="both"/>
        <w:rPr>
          <w:rFonts w:cstheme="minorHAnsi"/>
          <w:i/>
          <w:lang w:val="hr-HR"/>
        </w:rPr>
      </w:pPr>
      <w:bookmarkStart w:id="6" w:name="_Toc51682466"/>
      <w:r w:rsidRPr="009F444C">
        <w:rPr>
          <w:rFonts w:cstheme="minorHAnsi"/>
          <w:i/>
          <w:lang w:val="hr-HR"/>
        </w:rPr>
        <w:lastRenderedPageBreak/>
        <w:t xml:space="preserve">Tablica </w:t>
      </w:r>
      <w:r w:rsidRPr="009F444C">
        <w:rPr>
          <w:rFonts w:cstheme="minorHAnsi"/>
          <w:i/>
          <w:lang w:val="hr-HR"/>
        </w:rPr>
        <w:fldChar w:fldCharType="begin"/>
      </w:r>
      <w:r w:rsidRPr="009F444C">
        <w:rPr>
          <w:rFonts w:cstheme="minorHAnsi"/>
          <w:i/>
          <w:lang w:val="hr-HR"/>
        </w:rPr>
        <w:instrText xml:space="preserve"> SEQ Tablica \* ARABIC </w:instrText>
      </w:r>
      <w:r w:rsidRPr="009F444C">
        <w:rPr>
          <w:rFonts w:cstheme="minorHAnsi"/>
          <w:i/>
          <w:lang w:val="hr-HR"/>
        </w:rPr>
        <w:fldChar w:fldCharType="separate"/>
      </w:r>
      <w:r w:rsidR="002A3B08">
        <w:rPr>
          <w:rFonts w:cstheme="minorHAnsi"/>
          <w:i/>
          <w:noProof/>
          <w:lang w:val="hr-HR"/>
        </w:rPr>
        <w:t>2</w:t>
      </w:r>
      <w:r w:rsidRPr="009F444C">
        <w:rPr>
          <w:rFonts w:cstheme="minorHAnsi"/>
          <w:i/>
          <w:lang w:val="hr-HR"/>
        </w:rPr>
        <w:fldChar w:fldCharType="end"/>
      </w:r>
      <w:r w:rsidRPr="009F444C">
        <w:rPr>
          <w:rFonts w:cstheme="minorHAnsi"/>
          <w:i/>
          <w:lang w:val="hr-HR"/>
        </w:rPr>
        <w:t>: Kretanje cijena</w:t>
      </w:r>
      <w:bookmarkEnd w:id="6"/>
    </w:p>
    <w:p w:rsidR="009F444C" w:rsidRPr="007E6217" w:rsidRDefault="009F444C" w:rsidP="009F444C">
      <w:pPr>
        <w:rPr>
          <w:rFonts w:ascii="Calibri" w:hAnsi="Calibri"/>
          <w:bCs/>
          <w:i/>
          <w:sz w:val="20"/>
          <w:szCs w:val="20"/>
          <w:lang w:val="hr-HR"/>
        </w:rPr>
      </w:pPr>
      <w:r w:rsidRPr="007E6217">
        <w:rPr>
          <w:noProof/>
          <w:lang w:val="hr-HR" w:eastAsia="hr-HR"/>
        </w:rPr>
        <w:drawing>
          <wp:inline distT="0" distB="0" distL="0" distR="0" wp14:anchorId="339FA0FF" wp14:editId="0DF03846">
            <wp:extent cx="5760720" cy="1459040"/>
            <wp:effectExtent l="0" t="0" r="0" b="8255"/>
            <wp:docPr id="14" name="Slika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1459040"/>
                    </a:xfrm>
                    <a:prstGeom prst="rect">
                      <a:avLst/>
                    </a:prstGeom>
                    <a:noFill/>
                    <a:ln>
                      <a:noFill/>
                    </a:ln>
                  </pic:spPr>
                </pic:pic>
              </a:graphicData>
            </a:graphic>
          </wp:inline>
        </w:drawing>
      </w:r>
      <w:r w:rsidRPr="007E6217">
        <w:rPr>
          <w:rFonts w:ascii="Calibri" w:hAnsi="Calibri"/>
          <w:bCs/>
          <w:i/>
          <w:sz w:val="20"/>
          <w:szCs w:val="20"/>
          <w:lang w:val="hr-HR"/>
        </w:rPr>
        <w:t xml:space="preserve">   Izvor: DZS, Ministarstvo financija</w:t>
      </w:r>
      <w:r w:rsidRPr="007E6217">
        <w:rPr>
          <w:i/>
          <w:lang w:val="hr-HR"/>
        </w:rPr>
        <w:t xml:space="preserve"> </w:t>
      </w:r>
    </w:p>
    <w:p w:rsidR="009F444C" w:rsidRPr="007E6217" w:rsidRDefault="009F444C" w:rsidP="009F444C">
      <w:pPr>
        <w:jc w:val="both"/>
        <w:rPr>
          <w:rFonts w:cs="Times New Roman"/>
          <w:lang w:val="hr-HR"/>
        </w:rPr>
      </w:pPr>
      <w:bookmarkStart w:id="7" w:name="_Toc51682467"/>
      <w:r w:rsidRPr="002F75A3">
        <w:rPr>
          <w:rFonts w:cs="Times New Roman"/>
          <w:lang w:val="hr-HR"/>
        </w:rPr>
        <w:t>Dostupni podaci ukazuju na povoljne trendove na tržištu rada u dosadašnjem dijelu 2021. godine. Tako je u prvih devet mjeseci 2021. nastavljen rast sezonski prilagođenog broja osiguranika Hrvatskog zavoda za mirovinsko osiguranje, uz istovremeno smanjenje broja nezaposlenih registriranih kod Hrvatskog zavoda za zapošljavanje. Nadalje, potražnja za radom (mjerena pomoću OVI indeksa</w:t>
      </w:r>
      <w:r w:rsidRPr="002F75A3">
        <w:rPr>
          <w:rStyle w:val="FootnoteReference"/>
          <w:rFonts w:cs="Times New Roman"/>
          <w:lang w:val="hr-HR"/>
        </w:rPr>
        <w:footnoteReference w:id="4"/>
      </w:r>
      <w:r w:rsidRPr="002F75A3">
        <w:rPr>
          <w:rFonts w:cs="Times New Roman"/>
          <w:lang w:val="hr-HR"/>
        </w:rPr>
        <w:t xml:space="preserve">) znatno je porasla u prvih devet mjeseci ove godine te počevši od svibnja 2021. premašuje pretpandemijske razine iz istog razdoblja 2019. Na slične trendove ukazuju i rezultati anketiranja poduzeća koji ukazuju na oporavak očekivane zaposlenosti u idućim mjesecima, a što je posebno izraženo u sektorima industrije i građevinarstva. Izbijanjem COVID-19 krize, ograničenja na strani ponude domaće radne snage samo su privremeno prigušena, a naznake njihove ponovne eskalacije u budućnosti već su i danas vidljive, posebno u građevinskom sektoru. Ovaj makroekonomski scenarij pretpostavlja daljnju planiranu imigraciju kroz sustav definiran novim zakonskim odredbama o uvozu radnika, kojim je umjesto sustava kvota uveden test tržišta </w:t>
      </w:r>
      <w:r w:rsidRPr="00C45266">
        <w:rPr>
          <w:rFonts w:cs="Times New Roman"/>
          <w:lang w:val="hr-HR"/>
        </w:rPr>
        <w:t xml:space="preserve">rada. U projekciju rasta zaposlenosti uključeni su </w:t>
      </w:r>
      <w:r w:rsidRPr="00720F84">
        <w:rPr>
          <w:rFonts w:cs="Times New Roman"/>
          <w:lang w:val="hr-HR"/>
        </w:rPr>
        <w:t>učinci NPOO-a koji upućuju na neznatan učinak na rast zaposlenosti u 2021. te snažniji učinak u preostale tri godine projekcijskog</w:t>
      </w:r>
      <w:r w:rsidRPr="00C45266">
        <w:rPr>
          <w:rFonts w:cs="Times New Roman"/>
          <w:lang w:val="hr-HR"/>
        </w:rPr>
        <w:t xml:space="preserve"> razdoblja.</w:t>
      </w:r>
      <w:r w:rsidRPr="002F75A3">
        <w:rPr>
          <w:rFonts w:cs="Times New Roman"/>
          <w:color w:val="FF0000"/>
          <w:lang w:val="hr-HR"/>
        </w:rPr>
        <w:t xml:space="preserve"> </w:t>
      </w:r>
      <w:r>
        <w:rPr>
          <w:rFonts w:cs="Times New Roman"/>
          <w:lang w:val="hr-HR"/>
        </w:rPr>
        <w:t xml:space="preserve">Izražen rast radne snage u 2021. pridonio je zadržavanju anketne stope nezaposlenosti na razini iz 2020. Nešto slabiji projicirani rast zaposlenosti (prema nacionalnom konceptu) te znatno slabljenje dinamike radne snage dovesti će do smanjivanja anketne stope nezaposlenosti na rekordno niske razine u zadnje dvije godine projekcijskog razdoblja. U 2021. godini primjetno je ubrzanje rasta bruto plaća u privatnom sektoru, koje je, uz snažan rast plaća u javnom sektoru, dovelo do visokog očekivanja za 2021. Stabilna dinamika </w:t>
      </w:r>
      <w:r w:rsidRPr="000D5C5A">
        <w:rPr>
          <w:rFonts w:cs="Times New Roman"/>
          <w:lang w:val="hr-HR"/>
        </w:rPr>
        <w:t xml:space="preserve">naknada po zaposleniku u </w:t>
      </w:r>
      <w:r w:rsidRPr="00720F84">
        <w:rPr>
          <w:rFonts w:cs="Times New Roman"/>
          <w:lang w:val="hr-HR"/>
        </w:rPr>
        <w:t>ostatku projekcijskog razdoblju odražava činjenicu da su plaće glavni multiplikativni kanal učinaka NPOO-a, zatim ograničenja</w:t>
      </w:r>
      <w:r w:rsidRPr="000D5C5A">
        <w:rPr>
          <w:rFonts w:cs="Times New Roman"/>
          <w:lang w:val="hr-HR"/>
        </w:rPr>
        <w:t xml:space="preserve"> na strani ponude rada, ali</w:t>
      </w:r>
      <w:r>
        <w:rPr>
          <w:rFonts w:cs="Times New Roman"/>
          <w:lang w:val="hr-HR"/>
        </w:rPr>
        <w:t xml:space="preserve"> dijelom</w:t>
      </w:r>
      <w:r w:rsidRPr="000D5C5A">
        <w:rPr>
          <w:rFonts w:cs="Times New Roman"/>
          <w:lang w:val="hr-HR"/>
        </w:rPr>
        <w:t xml:space="preserve"> i uvećanu stopu inflacije. U skladu s projiciranim kretanjem naknada po zaposleniku te </w:t>
      </w:r>
      <w:r>
        <w:rPr>
          <w:rFonts w:cs="Times New Roman"/>
          <w:lang w:val="hr-HR"/>
        </w:rPr>
        <w:t xml:space="preserve">usporavajućom </w:t>
      </w:r>
      <w:r w:rsidRPr="000D5C5A">
        <w:rPr>
          <w:rFonts w:cs="Times New Roman"/>
          <w:lang w:val="hr-HR"/>
        </w:rPr>
        <w:t xml:space="preserve">produktivnosti rada, </w:t>
      </w:r>
      <w:r w:rsidRPr="007E6217">
        <w:rPr>
          <w:rFonts w:cs="Times New Roman"/>
          <w:lang w:val="hr-HR"/>
        </w:rPr>
        <w:t xml:space="preserve">jedinični trošak rada ostati će na niskim razinama kroz čitavo projekcijsko razdoblje. </w:t>
      </w:r>
    </w:p>
    <w:p w:rsidR="009F444C" w:rsidRDefault="009F444C" w:rsidP="009F444C">
      <w:pPr>
        <w:pStyle w:val="Caption"/>
        <w:rPr>
          <w:rFonts w:ascii="Calibri" w:hAnsi="Calibri"/>
          <w:b w:val="0"/>
          <w:i/>
          <w:sz w:val="24"/>
          <w:szCs w:val="24"/>
          <w:lang w:val="hr-HR"/>
        </w:rPr>
      </w:pPr>
    </w:p>
    <w:p w:rsidR="009F444C" w:rsidRDefault="009F444C" w:rsidP="009F444C">
      <w:pPr>
        <w:pStyle w:val="Caption"/>
        <w:rPr>
          <w:rFonts w:ascii="Calibri" w:hAnsi="Calibri"/>
          <w:b w:val="0"/>
          <w:i/>
          <w:sz w:val="24"/>
          <w:szCs w:val="24"/>
          <w:lang w:val="hr-HR"/>
        </w:rPr>
      </w:pPr>
    </w:p>
    <w:p w:rsidR="009F444C" w:rsidRDefault="009F444C" w:rsidP="009F444C">
      <w:pPr>
        <w:pStyle w:val="Caption"/>
        <w:rPr>
          <w:rFonts w:ascii="Calibri" w:hAnsi="Calibri"/>
          <w:b w:val="0"/>
          <w:i/>
          <w:sz w:val="24"/>
          <w:szCs w:val="24"/>
          <w:lang w:val="hr-HR"/>
        </w:rPr>
      </w:pPr>
    </w:p>
    <w:p w:rsidR="009F444C" w:rsidRPr="009F444C" w:rsidRDefault="009F444C" w:rsidP="009F444C">
      <w:pPr>
        <w:rPr>
          <w:lang w:val="hr-HR"/>
        </w:rPr>
      </w:pPr>
    </w:p>
    <w:p w:rsidR="009F444C" w:rsidRDefault="009F444C" w:rsidP="009F444C">
      <w:pPr>
        <w:pStyle w:val="Caption"/>
        <w:rPr>
          <w:rFonts w:ascii="Calibri" w:hAnsi="Calibri"/>
          <w:b w:val="0"/>
          <w:i/>
          <w:sz w:val="24"/>
          <w:szCs w:val="24"/>
          <w:lang w:val="hr-HR"/>
        </w:rPr>
      </w:pPr>
    </w:p>
    <w:p w:rsidR="009F444C" w:rsidRPr="009F444C" w:rsidRDefault="009F444C" w:rsidP="009F444C">
      <w:pPr>
        <w:spacing w:before="240" w:after="120"/>
        <w:jc w:val="both"/>
        <w:rPr>
          <w:rFonts w:cstheme="minorHAnsi"/>
          <w:i/>
          <w:lang w:val="hr-HR"/>
        </w:rPr>
      </w:pPr>
      <w:r w:rsidRPr="009F444C">
        <w:rPr>
          <w:rFonts w:cstheme="minorHAnsi"/>
          <w:i/>
          <w:lang w:val="hr-HR"/>
        </w:rPr>
        <w:lastRenderedPageBreak/>
        <w:t xml:space="preserve">Tablica </w:t>
      </w:r>
      <w:r w:rsidRPr="009F444C">
        <w:rPr>
          <w:rFonts w:cstheme="minorHAnsi"/>
          <w:i/>
          <w:lang w:val="hr-HR"/>
        </w:rPr>
        <w:fldChar w:fldCharType="begin"/>
      </w:r>
      <w:r w:rsidRPr="009F444C">
        <w:rPr>
          <w:rFonts w:cstheme="minorHAnsi"/>
          <w:i/>
          <w:lang w:val="hr-HR"/>
        </w:rPr>
        <w:instrText xml:space="preserve"> SEQ Tablica \* ARABIC </w:instrText>
      </w:r>
      <w:r w:rsidRPr="009F444C">
        <w:rPr>
          <w:rFonts w:cstheme="minorHAnsi"/>
          <w:i/>
          <w:lang w:val="hr-HR"/>
        </w:rPr>
        <w:fldChar w:fldCharType="separate"/>
      </w:r>
      <w:r w:rsidR="002A3B08">
        <w:rPr>
          <w:rFonts w:cstheme="minorHAnsi"/>
          <w:i/>
          <w:noProof/>
          <w:lang w:val="hr-HR"/>
        </w:rPr>
        <w:t>3</w:t>
      </w:r>
      <w:r w:rsidRPr="009F444C">
        <w:rPr>
          <w:rFonts w:cstheme="minorHAnsi"/>
          <w:i/>
          <w:lang w:val="hr-HR"/>
        </w:rPr>
        <w:fldChar w:fldCharType="end"/>
      </w:r>
      <w:r w:rsidRPr="009F444C">
        <w:rPr>
          <w:rFonts w:cstheme="minorHAnsi"/>
          <w:i/>
          <w:lang w:val="hr-HR"/>
        </w:rPr>
        <w:t>: Kretanja na tržištu rada</w:t>
      </w:r>
      <w:bookmarkEnd w:id="7"/>
    </w:p>
    <w:p w:rsidR="009F444C" w:rsidRPr="007E6217" w:rsidRDefault="009F444C" w:rsidP="009F444C">
      <w:pPr>
        <w:rPr>
          <w:rFonts w:ascii="Calibri" w:hAnsi="Calibri"/>
          <w:bCs/>
          <w:i/>
          <w:sz w:val="20"/>
          <w:szCs w:val="20"/>
          <w:lang w:val="hr-HR"/>
        </w:rPr>
      </w:pPr>
      <w:r w:rsidRPr="007E5D1B">
        <w:rPr>
          <w:noProof/>
          <w:lang w:val="hr-HR" w:eastAsia="hr-HR"/>
        </w:rPr>
        <w:drawing>
          <wp:inline distT="0" distB="0" distL="0" distR="0" wp14:anchorId="53AB7C8B" wp14:editId="74D5B34A">
            <wp:extent cx="4876800" cy="1838882"/>
            <wp:effectExtent l="0" t="0" r="0" b="9525"/>
            <wp:docPr id="15" name="Slika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11433" cy="1851941"/>
                    </a:xfrm>
                    <a:prstGeom prst="rect">
                      <a:avLst/>
                    </a:prstGeom>
                    <a:noFill/>
                    <a:ln>
                      <a:noFill/>
                    </a:ln>
                  </pic:spPr>
                </pic:pic>
              </a:graphicData>
            </a:graphic>
          </wp:inline>
        </w:drawing>
      </w:r>
      <w:r>
        <w:rPr>
          <w:rFonts w:ascii="Calibri" w:hAnsi="Calibri"/>
          <w:bCs/>
          <w:i/>
          <w:sz w:val="20"/>
          <w:szCs w:val="20"/>
          <w:lang w:val="hr-HR"/>
        </w:rPr>
        <w:br/>
      </w:r>
      <w:r w:rsidRPr="007E6217">
        <w:rPr>
          <w:rFonts w:ascii="Calibri" w:hAnsi="Calibri"/>
          <w:bCs/>
          <w:i/>
          <w:sz w:val="20"/>
          <w:szCs w:val="20"/>
          <w:lang w:val="hr-HR"/>
        </w:rPr>
        <w:t xml:space="preserve"> Izvor: DZS, HZMO, Ministarstvo financija</w:t>
      </w:r>
      <w:r w:rsidRPr="007E6217">
        <w:rPr>
          <w:i/>
          <w:lang w:val="hr-HR"/>
        </w:rPr>
        <w:t xml:space="preserve"> </w:t>
      </w:r>
    </w:p>
    <w:p w:rsidR="009F444C" w:rsidRPr="00AA2D5B" w:rsidRDefault="009F444C" w:rsidP="009F444C">
      <w:pPr>
        <w:spacing w:afterLines="120" w:after="288"/>
        <w:jc w:val="both"/>
        <w:rPr>
          <w:rFonts w:eastAsia="Calibri" w:cs="Times New Roman"/>
          <w:lang w:val="hr-HR"/>
        </w:rPr>
      </w:pPr>
      <w:r w:rsidRPr="00AA2D5B">
        <w:rPr>
          <w:rFonts w:eastAsia="Calibri" w:cs="Times New Roman"/>
          <w:lang w:val="hr-HR"/>
        </w:rPr>
        <w:t xml:space="preserve">Visoka razina neizvjesnosti </w:t>
      </w:r>
      <w:r w:rsidRPr="00953C16">
        <w:rPr>
          <w:rFonts w:eastAsia="Calibri" w:cs="Times New Roman"/>
          <w:lang w:val="hr-HR"/>
        </w:rPr>
        <w:t>makroekonomski</w:t>
      </w:r>
      <w:r>
        <w:rPr>
          <w:rFonts w:eastAsia="Calibri" w:cs="Times New Roman"/>
          <w:lang w:val="hr-HR"/>
        </w:rPr>
        <w:t>h projekcija i dalje je prisuta</w:t>
      </w:r>
      <w:r w:rsidRPr="00953C16">
        <w:rPr>
          <w:rFonts w:eastAsia="Calibri" w:cs="Times New Roman"/>
          <w:lang w:val="hr-HR"/>
        </w:rPr>
        <w:t xml:space="preserve"> </w:t>
      </w:r>
      <w:r>
        <w:rPr>
          <w:rFonts w:eastAsia="Calibri" w:cs="Times New Roman"/>
          <w:lang w:val="hr-HR"/>
        </w:rPr>
        <w:t>i</w:t>
      </w:r>
      <w:r w:rsidRPr="00953C16">
        <w:rPr>
          <w:rFonts w:eastAsia="Calibri" w:cs="Times New Roman"/>
          <w:lang w:val="hr-HR"/>
        </w:rPr>
        <w:t xml:space="preserve"> proizlazi iz više izvora. Prvi dio rizika proizlazi</w:t>
      </w:r>
      <w:r w:rsidRPr="00AA2D5B">
        <w:rPr>
          <w:rFonts w:eastAsia="Calibri" w:cs="Times New Roman"/>
          <w:lang w:val="hr-HR"/>
        </w:rPr>
        <w:t xml:space="preserve"> iz neizvjesnosti vezanih uz razvoj epidemiološke situacije, uslijed nezadovoljavajuće stope procijepljenosti stanovništva </w:t>
      </w:r>
      <w:r>
        <w:rPr>
          <w:rFonts w:eastAsia="Calibri" w:cs="Times New Roman"/>
          <w:lang w:val="hr-HR"/>
        </w:rPr>
        <w:t>u mnogim područjima te</w:t>
      </w:r>
      <w:r w:rsidRPr="00AA2D5B">
        <w:rPr>
          <w:rFonts w:eastAsia="Calibri" w:cs="Times New Roman"/>
          <w:lang w:val="hr-HR"/>
        </w:rPr>
        <w:t xml:space="preserve"> mogućnosti pojave novih sojeva virusa otpornih na postojeća cjepiva. Druga skupina rizika odnosi se na gospodarske rizike. </w:t>
      </w:r>
      <w:r>
        <w:rPr>
          <w:rFonts w:eastAsia="Calibri" w:cs="Times New Roman"/>
          <w:lang w:val="hr-HR"/>
        </w:rPr>
        <w:t>Velik d</w:t>
      </w:r>
      <w:r w:rsidRPr="00AA2D5B">
        <w:rPr>
          <w:rFonts w:eastAsia="Calibri" w:cs="Times New Roman"/>
          <w:lang w:val="hr-HR"/>
        </w:rPr>
        <w:t>io rizika za putanju gospodarskog rasta Republike Hrvatske, kao malog otvo</w:t>
      </w:r>
      <w:r>
        <w:rPr>
          <w:rFonts w:eastAsia="Calibri" w:cs="Times New Roman"/>
          <w:lang w:val="hr-HR"/>
        </w:rPr>
        <w:t xml:space="preserve">renog gospodarstva, proizlazi </w:t>
      </w:r>
      <w:r w:rsidRPr="00AA2D5B">
        <w:rPr>
          <w:rFonts w:eastAsia="Calibri" w:cs="Times New Roman"/>
          <w:lang w:val="hr-HR"/>
        </w:rPr>
        <w:t>iz globalnih realnih i financijskih kretanja</w:t>
      </w:r>
      <w:r w:rsidRPr="006345BA">
        <w:rPr>
          <w:rFonts w:eastAsia="Calibri" w:cs="Times New Roman"/>
          <w:lang w:val="hr-HR"/>
        </w:rPr>
        <w:t xml:space="preserve">. </w:t>
      </w:r>
      <w:r w:rsidRPr="00AA2D5B">
        <w:rPr>
          <w:rFonts w:eastAsia="Calibri" w:cs="Times New Roman"/>
          <w:lang w:val="hr-HR"/>
        </w:rPr>
        <w:t xml:space="preserve">Iako se domaće gospodarstvo uspješno prilagodilo epidemijskim uvjetima poslovanja, znatna neizvjesnost ostaje vezana uz sekundarne ekonomske šokove i buduću dinamiku rasta. </w:t>
      </w:r>
      <w:r w:rsidRPr="006345BA">
        <w:rPr>
          <w:rFonts w:eastAsia="Calibri" w:cs="Times New Roman"/>
          <w:lang w:val="hr-HR"/>
        </w:rPr>
        <w:t>Unutarnji negativni rizici u srednjem roku vezani uz specifičnosti strukture domaćeg gospodarstva dolaze posebno do izražaja u sektoru turizma, a vezani su uz promjenu obrazaca ponašanja inozemnih turista i ograničenja domaće ponude. Ovdje</w:t>
      </w:r>
      <w:r w:rsidRPr="00AA2D5B">
        <w:rPr>
          <w:rFonts w:eastAsia="Calibri" w:cs="Times New Roman"/>
          <w:lang w:val="hr-HR"/>
        </w:rPr>
        <w:t xml:space="preserve"> </w:t>
      </w:r>
      <w:r>
        <w:rPr>
          <w:rFonts w:eastAsia="Calibri" w:cs="Times New Roman"/>
          <w:lang w:val="hr-HR"/>
        </w:rPr>
        <w:t>treba</w:t>
      </w:r>
      <w:r w:rsidRPr="00AA2D5B">
        <w:rPr>
          <w:rFonts w:eastAsia="Calibri" w:cs="Times New Roman"/>
          <w:lang w:val="hr-HR"/>
        </w:rPr>
        <w:t xml:space="preserve"> izdvojiti </w:t>
      </w:r>
      <w:r>
        <w:rPr>
          <w:rFonts w:eastAsia="Calibri" w:cs="Times New Roman"/>
          <w:lang w:val="hr-HR"/>
        </w:rPr>
        <w:t>i izvoz roba, kao najpropulzivniju sastavnicu</w:t>
      </w:r>
      <w:r w:rsidRPr="00AA2D5B">
        <w:rPr>
          <w:rFonts w:eastAsia="Calibri" w:cs="Times New Roman"/>
          <w:lang w:val="hr-HR"/>
        </w:rPr>
        <w:t xml:space="preserve"> BDP-a u proteklom razdoblju</w:t>
      </w:r>
      <w:r>
        <w:rPr>
          <w:rFonts w:eastAsia="Calibri" w:cs="Times New Roman"/>
          <w:lang w:val="hr-HR"/>
        </w:rPr>
        <w:t>,</w:t>
      </w:r>
      <w:r w:rsidRPr="00A9461A">
        <w:rPr>
          <w:rFonts w:eastAsia="Calibri" w:cs="Times New Roman"/>
          <w:lang w:val="hr-HR"/>
        </w:rPr>
        <w:t xml:space="preserve"> </w:t>
      </w:r>
      <w:r>
        <w:rPr>
          <w:rFonts w:eastAsia="Calibri" w:cs="Times New Roman"/>
          <w:lang w:val="hr-HR"/>
        </w:rPr>
        <w:t>koji je pokazao</w:t>
      </w:r>
      <w:r w:rsidRPr="00AA2D5B">
        <w:rPr>
          <w:rFonts w:eastAsia="Calibri" w:cs="Times New Roman"/>
          <w:lang w:val="hr-HR"/>
        </w:rPr>
        <w:t xml:space="preserve"> </w:t>
      </w:r>
      <w:r>
        <w:rPr>
          <w:rFonts w:eastAsia="Calibri" w:cs="Times New Roman"/>
          <w:lang w:val="hr-HR"/>
        </w:rPr>
        <w:t>zavidnu</w:t>
      </w:r>
      <w:r w:rsidRPr="00AA2D5B">
        <w:rPr>
          <w:rFonts w:eastAsia="Calibri" w:cs="Times New Roman"/>
          <w:lang w:val="hr-HR"/>
        </w:rPr>
        <w:t xml:space="preserve"> otpornost u </w:t>
      </w:r>
      <w:r>
        <w:rPr>
          <w:rFonts w:eastAsia="Calibri" w:cs="Times New Roman"/>
          <w:lang w:val="hr-HR"/>
        </w:rPr>
        <w:t xml:space="preserve">kriznim </w:t>
      </w:r>
      <w:r w:rsidRPr="00AA2D5B">
        <w:rPr>
          <w:rFonts w:eastAsia="Calibri" w:cs="Times New Roman"/>
          <w:lang w:val="hr-HR"/>
        </w:rPr>
        <w:t>uvjetima</w:t>
      </w:r>
      <w:r>
        <w:rPr>
          <w:rFonts w:eastAsia="Calibri" w:cs="Times New Roman"/>
          <w:lang w:val="hr-HR"/>
        </w:rPr>
        <w:t>. P</w:t>
      </w:r>
      <w:r w:rsidRPr="00AA2D5B">
        <w:rPr>
          <w:rFonts w:eastAsia="Calibri" w:cs="Times New Roman"/>
          <w:lang w:val="hr-HR"/>
        </w:rPr>
        <w:t>rojekcija njegove putanje u projekcijskom razdoblju izložena je uravnoteženim rizicima, jednim dijelom povezanim uz usporavanje svjetske trgovinske razmjene i poremećaje u naba</w:t>
      </w:r>
      <w:r w:rsidRPr="00720F84">
        <w:rPr>
          <w:rFonts w:eastAsia="Calibri" w:cs="Times New Roman"/>
          <w:lang w:val="hr-HR"/>
        </w:rPr>
        <w:t xml:space="preserve">vnim lancima, a drugim uz poboljšanje izvozne strukture u smjeru proizvoda veće dodane vrijednosti i smanjenje geografske koncentracije izvoza roba. U odnosu na travanjske projekcije, inflacija potrošačkih cijena istaknula se kao jedan od glavnih ekonomskih rizika. Glavni čimbenici koji bi mogli uzrokovati drugačije ostvarenje stope inflacije od projicirane vezani su uz potencijalni nastavak rasta cijena nafte i drugih sirovina na svjetskom tržištu, unatoč očekivanoj stabilizaciji te promjene u administrativno reguliranim cijenama (plin i električna energija) na domaćem tržištu. Negativan rizik rastu domaće inflacije je i prelijevanje inflacije iz najvažnijih vanjskotrgovinskih partnera. Rizik ranijeg zaoštravanja monetarne politike također bi se mogao materijalizirati u slučaju značajnije promjene inflacijskih očekivanja i posljedičnih zahtjeva za rastom plaća. </w:t>
      </w:r>
    </w:p>
    <w:p w:rsidR="00695821" w:rsidRPr="00F70B2A" w:rsidRDefault="00695821" w:rsidP="00283E07">
      <w:pPr>
        <w:jc w:val="both"/>
        <w:rPr>
          <w:lang w:val="hr-HR"/>
        </w:rPr>
      </w:pPr>
      <w:r w:rsidRPr="00F70B2A">
        <w:rPr>
          <w:lang w:val="hr-HR"/>
        </w:rPr>
        <w:br w:type="page"/>
      </w:r>
    </w:p>
    <w:p w:rsidR="00A65DDC" w:rsidRPr="00F70B2A" w:rsidRDefault="00695821" w:rsidP="0029489C">
      <w:pPr>
        <w:pStyle w:val="Heading1"/>
        <w:numPr>
          <w:ilvl w:val="0"/>
          <w:numId w:val="17"/>
        </w:numPr>
        <w:rPr>
          <w:lang w:val="hr-HR"/>
        </w:rPr>
      </w:pPr>
      <w:bookmarkStart w:id="8" w:name="_Toc86303472"/>
      <w:r w:rsidRPr="00F70B2A">
        <w:rPr>
          <w:lang w:val="hr-HR"/>
        </w:rPr>
        <w:lastRenderedPageBreak/>
        <w:t>PRIHODI DRŽAVNOG PRORAČUNA</w:t>
      </w:r>
      <w:bookmarkEnd w:id="8"/>
      <w:r w:rsidRPr="00F70B2A">
        <w:rPr>
          <w:lang w:val="hr-HR"/>
        </w:rPr>
        <w:t xml:space="preserve"> </w:t>
      </w:r>
    </w:p>
    <w:p w:rsidR="007E5DA9" w:rsidRPr="007E5DA9" w:rsidRDefault="007E5DA9" w:rsidP="00F41038">
      <w:pPr>
        <w:spacing w:before="240"/>
        <w:jc w:val="both"/>
        <w:rPr>
          <w:rFonts w:cstheme="minorHAnsi"/>
          <w:lang w:val="hr-HR"/>
        </w:rPr>
      </w:pPr>
      <w:r w:rsidRPr="007E5DA9">
        <w:rPr>
          <w:rFonts w:cstheme="minorHAnsi"/>
          <w:lang w:val="hr-HR"/>
        </w:rPr>
        <w:t xml:space="preserve">Kretanja prihoda državnog proračuna u razdoblju 2022. – 2024. određena su očekivanim oporavkom i daljnjim rastom gospodarske aktivnosti, te cjelogodišnjim učinkom poreznih reformi provedenih tijekom 2021. Naime, od 1. siječnja 2021. stopa poreza na dobit za sve poduzetnike koji imaju promet do 7,5 milijuna kuna smanjila se s 12% na 10%, dok su u sustavu poreza na dohodak snižene stope poreza na dohodak s 36% na 30% te s 24% na 20%. Kod poreza na dodanu vrijednost ukinuto je oslobođenje od plaćanja PDV-a pri uvozu dobara male vrijednosti. </w:t>
      </w:r>
    </w:p>
    <w:p w:rsidR="0003434E" w:rsidRDefault="0003434E" w:rsidP="00F41038">
      <w:pPr>
        <w:spacing w:before="240"/>
        <w:jc w:val="both"/>
        <w:rPr>
          <w:rFonts w:cstheme="minorHAnsi"/>
          <w:lang w:val="hr-HR"/>
        </w:rPr>
      </w:pPr>
      <w:r w:rsidRPr="0003434E">
        <w:rPr>
          <w:rFonts w:cstheme="minorHAnsi"/>
          <w:lang w:val="hr-HR"/>
        </w:rPr>
        <w:t>Osim toga, značajan učinak na prihode proračuna imat će i povlačenje sredstva iz EU fondova. Naime, s jedne strane očekuje se ubrzanje povlačenja ugovorenih sredstava iz tekućeg Višegodišnjeg financijskog okvira 2014.- 2020., a s druge strane, predviđaju se i nova sredstva iz Višegodišnjeg financijskog okvira 2021. – 2027. U fiskalne projekcije uključeno je i korištenje sredstava iz novog instrumenta EU Nove generacije koja će se usmjeriti na financiranje razvojnih, strateških i reformskih projekata iz Nacionalnog plana oporavka i otpornosti. Uz navedeno, u proračunu su projicirana i sredstva iz Fonda solidarnosti EU za financiranje dijela obnove javne infrastrukture, ponajprije obrazovne, zdravstvene i kulturne oštećene u razornim potresima.</w:t>
      </w:r>
      <w:r>
        <w:rPr>
          <w:rFonts w:cstheme="minorHAnsi"/>
          <w:lang w:val="hr-HR"/>
        </w:rPr>
        <w:t xml:space="preserve"> </w:t>
      </w:r>
    </w:p>
    <w:p w:rsidR="007E5DA9" w:rsidRPr="00F41038" w:rsidRDefault="007E5DA9" w:rsidP="00F41038">
      <w:pPr>
        <w:spacing w:before="240"/>
        <w:jc w:val="both"/>
        <w:rPr>
          <w:rFonts w:cs="Times New Roman"/>
          <w:lang w:val="hr-HR"/>
        </w:rPr>
      </w:pPr>
      <w:r w:rsidRPr="007E5DA9">
        <w:rPr>
          <w:rFonts w:cstheme="minorHAnsi"/>
          <w:lang w:val="hr-HR"/>
        </w:rPr>
        <w:t xml:space="preserve">Sukladno navedenom, ukupni prihodi u 2022. godini planirani su u iznosu od 164,5 milijardi kuna, dok su za 2023. projicirani u iznosu od 167,7 milijardi kuna, te na sličnoj razini ostaju i 2024. godine. Iako se krajem razdoblja očekuje daljnji gospodarski rast, prihodi ne bilježe povećanje radi smanjenog </w:t>
      </w:r>
      <w:r w:rsidRPr="00F41038">
        <w:rPr>
          <w:rFonts w:cs="Times New Roman"/>
          <w:lang w:val="hr-HR"/>
        </w:rPr>
        <w:t>povlačenja sredstava EU, a zbog dovršetka određenih projekata.</w:t>
      </w:r>
      <w:bookmarkStart w:id="9" w:name="_Toc445241791"/>
    </w:p>
    <w:p w:rsidR="00511A03" w:rsidRPr="00F41038" w:rsidRDefault="00511A03" w:rsidP="00F41038">
      <w:pPr>
        <w:spacing w:before="240"/>
        <w:jc w:val="both"/>
        <w:rPr>
          <w:rFonts w:cs="Times New Roman"/>
          <w:b/>
          <w:i/>
          <w:lang w:val="hr-HR"/>
        </w:rPr>
      </w:pPr>
      <w:r w:rsidRPr="00F41038">
        <w:rPr>
          <w:rFonts w:cs="Times New Roman"/>
          <w:b/>
          <w:i/>
          <w:lang w:val="hr-HR"/>
        </w:rPr>
        <w:t>Porezni prihodi</w:t>
      </w:r>
    </w:p>
    <w:p w:rsidR="007E5DA9" w:rsidRPr="007E5DA9" w:rsidRDefault="007E5DA9" w:rsidP="00F41038">
      <w:pPr>
        <w:spacing w:before="240" w:after="120"/>
        <w:jc w:val="both"/>
        <w:rPr>
          <w:rFonts w:eastAsia="Calibri" w:cstheme="minorHAnsi"/>
          <w:lang w:val="hr-HR"/>
        </w:rPr>
      </w:pPr>
      <w:bookmarkStart w:id="10" w:name="_Toc119810574"/>
      <w:bookmarkStart w:id="11" w:name="_Toc119828133"/>
      <w:r w:rsidRPr="007E5DA9">
        <w:rPr>
          <w:rFonts w:eastAsia="Calibri" w:cstheme="minorHAnsi"/>
          <w:lang w:val="hr-HR"/>
        </w:rPr>
        <w:t xml:space="preserve">Porezni prihodi za razdoblje 2022. – 2024. projicirani su na temelju makroekonomskih pretpostavki, uzimajući u obzir cjelogodišnje efekte prethodno spomenutih izmjene u poreznom zakonodavstvu. </w:t>
      </w:r>
    </w:p>
    <w:p w:rsidR="007E5DA9" w:rsidRPr="007E5DA9" w:rsidRDefault="007E5DA9" w:rsidP="00F41038">
      <w:pPr>
        <w:spacing w:before="240" w:after="120"/>
        <w:jc w:val="both"/>
        <w:rPr>
          <w:rFonts w:eastAsia="Calibri" w:cstheme="minorHAnsi"/>
          <w:lang w:val="hr-HR"/>
        </w:rPr>
      </w:pPr>
      <w:r w:rsidRPr="007E5DA9">
        <w:rPr>
          <w:rFonts w:eastAsia="Calibri" w:cstheme="minorHAnsi"/>
          <w:lang w:val="hr-HR"/>
        </w:rPr>
        <w:t xml:space="preserve">U skladu s navedenim, porezni prihodi u 2022. godini projicirani su u iznosu od 87,9 milijardi kuna. U narednim godinama, očekuje se daljnji rast prihoda od poreza te su oni za 2023. projicirani u iznosu od 92,7 milijardi kuna, odnosno uz međugodišnji rast od 5,5%, dok se u 2024. godini očekuju u iznosu od 97,2 milijarde kuna i bilježe rast od 4,8%. </w:t>
      </w:r>
    </w:p>
    <w:p w:rsidR="00511A03" w:rsidRPr="007E5DA9" w:rsidRDefault="00511A03" w:rsidP="00F41038">
      <w:pPr>
        <w:spacing w:before="240" w:after="120"/>
        <w:jc w:val="both"/>
        <w:rPr>
          <w:rFonts w:cstheme="minorHAnsi"/>
          <w:b/>
          <w:i/>
          <w:lang w:val="hr-HR"/>
        </w:rPr>
      </w:pPr>
      <w:bookmarkStart w:id="12" w:name="_Toc119810575"/>
      <w:bookmarkStart w:id="13" w:name="_Toc119828134"/>
      <w:r w:rsidRPr="007E5DA9">
        <w:rPr>
          <w:rFonts w:cstheme="minorHAnsi"/>
          <w:b/>
          <w:i/>
          <w:lang w:val="hr-HR"/>
        </w:rPr>
        <w:t>Porez na dobit</w:t>
      </w:r>
      <w:bookmarkEnd w:id="12"/>
      <w:bookmarkEnd w:id="13"/>
    </w:p>
    <w:p w:rsidR="007E5DA9" w:rsidRPr="007E5DA9" w:rsidRDefault="007E5DA9" w:rsidP="00F41038">
      <w:pPr>
        <w:spacing w:before="240"/>
        <w:jc w:val="both"/>
        <w:rPr>
          <w:rFonts w:eastAsia="Calibri" w:cstheme="minorHAnsi"/>
          <w:lang w:val="hr-HR"/>
        </w:rPr>
      </w:pPr>
      <w:r w:rsidRPr="007E5DA9">
        <w:rPr>
          <w:rFonts w:eastAsia="Calibri" w:cstheme="minorHAnsi"/>
          <w:lang w:val="hr-HR"/>
        </w:rPr>
        <w:t xml:space="preserve">Porez na dobit u tekućoj godini plaća se na temelju poslovanja poduzetnika prethodne godine. Plan kretanja prihoda od poreza na dobit za 2022., te projekcije za 2023. i 2024. godinu rađene su temeljem procjene poslovanja gospodarskih subjekata i očekivanih učinaka porezne reforme. Prihod od poreza na dobit za 2022. planiran je u iznosu od 8,4 milijarde kuna, dok projekcija za 2023. iznosi 8,9 milijardi kuna te 9,4 milijarde kuna za 2024. godinu. </w:t>
      </w:r>
    </w:p>
    <w:p w:rsidR="007E5DA9" w:rsidRPr="007E5DA9" w:rsidRDefault="007E5DA9" w:rsidP="00F41038">
      <w:pPr>
        <w:spacing w:before="240"/>
        <w:jc w:val="both"/>
        <w:rPr>
          <w:rFonts w:cstheme="minorHAnsi"/>
          <w:lang w:val="hr-HR"/>
        </w:rPr>
      </w:pPr>
      <w:r w:rsidRPr="007E5DA9">
        <w:rPr>
          <w:rFonts w:cstheme="minorHAnsi"/>
          <w:lang w:val="hr-HR"/>
        </w:rPr>
        <w:t xml:space="preserve">Poreznom reformom od siječnja 2021. godine za sve porezne obveznike koji ostvaruju prihode do 7,5 milijuna kuna smanjuje se porezna stopa s 12% na 10% te je snižena porezna stopa od 10% obuhvatila više od 93% poreznih obveznika. </w:t>
      </w:r>
    </w:p>
    <w:p w:rsidR="007E5DA9" w:rsidRPr="007E5DA9" w:rsidRDefault="007E5DA9" w:rsidP="00F41038">
      <w:pPr>
        <w:spacing w:before="240" w:after="120"/>
        <w:jc w:val="both"/>
        <w:rPr>
          <w:rFonts w:cstheme="minorHAnsi"/>
          <w:lang w:val="hr-HR"/>
        </w:rPr>
      </w:pPr>
    </w:p>
    <w:p w:rsidR="00511A03" w:rsidRPr="007E5DA9" w:rsidRDefault="00511A03" w:rsidP="00F41038">
      <w:pPr>
        <w:spacing w:before="240" w:after="120"/>
        <w:jc w:val="both"/>
        <w:rPr>
          <w:rFonts w:cstheme="minorHAnsi"/>
          <w:b/>
          <w:i/>
          <w:lang w:val="hr-HR"/>
        </w:rPr>
      </w:pPr>
      <w:bookmarkStart w:id="14" w:name="_Toc119810577"/>
      <w:bookmarkStart w:id="15" w:name="_Toc119828136"/>
      <w:r w:rsidRPr="007E5DA9">
        <w:rPr>
          <w:rFonts w:cstheme="minorHAnsi"/>
          <w:b/>
          <w:i/>
          <w:lang w:val="hr-HR"/>
        </w:rPr>
        <w:lastRenderedPageBreak/>
        <w:t>Porez na dodanu vrijednost</w:t>
      </w:r>
      <w:bookmarkEnd w:id="14"/>
      <w:bookmarkEnd w:id="15"/>
    </w:p>
    <w:p w:rsidR="007E5DA9" w:rsidRPr="007E5DA9" w:rsidRDefault="007E5DA9" w:rsidP="00F41038">
      <w:pPr>
        <w:spacing w:before="240" w:after="120"/>
        <w:jc w:val="both"/>
        <w:rPr>
          <w:rFonts w:eastAsia="Calibri" w:cstheme="minorHAnsi"/>
          <w:lang w:val="hr-HR"/>
        </w:rPr>
      </w:pPr>
      <w:r w:rsidRPr="007E5DA9">
        <w:rPr>
          <w:rFonts w:eastAsia="Calibri" w:cstheme="minorHAnsi"/>
          <w:lang w:val="hr-HR"/>
        </w:rPr>
        <w:t xml:space="preserve">Projekcija prihoda od poreza na dodanu vrijednost temeljena je na makroekonomskim pretpostavkama, koje uključuju rast osobne potrošnje, turističkih usluga, rashoda države za intermedijarnu potrošnju, investicije te socijalne transfere u naravi. Od 2021. godine ukinuto je oslobođenje od plaćanja PDV-a za uvoz u Europsku uniju pošiljaka čija je vrijednost manja od 22 eura, a cjelogodišnji učinak ove izmjene očekuje se tijekom 2022. godine. </w:t>
      </w:r>
    </w:p>
    <w:p w:rsidR="00511A03" w:rsidRPr="007E5DA9" w:rsidRDefault="007E5DA9" w:rsidP="00F41038">
      <w:pPr>
        <w:spacing w:before="240" w:after="120"/>
        <w:jc w:val="both"/>
        <w:rPr>
          <w:rFonts w:eastAsia="Calibri" w:cstheme="minorHAnsi"/>
          <w:lang w:val="hr-HR"/>
        </w:rPr>
      </w:pPr>
      <w:r w:rsidRPr="007E5DA9">
        <w:rPr>
          <w:rFonts w:eastAsia="Calibri" w:cstheme="minorHAnsi"/>
          <w:lang w:val="hr-HR"/>
        </w:rPr>
        <w:t xml:space="preserve">Sukladno navedenom, u 2022. planira se ostvariti 60,8 milijardi kuna prihoda od PDV-a, dok projekcije za 2023. iznose 64,7 milijardu kuni, odnosno 68,2 milijarde kuna za 2024. godinu. </w:t>
      </w:r>
    </w:p>
    <w:p w:rsidR="00511A03" w:rsidRPr="007E5DA9" w:rsidRDefault="00511A03" w:rsidP="00F41038">
      <w:pPr>
        <w:spacing w:before="240" w:after="120"/>
        <w:jc w:val="both"/>
        <w:rPr>
          <w:rFonts w:cstheme="minorHAnsi"/>
          <w:b/>
          <w:i/>
          <w:lang w:val="hr-HR"/>
        </w:rPr>
      </w:pPr>
      <w:bookmarkStart w:id="16" w:name="_Toc119810581"/>
      <w:bookmarkStart w:id="17" w:name="_Toc119828140"/>
      <w:r w:rsidRPr="007E5DA9">
        <w:rPr>
          <w:rFonts w:cstheme="minorHAnsi"/>
          <w:b/>
          <w:i/>
          <w:lang w:val="hr-HR"/>
        </w:rPr>
        <w:t>Posebni porezi i trošarine</w:t>
      </w:r>
      <w:bookmarkEnd w:id="16"/>
      <w:bookmarkEnd w:id="17"/>
    </w:p>
    <w:p w:rsidR="007E5DA9" w:rsidRPr="007E5DA9" w:rsidRDefault="007E5DA9" w:rsidP="00F41038">
      <w:pPr>
        <w:suppressAutoHyphens/>
        <w:spacing w:before="240"/>
        <w:jc w:val="both"/>
        <w:textAlignment w:val="baseline"/>
        <w:rPr>
          <w:rFonts w:eastAsia="Calibri" w:cstheme="minorHAnsi"/>
          <w:lang w:val="hr-HR"/>
        </w:rPr>
      </w:pPr>
      <w:bookmarkStart w:id="18" w:name="_Toc119810579"/>
      <w:bookmarkStart w:id="19" w:name="_Toc119828138"/>
      <w:bookmarkStart w:id="20" w:name="_Toc119810582"/>
      <w:bookmarkStart w:id="21" w:name="_Toc119828141"/>
      <w:r w:rsidRPr="007E5DA9">
        <w:rPr>
          <w:rFonts w:eastAsia="Calibri" w:cstheme="minorHAnsi"/>
          <w:lang w:val="hr-HR"/>
        </w:rPr>
        <w:t xml:space="preserve">Prihod od posebnih poreza i trošarina projiciran je na temelju očekivanog kretanja potrošnje trošarinskih proizvoda, uzimajući u obzir učinke izmjena propisa u trošarinskom sustavu provedene tijekom 2021. godine. </w:t>
      </w:r>
    </w:p>
    <w:p w:rsidR="00511A03" w:rsidRPr="007E5DA9" w:rsidRDefault="007E5DA9" w:rsidP="00F41038">
      <w:pPr>
        <w:spacing w:before="240" w:after="120"/>
        <w:jc w:val="both"/>
        <w:rPr>
          <w:rFonts w:eastAsia="Calibri" w:cstheme="minorHAnsi"/>
          <w:lang w:val="hr-HR"/>
        </w:rPr>
      </w:pPr>
      <w:r w:rsidRPr="007E5DA9">
        <w:rPr>
          <w:rFonts w:eastAsia="Calibri" w:cstheme="minorHAnsi"/>
          <w:lang w:val="hr-HR"/>
        </w:rPr>
        <w:t>Tako se u 2022. godini ukupni prihod od trošarina planira u iznosu od 16,4 milijarde kuna. Za 2023. godinu prihod od trošarina projicira se u ukupnom iznosu od 16,7 milijardi kuna, dok u 2024. ovaj prihod iznosi 17,1 milijardu kuna.</w:t>
      </w:r>
    </w:p>
    <w:p w:rsidR="00511A03" w:rsidRPr="007E5DA9" w:rsidRDefault="00511A03" w:rsidP="00F41038">
      <w:pPr>
        <w:spacing w:before="240" w:after="120"/>
        <w:jc w:val="both"/>
        <w:rPr>
          <w:rFonts w:cstheme="minorHAnsi"/>
          <w:b/>
          <w:i/>
          <w:lang w:val="hr-HR"/>
        </w:rPr>
      </w:pPr>
      <w:r w:rsidRPr="007E5DA9">
        <w:rPr>
          <w:rFonts w:cstheme="minorHAnsi"/>
          <w:b/>
          <w:i/>
          <w:lang w:val="hr-HR"/>
        </w:rPr>
        <w:t>Ostali porezi na robu i usluge</w:t>
      </w:r>
    </w:p>
    <w:bookmarkEnd w:id="18"/>
    <w:bookmarkEnd w:id="19"/>
    <w:p w:rsidR="00511A03" w:rsidRPr="007E5DA9" w:rsidRDefault="007E5DA9" w:rsidP="00F41038">
      <w:pPr>
        <w:spacing w:before="240" w:after="120"/>
        <w:jc w:val="both"/>
        <w:rPr>
          <w:rFonts w:eastAsia="Calibri" w:cstheme="minorHAnsi"/>
          <w:lang w:val="hr-HR"/>
        </w:rPr>
      </w:pPr>
      <w:r w:rsidRPr="007E5DA9">
        <w:rPr>
          <w:rFonts w:eastAsia="Calibri" w:cstheme="minorHAnsi"/>
          <w:lang w:val="hr-HR"/>
        </w:rPr>
        <w:t>Prihodi od ostalih poreza na robu i usluge u 2022. planirani su u iznosu od 470,7 milijuna kuna, dok procjene za 2023. iznose 488,5 milijuna kuna, odnosno 502 milijuna kuna za 2024. godinu. Ovu skupinu poreznih prihoda čine prihodi od poreza na osiguranja od automobilske odgovornosti i kasko osiguranja.</w:t>
      </w:r>
    </w:p>
    <w:p w:rsidR="00511A03" w:rsidRPr="007E5DA9" w:rsidRDefault="00511A03" w:rsidP="00F41038">
      <w:pPr>
        <w:spacing w:before="240" w:after="120"/>
        <w:jc w:val="both"/>
        <w:rPr>
          <w:rFonts w:cstheme="minorHAnsi"/>
          <w:b/>
          <w:i/>
          <w:lang w:val="hr-HR"/>
        </w:rPr>
      </w:pPr>
      <w:r w:rsidRPr="007E5DA9">
        <w:rPr>
          <w:rFonts w:cstheme="minorHAnsi"/>
          <w:b/>
          <w:i/>
          <w:lang w:val="hr-HR"/>
        </w:rPr>
        <w:t>Porez na dobitke od igara na sreću i ostali porezi od igara na sreću te naknade za priređivanje igara na sreću</w:t>
      </w:r>
    </w:p>
    <w:p w:rsidR="00511A03" w:rsidRPr="007E5DA9" w:rsidRDefault="007E5DA9" w:rsidP="00F41038">
      <w:pPr>
        <w:spacing w:before="240" w:after="120"/>
        <w:jc w:val="both"/>
        <w:rPr>
          <w:rFonts w:eastAsia="Calibri" w:cstheme="minorHAnsi"/>
          <w:lang w:val="hr-HR"/>
        </w:rPr>
      </w:pPr>
      <w:r w:rsidRPr="007E5DA9">
        <w:rPr>
          <w:rFonts w:eastAsia="Calibri" w:cstheme="minorHAnsi"/>
          <w:lang w:val="hr-HR"/>
        </w:rPr>
        <w:t xml:space="preserve">Ovi prihodi planirani su temeljem dinamike kretanja u proteklim godinama te se sličan trend očekuje i nadalje. Iznimka od ovog trenda jest 2020. godina, u kojoj je zbog pandemije koronavirusa bio ograničen rad u djelatnosti priređivanja igara na sreću. Sukladno navedenom, prihodi od poreza na dobitke od igara na sreću i ostali porezi od igara na sreću planirani su u iznosu od 320,1 milijuna kuna za 2022. godinu, dok projekcije za 2023. i 2024. godinu iznose 339,2 milijuna kuna, odnosno 355,6 milijuna kuna. Prihodi od naknada za priređivanje igara na sreću za razdoblje 2022. – 2024. planiraju se u iznosu od oko 1,1 milijarde kuna u 2022. i 2023. godini, do 1,2 milijarde kuna u 2024. godini.     </w:t>
      </w:r>
    </w:p>
    <w:p w:rsidR="00511A03" w:rsidRPr="007E5DA9" w:rsidRDefault="00511A03" w:rsidP="00F41038">
      <w:pPr>
        <w:spacing w:before="240" w:after="120"/>
        <w:jc w:val="both"/>
        <w:rPr>
          <w:rFonts w:cstheme="minorHAnsi"/>
          <w:b/>
          <w:i/>
          <w:lang w:val="hr-HR"/>
        </w:rPr>
      </w:pPr>
      <w:r w:rsidRPr="007E5DA9">
        <w:rPr>
          <w:rFonts w:cstheme="minorHAnsi"/>
          <w:b/>
          <w:i/>
          <w:lang w:val="hr-HR"/>
        </w:rPr>
        <w:t>Porez na međunarodn</w:t>
      </w:r>
      <w:bookmarkEnd w:id="20"/>
      <w:bookmarkEnd w:id="21"/>
      <w:r w:rsidRPr="007E5DA9">
        <w:rPr>
          <w:rFonts w:cstheme="minorHAnsi"/>
          <w:b/>
          <w:i/>
          <w:lang w:val="hr-HR"/>
        </w:rPr>
        <w:t>u trgovinu i transakcije</w:t>
      </w:r>
    </w:p>
    <w:p w:rsidR="007E5DA9" w:rsidRPr="007E5DA9" w:rsidRDefault="007E5DA9" w:rsidP="00F41038">
      <w:pPr>
        <w:spacing w:before="240" w:after="120"/>
        <w:jc w:val="both"/>
        <w:rPr>
          <w:rFonts w:eastAsia="Calibri" w:cstheme="minorHAnsi"/>
          <w:lang w:val="hr-HR"/>
        </w:rPr>
      </w:pPr>
      <w:r w:rsidRPr="007E5DA9">
        <w:rPr>
          <w:rFonts w:eastAsia="Calibri" w:cstheme="minorHAnsi"/>
          <w:lang w:val="hr-HR"/>
        </w:rPr>
        <w:t xml:space="preserve">Prihod od poreza na međunarodnu trgovinu i transakcije za 2022. planiran je u iznosu od 459,9 milijuna kuna. Projekcija ovog prihoda za 2023. iznosi 425,4 milijuna kuna, dok za 2023. godinu iznosi 430,6 milijuna kuna. </w:t>
      </w:r>
    </w:p>
    <w:p w:rsidR="00511A03" w:rsidRPr="007E5DA9" w:rsidRDefault="007E5DA9" w:rsidP="00F41038">
      <w:pPr>
        <w:spacing w:before="240" w:after="120"/>
        <w:jc w:val="both"/>
        <w:rPr>
          <w:rFonts w:cstheme="minorHAnsi"/>
          <w:b/>
          <w:i/>
          <w:lang w:val="hr-HR"/>
        </w:rPr>
      </w:pPr>
      <w:r w:rsidRPr="007E5DA9">
        <w:rPr>
          <w:rFonts w:eastAsia="Calibri" w:cstheme="minorHAnsi"/>
          <w:lang w:val="hr-HR"/>
        </w:rPr>
        <w:t>Povećanje ove kategorije proračunskih prihoda rezultat je promjene propisa po kojem državi članici EU ostaje udio od 25% naplaćenih carinskih prihoda, a ne 20%, kako je to bilo ranije, a cjelogodišnji učinak ove izmjene biti će vidljiv tijekom 2022. godine.</w:t>
      </w:r>
    </w:p>
    <w:p w:rsidR="00511A03" w:rsidRPr="007E5DA9" w:rsidRDefault="00511A03" w:rsidP="00F41038">
      <w:pPr>
        <w:spacing w:before="240" w:after="120"/>
        <w:jc w:val="both"/>
        <w:rPr>
          <w:rFonts w:cstheme="minorHAnsi"/>
          <w:b/>
          <w:i/>
          <w:lang w:val="hr-HR"/>
        </w:rPr>
      </w:pPr>
      <w:r w:rsidRPr="007E5DA9">
        <w:rPr>
          <w:rFonts w:cstheme="minorHAnsi"/>
          <w:b/>
          <w:i/>
          <w:lang w:val="hr-HR"/>
        </w:rPr>
        <w:lastRenderedPageBreak/>
        <w:t>Doprinosi</w:t>
      </w:r>
    </w:p>
    <w:p w:rsidR="007E5DA9" w:rsidRPr="007E5DA9" w:rsidRDefault="007E5DA9" w:rsidP="00F41038">
      <w:pPr>
        <w:spacing w:before="240" w:after="120"/>
        <w:jc w:val="both"/>
        <w:rPr>
          <w:rFonts w:eastAsia="Calibri" w:cstheme="minorHAnsi"/>
          <w:lang w:val="hr-HR"/>
        </w:rPr>
      </w:pPr>
      <w:bookmarkStart w:id="22" w:name="_Toc119810585"/>
      <w:bookmarkStart w:id="23" w:name="_Toc119828144"/>
      <w:r w:rsidRPr="007E5DA9">
        <w:rPr>
          <w:rFonts w:eastAsia="Calibri" w:cstheme="minorHAnsi"/>
          <w:lang w:val="hr-HR"/>
        </w:rPr>
        <w:t xml:space="preserve">Projekcije prihoda po osnovi doprinosa za razdoblje 2022. - 2024. temeljene su na očekivanom kretanju nominalnih bruto plaća i zaposlenosti. Valja napomenuti kako je jedino prihod od doprinosa za mirovinsko osiguranje, prihod državnog proračuna. </w:t>
      </w:r>
    </w:p>
    <w:p w:rsidR="00511A03" w:rsidRPr="007E5DA9" w:rsidRDefault="007E5DA9" w:rsidP="00F41038">
      <w:pPr>
        <w:spacing w:before="240" w:after="120"/>
        <w:jc w:val="both"/>
        <w:rPr>
          <w:rFonts w:eastAsia="Calibri" w:cstheme="minorHAnsi"/>
          <w:lang w:val="hr-HR"/>
        </w:rPr>
      </w:pPr>
      <w:r w:rsidRPr="007E5DA9">
        <w:rPr>
          <w:rFonts w:eastAsia="Calibri" w:cstheme="minorHAnsi"/>
          <w:lang w:val="hr-HR"/>
        </w:rPr>
        <w:t xml:space="preserve">U 2022. godini u državni proračun planira se prikupiti 26 milijardi kuna prihoda od doprinosa za mirovinsko osiguranje, dok projekcija za 2023. iznosi 27,1 milijardu kuna, a za 2024. godinu 28,4 milijarde kuna. </w:t>
      </w:r>
    </w:p>
    <w:p w:rsidR="00511A03" w:rsidRPr="007E5DA9" w:rsidRDefault="00511A03" w:rsidP="00F41038">
      <w:pPr>
        <w:spacing w:before="240" w:after="120"/>
        <w:jc w:val="both"/>
        <w:rPr>
          <w:rFonts w:cstheme="minorHAnsi"/>
          <w:b/>
          <w:i/>
          <w:lang w:val="hr-HR"/>
        </w:rPr>
      </w:pPr>
      <w:r w:rsidRPr="007E5DA9">
        <w:rPr>
          <w:rFonts w:cstheme="minorHAnsi"/>
          <w:b/>
          <w:i/>
          <w:lang w:val="hr-HR"/>
        </w:rPr>
        <w:t>Prihodi od pomoći</w:t>
      </w:r>
      <w:bookmarkEnd w:id="22"/>
      <w:bookmarkEnd w:id="23"/>
      <w:r w:rsidRPr="007E5DA9">
        <w:rPr>
          <w:rFonts w:cstheme="minorHAnsi"/>
          <w:b/>
          <w:i/>
          <w:lang w:val="hr-HR"/>
        </w:rPr>
        <w:t xml:space="preserve"> </w:t>
      </w:r>
    </w:p>
    <w:p w:rsidR="0003434E" w:rsidRDefault="007E5DA9" w:rsidP="00F41038">
      <w:pPr>
        <w:spacing w:before="240"/>
        <w:jc w:val="both"/>
        <w:rPr>
          <w:rFonts w:eastAsia="Calibri" w:cstheme="minorHAnsi"/>
          <w:lang w:val="hr-HR"/>
        </w:rPr>
      </w:pPr>
      <w:r w:rsidRPr="007E5DA9">
        <w:rPr>
          <w:rFonts w:eastAsia="Calibri" w:cstheme="minorHAnsi"/>
          <w:lang w:val="hr-HR"/>
        </w:rPr>
        <w:t xml:space="preserve">Prihodi od pomoći najvećim dijelom odnose se na prihode vezane uz projekte financirane iz EU proračuna, ali i uz sredstva dodijeljena RH u okviru pomoći u financiranju posljedica koronavirusa, sredstva iz Fonda solidarnosti EU za financiranje dijela obnove javne infrastrukture oštećene u potresu te sredstva iz novog instrumenta EU Nove generacije odnosno Mehanizma za oporavak i otpornost. </w:t>
      </w:r>
      <w:r w:rsidR="0003434E">
        <w:rPr>
          <w:rFonts w:eastAsia="Calibri" w:cstheme="minorHAnsi"/>
          <w:lang w:val="hr-HR"/>
        </w:rPr>
        <w:t xml:space="preserve">Tako je u idućem trogodišnjem razdoblju planirana apsorpcija 21,2 milijarde kuna u okviru Nacionalnog plana oporavka i otpornosti. </w:t>
      </w:r>
    </w:p>
    <w:p w:rsidR="00511A03" w:rsidRPr="007E5DA9" w:rsidRDefault="007E5DA9" w:rsidP="00F41038">
      <w:pPr>
        <w:spacing w:before="240"/>
        <w:jc w:val="both"/>
        <w:rPr>
          <w:rFonts w:eastAsia="Calibri" w:cstheme="minorHAnsi"/>
          <w:lang w:val="hr-HR"/>
        </w:rPr>
      </w:pPr>
      <w:r w:rsidRPr="007E5DA9">
        <w:rPr>
          <w:rFonts w:eastAsia="Calibri" w:cstheme="minorHAnsi"/>
          <w:lang w:val="hr-HR"/>
        </w:rPr>
        <w:t>Sukladno navedenom, ukupno planirani prihodi od pomoći u 2022. iznose 32,4 milijarde kuna, u 2023. godini 29,4 milijarde kuna. U 2024. godini ovi prihodi smanjuju se na 23,2 milijarde kuna, budući da krajem 2023. godine završava rok za korištenje sredstava iz Višegodišnjeg financijskog okvira 2014. – 2020.</w:t>
      </w:r>
    </w:p>
    <w:p w:rsidR="00511A03" w:rsidRPr="007E5DA9" w:rsidRDefault="00511A03" w:rsidP="00F41038">
      <w:pPr>
        <w:spacing w:before="240" w:after="120"/>
        <w:jc w:val="both"/>
        <w:rPr>
          <w:rFonts w:cstheme="minorHAnsi"/>
          <w:b/>
          <w:i/>
          <w:lang w:val="hr-HR"/>
        </w:rPr>
      </w:pPr>
      <w:r w:rsidRPr="007E5DA9">
        <w:rPr>
          <w:rFonts w:cstheme="minorHAnsi"/>
          <w:b/>
          <w:i/>
          <w:lang w:val="hr-HR"/>
        </w:rPr>
        <w:t>Prihodi od imovine</w:t>
      </w:r>
    </w:p>
    <w:p w:rsidR="007E5DA9" w:rsidRPr="007E5DA9" w:rsidRDefault="007E5DA9" w:rsidP="00F41038">
      <w:pPr>
        <w:spacing w:before="240" w:after="120"/>
        <w:jc w:val="both"/>
        <w:rPr>
          <w:rFonts w:eastAsia="Calibri" w:cstheme="minorHAnsi"/>
          <w:lang w:val="hr-HR"/>
        </w:rPr>
      </w:pPr>
      <w:bookmarkStart w:id="24" w:name="_Toc119810587"/>
      <w:bookmarkStart w:id="25" w:name="_Toc119828146"/>
      <w:r w:rsidRPr="007E5DA9">
        <w:rPr>
          <w:rFonts w:eastAsia="Calibri" w:cstheme="minorHAnsi"/>
          <w:lang w:val="hr-HR"/>
        </w:rPr>
        <w:t xml:space="preserve">Prihodi od imovine sastoje se od prihoda od kamata (na dane zajmove, po vrijednosnim papirima, na oročena sredstva i depozite po viđenju te zateznih kamata), prihoda od dobiti trgovačkih društava, kreditnih i ostalih financijskih organizacija, prihoda od dividendi, koncesija, iznajmljivanja i zakupa imovine, prihoda od legalizacije te ostalih prihoda od imovine. Ovi prihodi dijelom se prikupljaju na redovnoj bazi, a dijelom kao jednokratni prihodi. Najveće stavke prihoda od imovine čine prihodi od koncesija te prihodi od dobiti trgovačkih društava, kreditnih i ostalih financijskih institucija po posebnim propisima. U promatranom razdoblju planira se daljnje povlačenje dobiti trgovačkih društava u vlasništvu države u državni proračun. </w:t>
      </w:r>
    </w:p>
    <w:p w:rsidR="00943562" w:rsidRPr="007E5DA9" w:rsidRDefault="007E5DA9" w:rsidP="00F41038">
      <w:pPr>
        <w:spacing w:before="240" w:after="120"/>
        <w:jc w:val="both"/>
        <w:rPr>
          <w:rFonts w:eastAsia="Calibri" w:cstheme="minorHAnsi"/>
          <w:lang w:val="hr-HR"/>
        </w:rPr>
      </w:pPr>
      <w:r w:rsidRPr="007E5DA9">
        <w:rPr>
          <w:rFonts w:eastAsia="Calibri" w:cstheme="minorHAnsi"/>
          <w:lang w:val="hr-HR"/>
        </w:rPr>
        <w:t xml:space="preserve">Za 2022. godinu prihodi od imovine planirani su u iznosu od 2,4 milijarde kuna, dok projekcije za 2023. i 2024. godinu iznose 2,5, odnosno 2,7 milijardi kuna.  </w:t>
      </w:r>
    </w:p>
    <w:p w:rsidR="00511A03" w:rsidRPr="007E5DA9" w:rsidRDefault="00511A03" w:rsidP="00F41038">
      <w:pPr>
        <w:spacing w:before="240" w:after="120"/>
        <w:jc w:val="both"/>
        <w:rPr>
          <w:rFonts w:cstheme="minorHAnsi"/>
          <w:b/>
          <w:i/>
          <w:lang w:val="hr-HR"/>
        </w:rPr>
      </w:pPr>
      <w:r w:rsidRPr="007E5DA9">
        <w:rPr>
          <w:rFonts w:cstheme="minorHAnsi"/>
          <w:b/>
          <w:i/>
          <w:lang w:val="hr-HR"/>
        </w:rPr>
        <w:t xml:space="preserve">Prihodi od upravnih i administrativnih pristojbi, pristojbi po posebnim propisima i naknada     </w:t>
      </w:r>
    </w:p>
    <w:bookmarkEnd w:id="24"/>
    <w:bookmarkEnd w:id="25"/>
    <w:p w:rsidR="007E5DA9" w:rsidRPr="007E5DA9" w:rsidRDefault="007E5DA9" w:rsidP="00F41038">
      <w:pPr>
        <w:spacing w:before="240" w:after="120"/>
        <w:jc w:val="both"/>
        <w:rPr>
          <w:rFonts w:eastAsia="Calibri" w:cstheme="minorHAnsi"/>
          <w:lang w:val="hr-HR"/>
        </w:rPr>
      </w:pPr>
      <w:r w:rsidRPr="007E5DA9">
        <w:rPr>
          <w:rFonts w:eastAsia="Calibri" w:cstheme="minorHAnsi"/>
          <w:lang w:val="hr-HR"/>
        </w:rPr>
        <w:t xml:space="preserve">Prihodi po osnovi upravnih i administrativnih pristojbi u 2022. planirani su u iznosu od 826 milijuna kuna, dok projekcije za 2023. iznose 847 milijuna kuna, a za 2024. godinu 869,9 milijuna kuna. </w:t>
      </w:r>
    </w:p>
    <w:p w:rsidR="00511A03" w:rsidRPr="007E5DA9" w:rsidRDefault="007E5DA9" w:rsidP="00F41038">
      <w:pPr>
        <w:spacing w:before="240" w:after="120"/>
        <w:jc w:val="both"/>
        <w:rPr>
          <w:rFonts w:eastAsia="Calibri" w:cstheme="minorHAnsi"/>
          <w:lang w:val="hr-HR"/>
        </w:rPr>
      </w:pPr>
      <w:r w:rsidRPr="007E5DA9">
        <w:rPr>
          <w:rFonts w:eastAsia="Calibri" w:cstheme="minorHAnsi"/>
          <w:lang w:val="hr-HR"/>
        </w:rPr>
        <w:t xml:space="preserve">U kategoriji proračunskih prihoda po posebnim propisima planiraju se i namjenski prihodi proračunskih korisnika koji u 2022. iznose 3,6 milijardi kuna, a u 2023. i 2024. projiciraju se u iznosu od 3,8, odnosno 3,9 milijardi kuna. </w:t>
      </w:r>
    </w:p>
    <w:p w:rsidR="0003434E" w:rsidRDefault="0003434E" w:rsidP="00F41038">
      <w:pPr>
        <w:spacing w:before="240" w:after="120"/>
        <w:jc w:val="both"/>
        <w:rPr>
          <w:rFonts w:cstheme="minorHAnsi"/>
          <w:b/>
          <w:i/>
          <w:lang w:val="hr-HR"/>
        </w:rPr>
      </w:pPr>
      <w:bookmarkStart w:id="26" w:name="_Toc119828148"/>
    </w:p>
    <w:p w:rsidR="00511A03" w:rsidRPr="007E5DA9" w:rsidRDefault="00511A03" w:rsidP="00F41038">
      <w:pPr>
        <w:spacing w:before="240" w:after="120"/>
        <w:jc w:val="both"/>
        <w:rPr>
          <w:rFonts w:cstheme="minorHAnsi"/>
          <w:b/>
          <w:i/>
          <w:lang w:val="hr-HR"/>
        </w:rPr>
      </w:pPr>
      <w:r w:rsidRPr="007E5DA9">
        <w:rPr>
          <w:rFonts w:cstheme="minorHAnsi"/>
          <w:b/>
          <w:i/>
          <w:lang w:val="hr-HR"/>
        </w:rPr>
        <w:lastRenderedPageBreak/>
        <w:t>Prihodi od prodaje proizvoda i roba te pruženih usluga i prihodi od donacija</w:t>
      </w:r>
    </w:p>
    <w:p w:rsidR="007E5DA9" w:rsidRPr="007E5DA9" w:rsidRDefault="007E5DA9" w:rsidP="00F41038">
      <w:pPr>
        <w:spacing w:before="240" w:after="120"/>
        <w:jc w:val="both"/>
        <w:rPr>
          <w:rFonts w:eastAsia="Calibri" w:cstheme="minorHAnsi"/>
          <w:lang w:val="hr-HR"/>
        </w:rPr>
      </w:pPr>
      <w:r w:rsidRPr="007E5DA9">
        <w:rPr>
          <w:rFonts w:eastAsia="Calibri" w:cstheme="minorHAnsi"/>
          <w:lang w:val="hr-HR"/>
        </w:rPr>
        <w:t>Prihode od prodaje proizvoda i roba te pruženih usluga, koji su u cijelosti namjenski prihodi, kao i prihode od donacija planiraju proračunski korisnici, a za 2022. godinu planirani su u iznosu od 1,2 milijarde kuna. Projekcije prihoda od prodaje proizvoda i roba te pruženih usluga i prihodi od donacija za 2023. i 2024. godinu iznose 1,3 milijarde kuna.</w:t>
      </w:r>
    </w:p>
    <w:p w:rsidR="00511A03" w:rsidRPr="007E5DA9" w:rsidRDefault="00511A03" w:rsidP="00F41038">
      <w:pPr>
        <w:spacing w:before="240" w:after="120"/>
        <w:jc w:val="both"/>
        <w:rPr>
          <w:rFonts w:cstheme="minorHAnsi"/>
          <w:b/>
          <w:i/>
          <w:lang w:val="hr-HR"/>
        </w:rPr>
      </w:pPr>
      <w:r w:rsidRPr="007E5DA9">
        <w:rPr>
          <w:rFonts w:cstheme="minorHAnsi"/>
          <w:b/>
          <w:i/>
          <w:lang w:val="hr-HR"/>
        </w:rPr>
        <w:t>Prihodi iz nadležnog proračuna i od HZZO-a temeljem ugovornih obveza</w:t>
      </w:r>
    </w:p>
    <w:p w:rsidR="007E5DA9" w:rsidRPr="007E5DA9" w:rsidRDefault="007E5DA9" w:rsidP="00F41038">
      <w:pPr>
        <w:spacing w:before="240"/>
        <w:jc w:val="both"/>
        <w:rPr>
          <w:rFonts w:eastAsia="Calibri" w:cstheme="minorHAnsi"/>
          <w:lang w:val="hr-HR"/>
        </w:rPr>
      </w:pPr>
      <w:r w:rsidRPr="007E5DA9">
        <w:rPr>
          <w:rFonts w:eastAsia="Calibri" w:cstheme="minorHAnsi"/>
          <w:lang w:val="hr-HR"/>
        </w:rPr>
        <w:t xml:space="preserve">Sukladno kretanjima prihoda od doprinosa za zdravstveno osiguranje, očekuje se povećanje prihoda iz nadležnog proračuna i od Hrvatskog zavoda za zdravstveno osiguranje temeljem ugovornih obveza, a koji se odnose na ustanove u zdravstvu u državnom vlasništvu. </w:t>
      </w:r>
    </w:p>
    <w:p w:rsidR="00511A03" w:rsidRPr="007E5DA9" w:rsidRDefault="007E5DA9" w:rsidP="00F41038">
      <w:pPr>
        <w:spacing w:before="240" w:after="120"/>
        <w:jc w:val="both"/>
        <w:rPr>
          <w:rFonts w:eastAsia="Calibri" w:cstheme="minorHAnsi"/>
          <w:lang w:val="hr-HR"/>
        </w:rPr>
      </w:pPr>
      <w:r w:rsidRPr="007E5DA9">
        <w:rPr>
          <w:rFonts w:eastAsia="Calibri" w:cstheme="minorHAnsi"/>
          <w:lang w:val="hr-HR"/>
        </w:rPr>
        <w:t xml:space="preserve">Očekuje se kako će prihodi iz nadležnog proračuna i od HZZO-a temeljem ugovornih obveza u planskom razdoblju iznositi od 8,4 milijardi kuna u 2022. do 8,6 milijardi kuna u 2024. godini.  </w:t>
      </w:r>
    </w:p>
    <w:bookmarkEnd w:id="26"/>
    <w:p w:rsidR="00511A03" w:rsidRPr="007E5DA9" w:rsidRDefault="00511A03" w:rsidP="00F41038">
      <w:pPr>
        <w:spacing w:before="240" w:after="120"/>
        <w:jc w:val="both"/>
        <w:rPr>
          <w:rFonts w:cstheme="minorHAnsi"/>
          <w:b/>
          <w:i/>
          <w:lang w:val="hr-HR"/>
        </w:rPr>
      </w:pPr>
      <w:r w:rsidRPr="007E5DA9">
        <w:rPr>
          <w:rFonts w:cstheme="minorHAnsi"/>
          <w:b/>
          <w:i/>
          <w:lang w:val="hr-HR"/>
        </w:rPr>
        <w:t>Kazne, upravne mjere i ostali prihodi</w:t>
      </w:r>
    </w:p>
    <w:p w:rsidR="00511A03" w:rsidRPr="007E5DA9" w:rsidRDefault="007E5DA9" w:rsidP="00F41038">
      <w:pPr>
        <w:spacing w:before="240" w:after="120"/>
        <w:jc w:val="both"/>
        <w:rPr>
          <w:rFonts w:eastAsia="Calibri" w:cstheme="minorHAnsi"/>
          <w:lang w:val="hr-HR"/>
        </w:rPr>
      </w:pPr>
      <w:r w:rsidRPr="007E5DA9">
        <w:rPr>
          <w:rFonts w:eastAsia="Calibri" w:cstheme="minorHAnsi"/>
          <w:lang w:val="hr-HR"/>
        </w:rPr>
        <w:t xml:space="preserve">Prihodi od kazni i upravnih mjera najvećim se dijelom ostvaruju po osnovi kazni za prometne prekršaje, zatim za porezne i carinske prekršaje, a u nešto manjoj mjeri od raznih ostalih kazni. Očekuje se da će prihodi od kazni i upravnih mjera slijediti trendove dosadašnjih kretanja i u narednom razdoblju te su za 2022. planirani u iznosu od 769,5 milijuna kuna, dok projekcije za 2023. iznose 792,3 milijuna kuna, a za 2024. godinu 813,9 milijuna kuna. </w:t>
      </w:r>
    </w:p>
    <w:p w:rsidR="00511A03" w:rsidRPr="007E5DA9" w:rsidRDefault="00511A03" w:rsidP="00F41038">
      <w:pPr>
        <w:tabs>
          <w:tab w:val="left" w:pos="7560"/>
        </w:tabs>
        <w:spacing w:before="240" w:after="120"/>
        <w:jc w:val="both"/>
        <w:rPr>
          <w:rFonts w:cstheme="minorHAnsi"/>
          <w:b/>
          <w:lang w:val="hr-HR"/>
        </w:rPr>
      </w:pPr>
      <w:r w:rsidRPr="007E5DA9">
        <w:rPr>
          <w:rFonts w:cstheme="minorHAnsi"/>
          <w:b/>
          <w:lang w:val="hr-HR"/>
        </w:rPr>
        <w:t>Prihodi od prodaje nefinancijske imovine</w:t>
      </w:r>
    </w:p>
    <w:bookmarkEnd w:id="10"/>
    <w:bookmarkEnd w:id="11"/>
    <w:p w:rsidR="007E5DA9" w:rsidRPr="007E5DA9" w:rsidRDefault="007E5DA9" w:rsidP="00F41038">
      <w:pPr>
        <w:spacing w:before="240" w:after="120"/>
        <w:jc w:val="both"/>
        <w:rPr>
          <w:rFonts w:eastAsia="Calibri" w:cstheme="minorHAnsi"/>
          <w:lang w:val="hr-HR"/>
        </w:rPr>
      </w:pPr>
      <w:r w:rsidRPr="007E5DA9">
        <w:rPr>
          <w:rFonts w:eastAsia="Calibri" w:cstheme="minorHAnsi"/>
          <w:lang w:val="hr-HR"/>
        </w:rPr>
        <w:t xml:space="preserve">Prihodi od prodaje nefinancijske imovine u 2022. godini planiraju se u iznosu od 793,1 milijun kuna, a najveći dio ovih prihoda ostvarit će se aktivacijom neaktivne državne imovine odnosno prodajom stanova i ostalih građevinskih objekata te prodajom zemljišta. </w:t>
      </w:r>
    </w:p>
    <w:p w:rsidR="007E5DA9" w:rsidRDefault="007E5DA9" w:rsidP="00F41038">
      <w:pPr>
        <w:spacing w:before="240" w:after="120"/>
        <w:jc w:val="both"/>
        <w:rPr>
          <w:rFonts w:eastAsia="Calibri" w:cstheme="minorHAnsi"/>
          <w:lang w:val="hr-HR"/>
        </w:rPr>
      </w:pPr>
      <w:r w:rsidRPr="007E5DA9">
        <w:rPr>
          <w:rFonts w:eastAsia="Calibri" w:cstheme="minorHAnsi"/>
          <w:lang w:val="hr-HR"/>
        </w:rPr>
        <w:t xml:space="preserve">U razdoblju 2023. – 2024. godine ukupni prihodi od prodaje nefinancijske imovine projiciraju se u iznosu od 745,5 milijuna kuna u 2023., odnosno 815,6 milijuna kuna u 2024. godini.  </w:t>
      </w:r>
    </w:p>
    <w:p w:rsidR="0003434E" w:rsidRDefault="0003434E" w:rsidP="00F41038">
      <w:pPr>
        <w:spacing w:before="240" w:after="120"/>
        <w:jc w:val="both"/>
        <w:rPr>
          <w:rFonts w:cstheme="minorHAnsi"/>
          <w:i/>
          <w:lang w:val="hr-HR"/>
        </w:rPr>
      </w:pPr>
    </w:p>
    <w:p w:rsidR="0003434E" w:rsidRDefault="0003434E" w:rsidP="00F41038">
      <w:pPr>
        <w:spacing w:before="240" w:after="120"/>
        <w:jc w:val="both"/>
        <w:rPr>
          <w:rFonts w:cstheme="minorHAnsi"/>
          <w:i/>
          <w:lang w:val="hr-HR"/>
        </w:rPr>
      </w:pPr>
    </w:p>
    <w:p w:rsidR="0003434E" w:rsidRDefault="0003434E" w:rsidP="00F41038">
      <w:pPr>
        <w:spacing w:before="240" w:after="120"/>
        <w:jc w:val="both"/>
        <w:rPr>
          <w:rFonts w:cstheme="minorHAnsi"/>
          <w:i/>
          <w:lang w:val="hr-HR"/>
        </w:rPr>
      </w:pPr>
    </w:p>
    <w:p w:rsidR="0003434E" w:rsidRDefault="0003434E" w:rsidP="00F41038">
      <w:pPr>
        <w:spacing w:before="240" w:after="120"/>
        <w:jc w:val="both"/>
        <w:rPr>
          <w:rFonts w:cstheme="minorHAnsi"/>
          <w:i/>
          <w:lang w:val="hr-HR"/>
        </w:rPr>
      </w:pPr>
    </w:p>
    <w:p w:rsidR="0003434E" w:rsidRDefault="0003434E" w:rsidP="00F41038">
      <w:pPr>
        <w:spacing w:before="240" w:after="120"/>
        <w:jc w:val="both"/>
        <w:rPr>
          <w:rFonts w:cstheme="minorHAnsi"/>
          <w:i/>
          <w:lang w:val="hr-HR"/>
        </w:rPr>
      </w:pPr>
    </w:p>
    <w:p w:rsidR="0003434E" w:rsidRDefault="0003434E" w:rsidP="00F41038">
      <w:pPr>
        <w:spacing w:before="240" w:after="120"/>
        <w:jc w:val="both"/>
        <w:rPr>
          <w:rFonts w:cstheme="minorHAnsi"/>
          <w:i/>
          <w:lang w:val="hr-HR"/>
        </w:rPr>
      </w:pPr>
    </w:p>
    <w:p w:rsidR="0003434E" w:rsidRDefault="0003434E" w:rsidP="00F41038">
      <w:pPr>
        <w:spacing w:before="240" w:after="120"/>
        <w:jc w:val="both"/>
        <w:rPr>
          <w:rFonts w:cstheme="minorHAnsi"/>
          <w:i/>
          <w:lang w:val="hr-HR"/>
        </w:rPr>
      </w:pPr>
    </w:p>
    <w:p w:rsidR="0003434E" w:rsidRDefault="0003434E" w:rsidP="00F41038">
      <w:pPr>
        <w:spacing w:before="240" w:after="120"/>
        <w:jc w:val="both"/>
        <w:rPr>
          <w:rFonts w:cstheme="minorHAnsi"/>
          <w:i/>
          <w:lang w:val="hr-HR"/>
        </w:rPr>
      </w:pPr>
    </w:p>
    <w:p w:rsidR="00E22265" w:rsidRPr="007E5DA9" w:rsidRDefault="001F3879" w:rsidP="00F41038">
      <w:pPr>
        <w:spacing w:before="240" w:after="120"/>
        <w:jc w:val="both"/>
        <w:rPr>
          <w:rFonts w:cstheme="minorHAnsi"/>
          <w:i/>
          <w:lang w:val="hr-HR"/>
        </w:rPr>
      </w:pPr>
      <w:r w:rsidRPr="007E5DA9">
        <w:rPr>
          <w:rFonts w:cstheme="minorHAnsi"/>
          <w:i/>
          <w:lang w:val="hr-HR"/>
        </w:rPr>
        <w:lastRenderedPageBreak/>
        <w:t xml:space="preserve">Tablica </w:t>
      </w:r>
      <w:r w:rsidRPr="007E5DA9">
        <w:rPr>
          <w:rFonts w:cstheme="minorHAnsi"/>
          <w:i/>
          <w:lang w:val="hr-HR"/>
        </w:rPr>
        <w:fldChar w:fldCharType="begin"/>
      </w:r>
      <w:r w:rsidRPr="007E5DA9">
        <w:rPr>
          <w:rFonts w:cstheme="minorHAnsi"/>
          <w:i/>
          <w:lang w:val="hr-HR"/>
        </w:rPr>
        <w:instrText xml:space="preserve"> SEQ Tablica \* ARABIC </w:instrText>
      </w:r>
      <w:r w:rsidRPr="007E5DA9">
        <w:rPr>
          <w:rFonts w:cstheme="minorHAnsi"/>
          <w:i/>
          <w:lang w:val="hr-HR"/>
        </w:rPr>
        <w:fldChar w:fldCharType="separate"/>
      </w:r>
      <w:r w:rsidR="002A3B08">
        <w:rPr>
          <w:rFonts w:cstheme="minorHAnsi"/>
          <w:i/>
          <w:noProof/>
          <w:lang w:val="hr-HR"/>
        </w:rPr>
        <w:t>4</w:t>
      </w:r>
      <w:r w:rsidRPr="007E5DA9">
        <w:rPr>
          <w:rFonts w:cstheme="minorHAnsi"/>
          <w:i/>
          <w:lang w:val="hr-HR"/>
        </w:rPr>
        <w:fldChar w:fldCharType="end"/>
      </w:r>
      <w:r w:rsidRPr="007E5DA9">
        <w:rPr>
          <w:rFonts w:cstheme="minorHAnsi"/>
          <w:i/>
          <w:lang w:val="hr-HR"/>
        </w:rPr>
        <w:t>: Prihodi državnog proračuna za razdoblje 20</w:t>
      </w:r>
      <w:r w:rsidR="00EE36D9" w:rsidRPr="007E5DA9">
        <w:rPr>
          <w:rFonts w:cstheme="minorHAnsi"/>
          <w:i/>
          <w:lang w:val="hr-HR"/>
        </w:rPr>
        <w:t>20</w:t>
      </w:r>
      <w:r w:rsidR="00E22265" w:rsidRPr="007E5DA9">
        <w:rPr>
          <w:rFonts w:cstheme="minorHAnsi"/>
          <w:i/>
          <w:lang w:val="hr-HR"/>
        </w:rPr>
        <w:t>. - 202</w:t>
      </w:r>
      <w:r w:rsidR="00EE36D9" w:rsidRPr="007E5DA9">
        <w:rPr>
          <w:rFonts w:cstheme="minorHAnsi"/>
          <w:i/>
          <w:lang w:val="hr-HR"/>
        </w:rPr>
        <w:t>4</w:t>
      </w:r>
      <w:r w:rsidRPr="007E5DA9">
        <w:rPr>
          <w:rFonts w:cstheme="minorHAnsi"/>
          <w:i/>
          <w:lang w:val="hr-HR"/>
        </w:rPr>
        <w:t>.</w:t>
      </w:r>
      <w:bookmarkEnd w:id="9"/>
      <w:r w:rsidRPr="007E5DA9">
        <w:rPr>
          <w:rFonts w:cstheme="minorHAnsi"/>
          <w:i/>
          <w:lang w:val="hr-HR"/>
        </w:rPr>
        <w:t xml:space="preserve"> </w:t>
      </w:r>
    </w:p>
    <w:p w:rsidR="007E5DA9" w:rsidRPr="00F70B2A" w:rsidRDefault="007F7A61" w:rsidP="001F3879">
      <w:pPr>
        <w:spacing w:before="240" w:after="0" w:line="240" w:lineRule="auto"/>
        <w:jc w:val="both"/>
        <w:rPr>
          <w:i/>
          <w:lang w:val="hr-HR"/>
        </w:rPr>
      </w:pPr>
      <w:r w:rsidRPr="007F7A61">
        <w:rPr>
          <w:noProof/>
          <w:lang w:val="hr-HR" w:eastAsia="hr-HR"/>
        </w:rPr>
        <w:drawing>
          <wp:inline distT="0" distB="0" distL="0" distR="0">
            <wp:extent cx="5760720" cy="2807156"/>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2807156"/>
                    </a:xfrm>
                    <a:prstGeom prst="rect">
                      <a:avLst/>
                    </a:prstGeom>
                    <a:noFill/>
                    <a:ln>
                      <a:noFill/>
                    </a:ln>
                  </pic:spPr>
                </pic:pic>
              </a:graphicData>
            </a:graphic>
          </wp:inline>
        </w:drawing>
      </w:r>
    </w:p>
    <w:p w:rsidR="001F3879" w:rsidRPr="00F70B2A" w:rsidRDefault="001F3879" w:rsidP="001F3879">
      <w:pPr>
        <w:rPr>
          <w:lang w:val="hr-HR"/>
        </w:rPr>
      </w:pPr>
      <w:r w:rsidRPr="000B2784">
        <w:rPr>
          <w:i/>
          <w:sz w:val="20"/>
          <w:lang w:val="hr-HR"/>
        </w:rPr>
        <w:t>Izvor: Ministarstvo financija</w:t>
      </w:r>
    </w:p>
    <w:p w:rsidR="0037667D" w:rsidRPr="00F70B2A" w:rsidRDefault="00695821" w:rsidP="00695821">
      <w:pPr>
        <w:rPr>
          <w:lang w:val="hr-HR"/>
        </w:rPr>
      </w:pPr>
      <w:r w:rsidRPr="00F70B2A">
        <w:rPr>
          <w:lang w:val="hr-HR"/>
        </w:rPr>
        <w:t xml:space="preserve"> </w:t>
      </w:r>
      <w:r w:rsidR="0037667D" w:rsidRPr="00F70B2A">
        <w:rPr>
          <w:lang w:val="hr-HR"/>
        </w:rPr>
        <w:br w:type="page"/>
      </w:r>
    </w:p>
    <w:p w:rsidR="00695821" w:rsidRPr="00F70B2A" w:rsidRDefault="00695821" w:rsidP="0029489C">
      <w:pPr>
        <w:pStyle w:val="Heading1"/>
        <w:numPr>
          <w:ilvl w:val="0"/>
          <w:numId w:val="17"/>
        </w:numPr>
        <w:rPr>
          <w:lang w:val="hr-HR"/>
        </w:rPr>
      </w:pPr>
      <w:bookmarkStart w:id="27" w:name="_Toc86303473"/>
      <w:r w:rsidRPr="00F70B2A">
        <w:rPr>
          <w:lang w:val="hr-HR"/>
        </w:rPr>
        <w:lastRenderedPageBreak/>
        <w:t>RASHODI DRŽAVNOG PRORAČUNA</w:t>
      </w:r>
      <w:bookmarkEnd w:id="27"/>
      <w:r w:rsidRPr="00F70B2A">
        <w:rPr>
          <w:lang w:val="hr-HR"/>
        </w:rPr>
        <w:t xml:space="preserve"> </w:t>
      </w:r>
    </w:p>
    <w:p w:rsidR="00695821" w:rsidRDefault="00223521" w:rsidP="00506C0E">
      <w:pPr>
        <w:spacing w:before="240"/>
        <w:rPr>
          <w:lang w:val="hr-HR"/>
        </w:rPr>
      </w:pPr>
      <w:r w:rsidRPr="00223521">
        <w:rPr>
          <w:lang w:val="hr-HR"/>
        </w:rPr>
        <w:t>U 2022. godini ukupni rashodi državnog proračuna planirani su u iznosu od 173,8 milijardi kuna, što je 3,9% ili 6,5 milijardi kuna više u odnosu na Državni proračun Republike Hrvatske za 2021. godinu. U 2023. godini ukupni rashodi planirani su razini od 169,8 milijardi kuna, a u 2024. projiciraju se na razini od 166,5 milijardi kuna.</w:t>
      </w:r>
    </w:p>
    <w:p w:rsidR="00BC27DE" w:rsidRDefault="00BC27DE" w:rsidP="00223521">
      <w:pPr>
        <w:spacing w:after="0" w:line="240" w:lineRule="auto"/>
        <w:jc w:val="both"/>
        <w:rPr>
          <w:i/>
          <w:lang w:val="hr-HR"/>
        </w:rPr>
      </w:pPr>
      <w:r w:rsidRPr="00F70B2A">
        <w:rPr>
          <w:i/>
          <w:lang w:val="hr-HR"/>
        </w:rPr>
        <w:t xml:space="preserve">Tablica </w:t>
      </w:r>
      <w:r w:rsidRPr="00F70B2A">
        <w:rPr>
          <w:i/>
          <w:lang w:val="hr-HR"/>
        </w:rPr>
        <w:fldChar w:fldCharType="begin"/>
      </w:r>
      <w:r w:rsidRPr="00F70B2A">
        <w:rPr>
          <w:i/>
          <w:lang w:val="hr-HR"/>
        </w:rPr>
        <w:instrText xml:space="preserve"> SEQ Tablica \* ARABIC </w:instrText>
      </w:r>
      <w:r w:rsidRPr="00F70B2A">
        <w:rPr>
          <w:i/>
          <w:lang w:val="hr-HR"/>
        </w:rPr>
        <w:fldChar w:fldCharType="separate"/>
      </w:r>
      <w:r w:rsidR="002A3B08">
        <w:rPr>
          <w:i/>
          <w:noProof/>
          <w:lang w:val="hr-HR"/>
        </w:rPr>
        <w:t>5</w:t>
      </w:r>
      <w:r w:rsidRPr="00F70B2A">
        <w:rPr>
          <w:i/>
          <w:lang w:val="hr-HR"/>
        </w:rPr>
        <w:fldChar w:fldCharType="end"/>
      </w:r>
      <w:r w:rsidRPr="00F70B2A">
        <w:rPr>
          <w:i/>
          <w:lang w:val="hr-HR"/>
        </w:rPr>
        <w:t>: Kretanje ukupnih rashoda državnog proračuna u razdoblju 20</w:t>
      </w:r>
      <w:r w:rsidR="00EE36D9">
        <w:rPr>
          <w:i/>
          <w:lang w:val="hr-HR"/>
        </w:rPr>
        <w:t>20</w:t>
      </w:r>
      <w:r w:rsidRPr="00F70B2A">
        <w:rPr>
          <w:i/>
          <w:lang w:val="hr-HR"/>
        </w:rPr>
        <w:t>. - 202</w:t>
      </w:r>
      <w:r w:rsidR="00EE36D9">
        <w:rPr>
          <w:i/>
          <w:lang w:val="hr-HR"/>
        </w:rPr>
        <w:t>4</w:t>
      </w:r>
      <w:r w:rsidRPr="00F70B2A">
        <w:rPr>
          <w:i/>
          <w:lang w:val="hr-HR"/>
        </w:rPr>
        <w:t>.</w:t>
      </w:r>
    </w:p>
    <w:p w:rsidR="00223521" w:rsidRDefault="00223521" w:rsidP="00223521">
      <w:pPr>
        <w:spacing w:after="0" w:line="240" w:lineRule="auto"/>
        <w:jc w:val="both"/>
        <w:rPr>
          <w:i/>
          <w:lang w:val="hr-HR"/>
        </w:rPr>
      </w:pPr>
      <w:r w:rsidRPr="0053652A">
        <w:rPr>
          <w:noProof/>
          <w:lang w:val="hr-HR" w:eastAsia="hr-HR"/>
        </w:rPr>
        <w:drawing>
          <wp:inline distT="0" distB="0" distL="0" distR="0" wp14:anchorId="648E2C40" wp14:editId="3D448391">
            <wp:extent cx="5760720" cy="1977785"/>
            <wp:effectExtent l="0" t="0" r="0" b="381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1977785"/>
                    </a:xfrm>
                    <a:prstGeom prst="rect">
                      <a:avLst/>
                    </a:prstGeom>
                    <a:noFill/>
                    <a:ln>
                      <a:noFill/>
                    </a:ln>
                  </pic:spPr>
                </pic:pic>
              </a:graphicData>
            </a:graphic>
          </wp:inline>
        </w:drawing>
      </w:r>
    </w:p>
    <w:p w:rsidR="00BC27DE" w:rsidRDefault="00BC27DE" w:rsidP="00223521">
      <w:pPr>
        <w:spacing w:after="0" w:line="240" w:lineRule="auto"/>
        <w:jc w:val="both"/>
        <w:rPr>
          <w:i/>
          <w:sz w:val="20"/>
          <w:lang w:val="hr-HR"/>
        </w:rPr>
      </w:pPr>
      <w:r w:rsidRPr="00F70B2A">
        <w:rPr>
          <w:i/>
          <w:sz w:val="20"/>
          <w:lang w:val="hr-HR"/>
        </w:rPr>
        <w:t>Izvor: Ministarstvo financija</w:t>
      </w:r>
    </w:p>
    <w:p w:rsidR="00223521" w:rsidRPr="00F70B2A" w:rsidRDefault="00223521" w:rsidP="00223521">
      <w:pPr>
        <w:spacing w:after="0" w:line="240" w:lineRule="auto"/>
        <w:jc w:val="both"/>
        <w:rPr>
          <w:i/>
          <w:sz w:val="20"/>
          <w:lang w:val="hr-HR"/>
        </w:rPr>
      </w:pPr>
    </w:p>
    <w:p w:rsidR="00223521" w:rsidRPr="00223521" w:rsidRDefault="00223521" w:rsidP="00223521">
      <w:pPr>
        <w:jc w:val="both"/>
        <w:rPr>
          <w:lang w:val="hr-HR"/>
        </w:rPr>
      </w:pPr>
      <w:r w:rsidRPr="00223521">
        <w:rPr>
          <w:lang w:val="hr-HR"/>
        </w:rPr>
        <w:t>Od ukupnog povećanja u iznosu od 6,5 milijardi kuna u odnosu na Državni proračun Republike Hrvatske za 2021. godinu, 1,5 milijardi kuna odnosi se na povećanje rashoda koji se financiraju iz općih prihoda i primitaka, doprinosa i namjenskih primitaka, a ostatak od 5,0 milijardi kuna odnosi se na povećanje rashoda koji se financiraju iz vlastitih i namjenskih</w:t>
      </w:r>
      <w:r>
        <w:rPr>
          <w:lang w:val="hr-HR"/>
        </w:rPr>
        <w:t xml:space="preserve"> izvora uključujući EU pomoći. </w:t>
      </w:r>
    </w:p>
    <w:p w:rsidR="00223521" w:rsidRPr="00223521" w:rsidRDefault="00223521" w:rsidP="00223521">
      <w:pPr>
        <w:jc w:val="both"/>
        <w:rPr>
          <w:lang w:val="hr-HR"/>
        </w:rPr>
      </w:pPr>
      <w:r w:rsidRPr="00223521">
        <w:rPr>
          <w:lang w:val="hr-HR"/>
        </w:rPr>
        <w:t>Rast rashoda financiranih iz općih prihoda i primitaka, doprinosa i namjenskih primitaka u 2022. godini u odnosu na tekući plan 2021. najvećim dijelom rezultat je osiguranja sredstava za:</w:t>
      </w:r>
    </w:p>
    <w:p w:rsidR="00223521" w:rsidRPr="00223521" w:rsidRDefault="00223521" w:rsidP="00223521">
      <w:pPr>
        <w:pStyle w:val="ListParagraph"/>
        <w:numPr>
          <w:ilvl w:val="0"/>
          <w:numId w:val="24"/>
        </w:numPr>
        <w:ind w:left="709" w:hanging="349"/>
        <w:jc w:val="both"/>
        <w:rPr>
          <w:lang w:val="hr-HR"/>
        </w:rPr>
      </w:pPr>
      <w:r w:rsidRPr="00223521">
        <w:rPr>
          <w:lang w:val="hr-HR"/>
        </w:rPr>
        <w:t>nabavu višenamjenskih borbenih aviona u iznosu od 2,2 milijarde kuna,</w:t>
      </w:r>
    </w:p>
    <w:p w:rsidR="00223521" w:rsidRPr="00223521" w:rsidRDefault="00223521" w:rsidP="00223521">
      <w:pPr>
        <w:pStyle w:val="ListParagraph"/>
        <w:numPr>
          <w:ilvl w:val="0"/>
          <w:numId w:val="24"/>
        </w:numPr>
        <w:ind w:left="709" w:hanging="349"/>
        <w:jc w:val="both"/>
        <w:rPr>
          <w:lang w:val="hr-HR"/>
        </w:rPr>
      </w:pPr>
      <w:r w:rsidRPr="00223521">
        <w:rPr>
          <w:lang w:val="hr-HR"/>
        </w:rPr>
        <w:t>rashode za zaposlene (uključujući rashode za zaposlene u osnovnom i srednjem školstvu) u iznosu od 1,3 milijardu kuna,</w:t>
      </w:r>
    </w:p>
    <w:p w:rsidR="00223521" w:rsidRPr="00223521" w:rsidRDefault="00223521" w:rsidP="00223521">
      <w:pPr>
        <w:pStyle w:val="ListParagraph"/>
        <w:numPr>
          <w:ilvl w:val="0"/>
          <w:numId w:val="24"/>
        </w:numPr>
        <w:ind w:left="709" w:hanging="349"/>
        <w:jc w:val="both"/>
        <w:rPr>
          <w:lang w:val="hr-HR"/>
        </w:rPr>
      </w:pPr>
      <w:r w:rsidRPr="00223521">
        <w:rPr>
          <w:lang w:val="hr-HR"/>
        </w:rPr>
        <w:t xml:space="preserve">doprinos RH proračunu Europske unije u iznosu od 948,9 milijuna kuna, </w:t>
      </w:r>
    </w:p>
    <w:p w:rsidR="00223521" w:rsidRPr="00223521" w:rsidRDefault="00223521" w:rsidP="00223521">
      <w:pPr>
        <w:pStyle w:val="ListParagraph"/>
        <w:numPr>
          <w:ilvl w:val="0"/>
          <w:numId w:val="24"/>
        </w:numPr>
        <w:ind w:left="709" w:hanging="349"/>
        <w:jc w:val="both"/>
        <w:rPr>
          <w:lang w:val="hr-HR"/>
        </w:rPr>
      </w:pPr>
      <w:r w:rsidRPr="00223521">
        <w:rPr>
          <w:lang w:val="hr-HR"/>
        </w:rPr>
        <w:t>mirovine i mirovinska primanja (indeksacija mirovina po općim i posebnim propisima i očekivani porast broja umirovljenika) u iznosu od 900,5 milijuna kuna,</w:t>
      </w:r>
    </w:p>
    <w:p w:rsidR="00223521" w:rsidRPr="00223521" w:rsidRDefault="00223521" w:rsidP="00223521">
      <w:pPr>
        <w:pStyle w:val="ListParagraph"/>
        <w:numPr>
          <w:ilvl w:val="0"/>
          <w:numId w:val="24"/>
        </w:numPr>
        <w:ind w:left="709" w:hanging="349"/>
        <w:jc w:val="both"/>
        <w:rPr>
          <w:lang w:val="hr-HR"/>
        </w:rPr>
      </w:pPr>
      <w:r w:rsidRPr="00223521">
        <w:rPr>
          <w:lang w:val="hr-HR"/>
        </w:rPr>
        <w:t>sanaciju posljedica uzrokovanih potresom u iznosu od 858,3 milijuna kuna,</w:t>
      </w:r>
    </w:p>
    <w:p w:rsidR="00223521" w:rsidRPr="00223521" w:rsidRDefault="00223521" w:rsidP="00223521">
      <w:pPr>
        <w:pStyle w:val="ListParagraph"/>
        <w:numPr>
          <w:ilvl w:val="0"/>
          <w:numId w:val="24"/>
        </w:numPr>
        <w:ind w:left="709" w:hanging="349"/>
        <w:jc w:val="both"/>
        <w:rPr>
          <w:lang w:val="hr-HR"/>
        </w:rPr>
      </w:pPr>
      <w:r w:rsidRPr="00223521">
        <w:rPr>
          <w:lang w:val="hr-HR"/>
        </w:rPr>
        <w:t>financijski rashodi u iznosu od 517,0 milijuna kuna,</w:t>
      </w:r>
    </w:p>
    <w:p w:rsidR="00223521" w:rsidRPr="00223521" w:rsidRDefault="00223521" w:rsidP="00223521">
      <w:pPr>
        <w:pStyle w:val="ListParagraph"/>
        <w:numPr>
          <w:ilvl w:val="0"/>
          <w:numId w:val="24"/>
        </w:numPr>
        <w:ind w:left="709" w:hanging="349"/>
        <w:jc w:val="both"/>
        <w:rPr>
          <w:lang w:val="hr-HR"/>
        </w:rPr>
      </w:pPr>
      <w:r w:rsidRPr="00223521">
        <w:rPr>
          <w:lang w:val="hr-HR"/>
        </w:rPr>
        <w:t>socijalne pomoći i naknade u iznosu od 479,2 milijuna kuna</w:t>
      </w:r>
      <w:r>
        <w:rPr>
          <w:lang w:val="hr-HR"/>
        </w:rPr>
        <w:t>,</w:t>
      </w:r>
    </w:p>
    <w:p w:rsidR="00223521" w:rsidRPr="00223521" w:rsidRDefault="00223521" w:rsidP="00223521">
      <w:pPr>
        <w:pStyle w:val="ListParagraph"/>
        <w:numPr>
          <w:ilvl w:val="0"/>
          <w:numId w:val="24"/>
        </w:numPr>
        <w:ind w:left="709" w:hanging="349"/>
        <w:jc w:val="both"/>
        <w:rPr>
          <w:lang w:val="hr-HR"/>
        </w:rPr>
      </w:pPr>
      <w:r w:rsidRPr="00223521">
        <w:rPr>
          <w:lang w:val="hr-HR"/>
        </w:rPr>
        <w:t>isplata razlike uvećanja plaće za prekovremeni rad u iznosu od 308,9 milijuna kuna</w:t>
      </w:r>
      <w:r>
        <w:rPr>
          <w:lang w:val="hr-HR"/>
        </w:rPr>
        <w:t>,</w:t>
      </w:r>
    </w:p>
    <w:p w:rsidR="00223521" w:rsidRPr="00223521" w:rsidRDefault="00223521" w:rsidP="00223521">
      <w:pPr>
        <w:pStyle w:val="ListParagraph"/>
        <w:numPr>
          <w:ilvl w:val="0"/>
          <w:numId w:val="24"/>
        </w:numPr>
        <w:ind w:left="709" w:hanging="349"/>
        <w:jc w:val="both"/>
        <w:rPr>
          <w:lang w:val="hr-HR"/>
        </w:rPr>
      </w:pPr>
      <w:r w:rsidRPr="00223521">
        <w:rPr>
          <w:lang w:val="hr-HR"/>
        </w:rPr>
        <w:t>opremanje višenamjenskim helikopterom u iznosu od 125,6 milijuna kuna,</w:t>
      </w:r>
    </w:p>
    <w:p w:rsidR="00223521" w:rsidRPr="00223521" w:rsidRDefault="00223521" w:rsidP="00223521">
      <w:pPr>
        <w:pStyle w:val="ListParagraph"/>
        <w:numPr>
          <w:ilvl w:val="0"/>
          <w:numId w:val="24"/>
        </w:numPr>
        <w:ind w:left="709" w:hanging="349"/>
        <w:jc w:val="both"/>
        <w:rPr>
          <w:lang w:val="hr-HR"/>
        </w:rPr>
      </w:pPr>
      <w:r w:rsidRPr="00223521">
        <w:rPr>
          <w:lang w:val="hr-HR"/>
        </w:rPr>
        <w:t>programe za nacionalne manjine u iznosu od 105,4 milijuna kuna,</w:t>
      </w:r>
    </w:p>
    <w:p w:rsidR="00223521" w:rsidRPr="00223521" w:rsidRDefault="00223521" w:rsidP="00223521">
      <w:pPr>
        <w:pStyle w:val="ListParagraph"/>
        <w:numPr>
          <w:ilvl w:val="0"/>
          <w:numId w:val="24"/>
        </w:numPr>
        <w:ind w:left="709" w:hanging="349"/>
        <w:jc w:val="both"/>
        <w:rPr>
          <w:lang w:val="hr-HR"/>
        </w:rPr>
      </w:pPr>
      <w:r w:rsidRPr="00223521">
        <w:rPr>
          <w:lang w:val="hr-HR"/>
        </w:rPr>
        <w:t>poticaje za dobrovoljno funkcionalno ili stvarno spajanje jedinica lokalne samouprave u iznosu od 100,0 milijuna kuna</w:t>
      </w:r>
      <w:r>
        <w:rPr>
          <w:lang w:val="hr-HR"/>
        </w:rPr>
        <w:t>,</w:t>
      </w:r>
    </w:p>
    <w:p w:rsidR="00223521" w:rsidRPr="00223521" w:rsidRDefault="00223521" w:rsidP="00223521">
      <w:pPr>
        <w:pStyle w:val="ListParagraph"/>
        <w:numPr>
          <w:ilvl w:val="0"/>
          <w:numId w:val="24"/>
        </w:numPr>
        <w:ind w:left="709" w:hanging="349"/>
        <w:jc w:val="both"/>
        <w:rPr>
          <w:lang w:val="hr-HR"/>
        </w:rPr>
      </w:pPr>
      <w:r w:rsidRPr="00223521">
        <w:rPr>
          <w:lang w:val="hr-HR"/>
        </w:rPr>
        <w:t>sufinanciranje javne usluge u cestovnom prijevozu u iznosu od 88,4 milijuna kuna,</w:t>
      </w:r>
    </w:p>
    <w:p w:rsidR="00223521" w:rsidRPr="00223521" w:rsidRDefault="00223521" w:rsidP="00223521">
      <w:pPr>
        <w:pStyle w:val="ListParagraph"/>
        <w:numPr>
          <w:ilvl w:val="0"/>
          <w:numId w:val="24"/>
        </w:numPr>
        <w:ind w:left="709" w:hanging="349"/>
        <w:jc w:val="both"/>
        <w:rPr>
          <w:lang w:val="hr-HR"/>
        </w:rPr>
      </w:pPr>
      <w:r w:rsidRPr="00223521">
        <w:rPr>
          <w:lang w:val="hr-HR"/>
        </w:rPr>
        <w:t>dodatni rodiljni dopust i roditeljski dopust u iznosu od 70,4 milijuna kuna</w:t>
      </w:r>
      <w:r>
        <w:rPr>
          <w:lang w:val="hr-HR"/>
        </w:rPr>
        <w:t>.</w:t>
      </w:r>
    </w:p>
    <w:p w:rsidR="00223521" w:rsidRPr="00223521" w:rsidRDefault="00223521" w:rsidP="00223521">
      <w:pPr>
        <w:jc w:val="both"/>
        <w:rPr>
          <w:lang w:val="hr-HR"/>
        </w:rPr>
      </w:pPr>
      <w:r w:rsidRPr="00223521">
        <w:rPr>
          <w:lang w:val="hr-HR"/>
        </w:rPr>
        <w:t xml:space="preserve">Istovremeno se u okviru ovih izvora financiranja u odnosu na tekući plan 2021. godine smanjuju izdvajanja za sanaciju ustanova u zdravstvu i transfer Hrvatskom zavodu za zdravstveno osiguranje u </w:t>
      </w:r>
      <w:r w:rsidRPr="00223521">
        <w:rPr>
          <w:lang w:val="hr-HR"/>
        </w:rPr>
        <w:lastRenderedPageBreak/>
        <w:t xml:space="preserve">iznosu od 4,0 milijarde kuna, za potpore za očuvanje radnih mjesta u djelatnostima pogođenima koronavirusom za 2,1 milijardu kuna, za aktivnu politiku zapošljavanja i naknade nezaposlenima u iznosu od 248,1 milijuna kuna te izdvajanja za popis stanovništva u </w:t>
      </w:r>
      <w:r>
        <w:rPr>
          <w:lang w:val="hr-HR"/>
        </w:rPr>
        <w:t xml:space="preserve">iznosu od 107,0 milijuna kuna. </w:t>
      </w:r>
    </w:p>
    <w:p w:rsidR="00223521" w:rsidRPr="00223521" w:rsidRDefault="00223521" w:rsidP="00223521">
      <w:pPr>
        <w:jc w:val="both"/>
        <w:rPr>
          <w:lang w:val="hr-HR"/>
        </w:rPr>
      </w:pPr>
      <w:r w:rsidRPr="00223521">
        <w:rPr>
          <w:lang w:val="hr-HR"/>
        </w:rPr>
        <w:t>Preostali rast rashoda odnosi se na rashode financirane iz vlastitih i namjenskih izvora (uključujući EU pomoći) i najvećim dijelom rezultat je povećanja sredstava koja se izdvajaju za aktivnosti i projekte financirane iz EU sredstava i to za mjere usmjerene saniranju posljedica od potresa koje se financiraju iz Fonda solidarnosti EU (2,4 milijarde kuna) i sredstva za provedbu projekata u okviru Mehanizma za opravak i otpornost (4,3 m</w:t>
      </w:r>
      <w:r>
        <w:rPr>
          <w:lang w:val="hr-HR"/>
        </w:rPr>
        <w:t xml:space="preserve">ilijarde kuna). </w:t>
      </w:r>
    </w:p>
    <w:p w:rsidR="00527791" w:rsidRPr="00527791" w:rsidRDefault="00223521" w:rsidP="00223521">
      <w:pPr>
        <w:jc w:val="both"/>
        <w:rPr>
          <w:lang w:val="hr-HR"/>
        </w:rPr>
      </w:pPr>
      <w:r w:rsidRPr="00223521">
        <w:rPr>
          <w:lang w:val="hr-HR"/>
        </w:rPr>
        <w:t>U nastavku se daje pregled kretanja rashoda državnog proračuna u razdoblju 2020. - 2024. po ekonomskoj klasifikaciji.</w:t>
      </w:r>
    </w:p>
    <w:p w:rsidR="00C8194C" w:rsidRPr="00527791" w:rsidRDefault="00527791" w:rsidP="00223521">
      <w:pPr>
        <w:spacing w:after="0" w:line="240" w:lineRule="auto"/>
        <w:jc w:val="both"/>
        <w:rPr>
          <w:i/>
          <w:lang w:val="hr-HR"/>
        </w:rPr>
      </w:pPr>
      <w:r w:rsidRPr="00F70B2A">
        <w:rPr>
          <w:i/>
          <w:lang w:val="hr-HR"/>
        </w:rPr>
        <w:t xml:space="preserve">Tablica </w:t>
      </w:r>
      <w:r w:rsidRPr="00F70B2A">
        <w:rPr>
          <w:i/>
          <w:lang w:val="hr-HR"/>
        </w:rPr>
        <w:fldChar w:fldCharType="begin"/>
      </w:r>
      <w:r w:rsidRPr="00F70B2A">
        <w:rPr>
          <w:i/>
          <w:lang w:val="hr-HR"/>
        </w:rPr>
        <w:instrText xml:space="preserve"> SEQ Tablica \* ARABIC </w:instrText>
      </w:r>
      <w:r w:rsidRPr="00F70B2A">
        <w:rPr>
          <w:i/>
          <w:lang w:val="hr-HR"/>
        </w:rPr>
        <w:fldChar w:fldCharType="separate"/>
      </w:r>
      <w:r w:rsidR="002A3B08">
        <w:rPr>
          <w:i/>
          <w:noProof/>
          <w:lang w:val="hr-HR"/>
        </w:rPr>
        <w:t>6</w:t>
      </w:r>
      <w:r w:rsidRPr="00F70B2A">
        <w:rPr>
          <w:i/>
          <w:lang w:val="hr-HR"/>
        </w:rPr>
        <w:fldChar w:fldCharType="end"/>
      </w:r>
      <w:r w:rsidRPr="00F70B2A">
        <w:rPr>
          <w:i/>
          <w:lang w:val="hr-HR"/>
        </w:rPr>
        <w:t xml:space="preserve">: </w:t>
      </w:r>
      <w:r w:rsidRPr="00527791">
        <w:rPr>
          <w:i/>
          <w:lang w:val="hr-HR"/>
        </w:rPr>
        <w:t>Kretanje rashoda državnog proračuna koji se financiraju iz općih prihoda i primitaka, doprinosa i namjenskih primitaka u razdoblju 20</w:t>
      </w:r>
      <w:r w:rsidR="00223521">
        <w:rPr>
          <w:i/>
          <w:lang w:val="hr-HR"/>
        </w:rPr>
        <w:t>20. - 2024</w:t>
      </w:r>
      <w:r w:rsidRPr="00527791">
        <w:rPr>
          <w:i/>
          <w:lang w:val="hr-HR"/>
        </w:rPr>
        <w:t>.</w:t>
      </w:r>
    </w:p>
    <w:p w:rsidR="00C8194C" w:rsidRDefault="00223521" w:rsidP="00223521">
      <w:pPr>
        <w:spacing w:after="0"/>
        <w:rPr>
          <w:lang w:val="hr-HR"/>
        </w:rPr>
      </w:pPr>
      <w:r w:rsidRPr="00D15C96">
        <w:rPr>
          <w:noProof/>
          <w:lang w:val="hr-HR" w:eastAsia="hr-HR"/>
        </w:rPr>
        <w:drawing>
          <wp:inline distT="0" distB="0" distL="0" distR="0" wp14:anchorId="5C4C4D1B" wp14:editId="7636E9E2">
            <wp:extent cx="5760720" cy="2007870"/>
            <wp:effectExtent l="0" t="0" r="0" b="0"/>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60720" cy="2007870"/>
                    </a:xfrm>
                    <a:prstGeom prst="rect">
                      <a:avLst/>
                    </a:prstGeom>
                    <a:noFill/>
                    <a:ln>
                      <a:noFill/>
                    </a:ln>
                  </pic:spPr>
                </pic:pic>
              </a:graphicData>
            </a:graphic>
          </wp:inline>
        </w:drawing>
      </w:r>
    </w:p>
    <w:p w:rsidR="00223521" w:rsidRDefault="00223521" w:rsidP="00223521">
      <w:pPr>
        <w:spacing w:after="0" w:line="240" w:lineRule="auto"/>
        <w:jc w:val="both"/>
        <w:rPr>
          <w:i/>
          <w:sz w:val="20"/>
          <w:lang w:val="hr-HR"/>
        </w:rPr>
      </w:pPr>
      <w:r w:rsidRPr="00F70B2A">
        <w:rPr>
          <w:i/>
          <w:sz w:val="20"/>
          <w:lang w:val="hr-HR"/>
        </w:rPr>
        <w:t>Izvor: Ministarstvo financija</w:t>
      </w:r>
    </w:p>
    <w:p w:rsidR="00223521" w:rsidRPr="00F70B2A" w:rsidRDefault="00223521" w:rsidP="00223521">
      <w:pPr>
        <w:spacing w:after="0" w:line="240" w:lineRule="auto"/>
        <w:jc w:val="both"/>
        <w:rPr>
          <w:i/>
          <w:sz w:val="20"/>
          <w:lang w:val="hr-HR"/>
        </w:rPr>
      </w:pPr>
    </w:p>
    <w:p w:rsidR="00FA15E4" w:rsidRPr="00FA15E4" w:rsidRDefault="00FA15E4" w:rsidP="00FA15E4">
      <w:pPr>
        <w:spacing w:after="0" w:line="240" w:lineRule="auto"/>
        <w:jc w:val="both"/>
        <w:rPr>
          <w:rFonts w:ascii="Calibri" w:hAnsi="Calibri" w:cs="Calibri"/>
          <w:i/>
          <w:sz w:val="24"/>
          <w:szCs w:val="24"/>
          <w:lang w:val="hr-HR"/>
        </w:rPr>
      </w:pPr>
      <w:r w:rsidRPr="00F70B2A">
        <w:rPr>
          <w:i/>
          <w:lang w:val="hr-HR"/>
        </w:rPr>
        <w:t xml:space="preserve">Tablica </w:t>
      </w:r>
      <w:r w:rsidRPr="00F70B2A">
        <w:rPr>
          <w:i/>
          <w:lang w:val="hr-HR"/>
        </w:rPr>
        <w:fldChar w:fldCharType="begin"/>
      </w:r>
      <w:r w:rsidRPr="00F70B2A">
        <w:rPr>
          <w:i/>
          <w:lang w:val="hr-HR"/>
        </w:rPr>
        <w:instrText xml:space="preserve"> SEQ Tablica \* ARABIC </w:instrText>
      </w:r>
      <w:r w:rsidRPr="00F70B2A">
        <w:rPr>
          <w:i/>
          <w:lang w:val="hr-HR"/>
        </w:rPr>
        <w:fldChar w:fldCharType="separate"/>
      </w:r>
      <w:r w:rsidR="002A3B08">
        <w:rPr>
          <w:i/>
          <w:noProof/>
          <w:lang w:val="hr-HR"/>
        </w:rPr>
        <w:t>7</w:t>
      </w:r>
      <w:r w:rsidRPr="00F70B2A">
        <w:rPr>
          <w:i/>
          <w:lang w:val="hr-HR"/>
        </w:rPr>
        <w:fldChar w:fldCharType="end"/>
      </w:r>
      <w:r w:rsidRPr="00F70B2A">
        <w:rPr>
          <w:i/>
          <w:lang w:val="hr-HR"/>
        </w:rPr>
        <w:t xml:space="preserve">: </w:t>
      </w:r>
      <w:r w:rsidRPr="00223521">
        <w:rPr>
          <w:rFonts w:ascii="Calibri" w:hAnsi="Calibri" w:cs="Calibri"/>
          <w:i/>
          <w:lang w:val="hr-HR"/>
        </w:rPr>
        <w:t>Kretanje rashoda državnog proračuna koji se financiraju iz vlastitih prihoda, prihoda za posebne namjene, pomoći i donacija u razdoblju 20</w:t>
      </w:r>
      <w:r w:rsidR="00223521">
        <w:rPr>
          <w:rFonts w:ascii="Calibri" w:hAnsi="Calibri" w:cs="Calibri"/>
          <w:i/>
          <w:lang w:val="hr-HR"/>
        </w:rPr>
        <w:t>20.</w:t>
      </w:r>
      <w:r w:rsidRPr="00223521">
        <w:rPr>
          <w:rFonts w:ascii="Calibri" w:hAnsi="Calibri" w:cs="Calibri"/>
          <w:i/>
          <w:lang w:val="hr-HR"/>
        </w:rPr>
        <w:t>. - 202</w:t>
      </w:r>
      <w:r w:rsidR="00223521">
        <w:rPr>
          <w:rFonts w:ascii="Calibri" w:hAnsi="Calibri" w:cs="Calibri"/>
          <w:i/>
          <w:lang w:val="hr-HR"/>
        </w:rPr>
        <w:t>4</w:t>
      </w:r>
      <w:r w:rsidRPr="00223521">
        <w:rPr>
          <w:rFonts w:ascii="Calibri" w:hAnsi="Calibri" w:cs="Calibri"/>
          <w:i/>
          <w:lang w:val="hr-HR"/>
        </w:rPr>
        <w:t>.</w:t>
      </w:r>
    </w:p>
    <w:p w:rsidR="00FA15E4" w:rsidRDefault="00223521" w:rsidP="00695821">
      <w:pPr>
        <w:rPr>
          <w:lang w:val="hr-HR"/>
        </w:rPr>
      </w:pPr>
      <w:r w:rsidRPr="00D15C96">
        <w:rPr>
          <w:noProof/>
          <w:lang w:val="hr-HR" w:eastAsia="hr-HR"/>
        </w:rPr>
        <w:drawing>
          <wp:inline distT="0" distB="0" distL="0" distR="0" wp14:anchorId="50B30F92" wp14:editId="006930A8">
            <wp:extent cx="5760720" cy="2007870"/>
            <wp:effectExtent l="0" t="0" r="0" b="0"/>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60720" cy="2007870"/>
                    </a:xfrm>
                    <a:prstGeom prst="rect">
                      <a:avLst/>
                    </a:prstGeom>
                    <a:noFill/>
                    <a:ln>
                      <a:noFill/>
                    </a:ln>
                  </pic:spPr>
                </pic:pic>
              </a:graphicData>
            </a:graphic>
          </wp:inline>
        </w:drawing>
      </w:r>
    </w:p>
    <w:p w:rsidR="00223521" w:rsidRPr="00F70B2A" w:rsidRDefault="00223521" w:rsidP="00223521">
      <w:pPr>
        <w:spacing w:before="240" w:after="240" w:line="240" w:lineRule="auto"/>
        <w:jc w:val="both"/>
        <w:rPr>
          <w:i/>
          <w:sz w:val="20"/>
          <w:lang w:val="hr-HR"/>
        </w:rPr>
      </w:pPr>
      <w:r w:rsidRPr="00F70B2A">
        <w:rPr>
          <w:i/>
          <w:sz w:val="20"/>
          <w:lang w:val="hr-HR"/>
        </w:rPr>
        <w:t>Izvor: Ministarstvo financija</w:t>
      </w:r>
    </w:p>
    <w:p w:rsidR="00FA15E4" w:rsidRDefault="00FA15E4" w:rsidP="00695821">
      <w:pPr>
        <w:rPr>
          <w:lang w:val="hr-HR"/>
        </w:rPr>
      </w:pPr>
    </w:p>
    <w:p w:rsidR="00095377" w:rsidRDefault="00095377" w:rsidP="00695821">
      <w:pPr>
        <w:rPr>
          <w:lang w:val="hr-HR"/>
        </w:rPr>
      </w:pPr>
    </w:p>
    <w:p w:rsidR="00095377" w:rsidRDefault="00095377" w:rsidP="00695821">
      <w:pPr>
        <w:rPr>
          <w:lang w:val="hr-HR"/>
        </w:rPr>
      </w:pPr>
    </w:p>
    <w:p w:rsidR="003750F6" w:rsidRDefault="00BC27DE" w:rsidP="00223521">
      <w:pPr>
        <w:spacing w:after="0" w:line="240" w:lineRule="auto"/>
        <w:jc w:val="both"/>
        <w:rPr>
          <w:i/>
          <w:lang w:val="hr-HR"/>
        </w:rPr>
      </w:pPr>
      <w:bookmarkStart w:id="28" w:name="_Toc445241792"/>
      <w:r w:rsidRPr="00F70B2A">
        <w:rPr>
          <w:i/>
          <w:lang w:val="hr-HR"/>
        </w:rPr>
        <w:lastRenderedPageBreak/>
        <w:t xml:space="preserve">Tablica </w:t>
      </w:r>
      <w:r w:rsidRPr="00F70B2A">
        <w:rPr>
          <w:i/>
          <w:lang w:val="hr-HR"/>
        </w:rPr>
        <w:fldChar w:fldCharType="begin"/>
      </w:r>
      <w:r w:rsidRPr="00F70B2A">
        <w:rPr>
          <w:i/>
          <w:lang w:val="hr-HR"/>
        </w:rPr>
        <w:instrText xml:space="preserve"> SEQ Tablica \* ARABIC </w:instrText>
      </w:r>
      <w:r w:rsidRPr="00F70B2A">
        <w:rPr>
          <w:i/>
          <w:lang w:val="hr-HR"/>
        </w:rPr>
        <w:fldChar w:fldCharType="separate"/>
      </w:r>
      <w:r w:rsidR="002A3B08">
        <w:rPr>
          <w:i/>
          <w:noProof/>
          <w:lang w:val="hr-HR"/>
        </w:rPr>
        <w:t>8</w:t>
      </w:r>
      <w:r w:rsidRPr="00F70B2A">
        <w:rPr>
          <w:i/>
          <w:lang w:val="hr-HR"/>
        </w:rPr>
        <w:fldChar w:fldCharType="end"/>
      </w:r>
      <w:r w:rsidRPr="00F70B2A">
        <w:rPr>
          <w:i/>
          <w:lang w:val="hr-HR"/>
        </w:rPr>
        <w:t xml:space="preserve">: </w:t>
      </w:r>
      <w:r w:rsidR="00C8194C" w:rsidRPr="00F70B2A">
        <w:rPr>
          <w:i/>
          <w:lang w:val="hr-HR"/>
        </w:rPr>
        <w:t>Kretanje rashoda državnog proračuna u razdoblju 20</w:t>
      </w:r>
      <w:r w:rsidR="00223521">
        <w:rPr>
          <w:i/>
          <w:lang w:val="hr-HR"/>
        </w:rPr>
        <w:t>20. - 2024</w:t>
      </w:r>
      <w:r w:rsidR="00C8194C" w:rsidRPr="00F70B2A">
        <w:rPr>
          <w:i/>
          <w:lang w:val="hr-HR"/>
        </w:rPr>
        <w:t>. po izvorima financiranja</w:t>
      </w:r>
    </w:p>
    <w:p w:rsidR="00960F86" w:rsidRPr="00F70B2A" w:rsidRDefault="00223521" w:rsidP="00223521">
      <w:pPr>
        <w:spacing w:after="0" w:line="240" w:lineRule="auto"/>
        <w:jc w:val="both"/>
        <w:rPr>
          <w:i/>
          <w:lang w:val="hr-HR"/>
        </w:rPr>
      </w:pPr>
      <w:r w:rsidRPr="00D15C96">
        <w:rPr>
          <w:noProof/>
          <w:lang w:val="hr-HR" w:eastAsia="hr-HR"/>
        </w:rPr>
        <w:drawing>
          <wp:inline distT="0" distB="0" distL="0" distR="0" wp14:anchorId="1C90D339" wp14:editId="7B0402A0">
            <wp:extent cx="5760526" cy="7286625"/>
            <wp:effectExtent l="0" t="0" r="0" b="0"/>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88572" cy="7322101"/>
                    </a:xfrm>
                    <a:prstGeom prst="rect">
                      <a:avLst/>
                    </a:prstGeom>
                    <a:noFill/>
                    <a:ln>
                      <a:noFill/>
                    </a:ln>
                  </pic:spPr>
                </pic:pic>
              </a:graphicData>
            </a:graphic>
          </wp:inline>
        </w:drawing>
      </w:r>
    </w:p>
    <w:p w:rsidR="00BE094B" w:rsidRDefault="00BC27DE" w:rsidP="00223521">
      <w:pPr>
        <w:spacing w:after="0"/>
        <w:rPr>
          <w:i/>
          <w:sz w:val="20"/>
          <w:lang w:val="hr-HR"/>
        </w:rPr>
      </w:pPr>
      <w:r w:rsidRPr="00F70B2A">
        <w:rPr>
          <w:i/>
          <w:sz w:val="20"/>
          <w:lang w:val="hr-HR"/>
        </w:rPr>
        <w:t>Izvor: Ministarstvo financija</w:t>
      </w:r>
    </w:p>
    <w:p w:rsidR="00960F86" w:rsidRDefault="00960F86" w:rsidP="00BC27DE">
      <w:pPr>
        <w:rPr>
          <w:i/>
          <w:sz w:val="20"/>
          <w:lang w:val="hr-HR"/>
        </w:rPr>
      </w:pPr>
      <w:r>
        <w:rPr>
          <w:i/>
          <w:sz w:val="20"/>
          <w:lang w:val="hr-HR"/>
        </w:rPr>
        <w:br w:type="page"/>
      </w:r>
    </w:p>
    <w:p w:rsidR="00695821" w:rsidRPr="00F70B2A" w:rsidRDefault="007E4D7B" w:rsidP="0029489C">
      <w:pPr>
        <w:pStyle w:val="Heading2"/>
        <w:numPr>
          <w:ilvl w:val="1"/>
          <w:numId w:val="16"/>
        </w:numPr>
        <w:ind w:left="993" w:hanging="567"/>
        <w:rPr>
          <w:lang w:val="hr-HR"/>
        </w:rPr>
      </w:pPr>
      <w:bookmarkStart w:id="29" w:name="_Toc86303474"/>
      <w:bookmarkEnd w:id="28"/>
      <w:r w:rsidRPr="00F70B2A">
        <w:rPr>
          <w:lang w:val="hr-HR"/>
        </w:rPr>
        <w:lastRenderedPageBreak/>
        <w:t>Obrazloženje rashoda po ekonomskoj klasifikaciji</w:t>
      </w:r>
      <w:bookmarkEnd w:id="29"/>
    </w:p>
    <w:p w:rsidR="000146B7" w:rsidRPr="00F70B2A" w:rsidRDefault="000146B7" w:rsidP="00BB1B39">
      <w:pPr>
        <w:jc w:val="both"/>
        <w:rPr>
          <w:b/>
          <w:i/>
          <w:lang w:val="hr-HR"/>
        </w:rPr>
      </w:pPr>
    </w:p>
    <w:p w:rsidR="00223521" w:rsidRPr="00223521" w:rsidRDefault="00223521" w:rsidP="00223521">
      <w:pPr>
        <w:spacing w:after="0" w:line="240" w:lineRule="auto"/>
        <w:jc w:val="both"/>
        <w:rPr>
          <w:rFonts w:cstheme="minorHAnsi"/>
          <w:b/>
          <w:i/>
          <w:lang w:val="hr-HR"/>
        </w:rPr>
      </w:pPr>
      <w:r w:rsidRPr="00223521">
        <w:rPr>
          <w:rFonts w:cstheme="minorHAnsi"/>
          <w:b/>
          <w:i/>
          <w:lang w:val="hr-HR"/>
        </w:rPr>
        <w:t>Rashodi za zaposlene</w:t>
      </w:r>
    </w:p>
    <w:p w:rsidR="00223521" w:rsidRPr="00223521" w:rsidRDefault="00223521" w:rsidP="00223521">
      <w:pPr>
        <w:spacing w:after="0" w:line="240" w:lineRule="auto"/>
        <w:jc w:val="both"/>
        <w:rPr>
          <w:rFonts w:cstheme="minorHAnsi"/>
          <w:lang w:val="hr-HR"/>
        </w:rPr>
      </w:pPr>
      <w:r w:rsidRPr="00223521">
        <w:rPr>
          <w:rFonts w:cstheme="minorHAnsi"/>
          <w:lang w:val="hr-HR"/>
        </w:rPr>
        <w:t xml:space="preserve">Ukupni rashodi za zaposlene u 2022. godini planiraju se u iznosu od 25,0 milijardi kuna i u odnosu na tekući plan 2021. godine bilježe rast od 1,1 milijardu kuna. </w:t>
      </w:r>
    </w:p>
    <w:p w:rsidR="00223521" w:rsidRPr="00223521" w:rsidRDefault="00223521" w:rsidP="00223521">
      <w:pPr>
        <w:spacing w:after="0" w:line="240" w:lineRule="auto"/>
        <w:jc w:val="both"/>
        <w:rPr>
          <w:rFonts w:cstheme="minorHAnsi"/>
          <w:lang w:val="hr-HR"/>
        </w:rPr>
      </w:pPr>
    </w:p>
    <w:p w:rsidR="00223521" w:rsidRPr="00223521" w:rsidRDefault="00223521" w:rsidP="00223521">
      <w:pPr>
        <w:spacing w:after="0" w:line="240" w:lineRule="auto"/>
        <w:jc w:val="both"/>
        <w:rPr>
          <w:rFonts w:cstheme="minorHAnsi"/>
          <w:lang w:val="hr-HR"/>
        </w:rPr>
      </w:pPr>
      <w:r w:rsidRPr="00223521">
        <w:rPr>
          <w:rFonts w:cstheme="minorHAnsi"/>
          <w:lang w:val="hr-HR"/>
        </w:rPr>
        <w:t xml:space="preserve">Ovi rashodi financirani iz općih prihoda i primitaka, doprinosa i namjenskih primitaka povećavaju se za 698,1 milijun kuna u odnosu na tekući plan 2021. godine i iznose ukupno 18,3 milijarde kuna. </w:t>
      </w:r>
    </w:p>
    <w:p w:rsidR="00223521" w:rsidRPr="00223521" w:rsidRDefault="00223521" w:rsidP="00223521">
      <w:pPr>
        <w:spacing w:after="0" w:line="240" w:lineRule="auto"/>
        <w:jc w:val="both"/>
        <w:rPr>
          <w:rFonts w:cstheme="minorHAnsi"/>
          <w:lang w:val="hr-HR"/>
        </w:rPr>
      </w:pPr>
    </w:p>
    <w:p w:rsidR="00223521" w:rsidRPr="00223521" w:rsidRDefault="00223521" w:rsidP="00223521">
      <w:pPr>
        <w:spacing w:after="0" w:line="240" w:lineRule="auto"/>
        <w:jc w:val="both"/>
        <w:rPr>
          <w:rFonts w:cstheme="minorHAnsi"/>
          <w:lang w:val="hr-HR"/>
        </w:rPr>
      </w:pPr>
      <w:r w:rsidRPr="00223521">
        <w:rPr>
          <w:rFonts w:cstheme="minorHAnsi"/>
          <w:lang w:val="hr-HR"/>
        </w:rPr>
        <w:t>Rashodi za zaposlene financirani iz EU sredstava planiraju se na razini od 704,4 milijuna kuna i bilježe rast od 88,3 milijuna kuna u odnosu na tekući plan 2021. godine obzirom da se dio plaća djelatnika koji sudjeluju u sustavu upravljanja i kontrole korištenja EU fondova sufinancira iz EU sredstava (kroz prioritet Tehničke pomoći u pojedinom Operativnom programu). Rashodi za zaposlene financirani iz ostalih izvora povećavaju se za 321,5 milijuna kuna u odnosu na tekući plan 2021. godine. Od toga se najveće povećanje odnosi na rashode za zaposlene u ustanovama u zdravstvu u državnom vlasništvu. Ovi rashodi od 2021. uključuju i rashode za zaposlene Nacionalne memorijalne bolnice Vukovar kojoj je tijekom 2020. godine, umjesto Vukovarsko-srijemske županije, osnivač postala Republika Hrvatska kao i rashode lučkih uprava koje od 1. siječnja 2021. postaju proračunski korisnici državnog proračuna.</w:t>
      </w:r>
    </w:p>
    <w:p w:rsidR="00223521" w:rsidRPr="00223521" w:rsidRDefault="00223521" w:rsidP="00223521">
      <w:pPr>
        <w:spacing w:after="0" w:line="240" w:lineRule="auto"/>
        <w:jc w:val="both"/>
        <w:rPr>
          <w:rFonts w:cstheme="minorHAnsi"/>
          <w:lang w:val="hr-HR"/>
        </w:rPr>
      </w:pPr>
    </w:p>
    <w:p w:rsidR="00223521" w:rsidRPr="00223521" w:rsidRDefault="00223521" w:rsidP="00223521">
      <w:pPr>
        <w:spacing w:after="0" w:line="240" w:lineRule="auto"/>
        <w:jc w:val="both"/>
        <w:rPr>
          <w:rFonts w:cstheme="minorHAnsi"/>
          <w:lang w:val="hr-HR"/>
        </w:rPr>
      </w:pPr>
      <w:r w:rsidRPr="00223521">
        <w:rPr>
          <w:rFonts w:cstheme="minorHAnsi"/>
          <w:lang w:val="hr-HR"/>
        </w:rPr>
        <w:t>U 2023. godini očekuje se daljnje povećanje ovih rashoda na razinu od 25,3 milijarde kuna, dok su za 2024. godinu ovi rashodi planirani na razini od 25,2 milijarde kuna.</w:t>
      </w:r>
    </w:p>
    <w:p w:rsidR="00223521" w:rsidRPr="00223521" w:rsidRDefault="00223521" w:rsidP="00223521">
      <w:pPr>
        <w:spacing w:after="0" w:line="240" w:lineRule="auto"/>
        <w:jc w:val="both"/>
        <w:rPr>
          <w:rFonts w:cstheme="minorHAnsi"/>
          <w:b/>
          <w:i/>
          <w:lang w:val="hr-HR"/>
        </w:rPr>
      </w:pPr>
    </w:p>
    <w:p w:rsidR="00223521" w:rsidRPr="00223521" w:rsidRDefault="00223521" w:rsidP="00223521">
      <w:pPr>
        <w:spacing w:after="0" w:line="240" w:lineRule="auto"/>
        <w:jc w:val="both"/>
        <w:rPr>
          <w:rFonts w:cstheme="minorHAnsi"/>
          <w:b/>
          <w:i/>
          <w:lang w:val="hr-HR"/>
        </w:rPr>
      </w:pPr>
      <w:r w:rsidRPr="00223521">
        <w:rPr>
          <w:rFonts w:cstheme="minorHAnsi"/>
          <w:b/>
          <w:i/>
          <w:lang w:val="hr-HR"/>
        </w:rPr>
        <w:t>Materijalni rashodi</w:t>
      </w:r>
    </w:p>
    <w:p w:rsidR="00223521" w:rsidRPr="00223521" w:rsidRDefault="00223521" w:rsidP="00223521">
      <w:pPr>
        <w:spacing w:after="0" w:line="240" w:lineRule="auto"/>
        <w:jc w:val="both"/>
        <w:rPr>
          <w:rFonts w:cstheme="minorHAnsi"/>
          <w:lang w:val="hr-HR"/>
        </w:rPr>
      </w:pPr>
      <w:r w:rsidRPr="00223521">
        <w:rPr>
          <w:rFonts w:cstheme="minorHAnsi"/>
          <w:lang w:val="hr-HR"/>
        </w:rPr>
        <w:t>Ukupni materijalni rashodi u 2022. godini planiraju se u iznosu od 16,6 milijardi kuna i u odnosu na tekući plan smanjuju se za 1,7 milijardi kuna. Od navedenog smanjenja 885,6 milijuna kuna odnosi se na smanjenja izdvajanja za materijalne rashode koji se financiraju iz općih prihoda i primitaka, doprinosa i namjenskih primitaka, dok se preostali dio odnosi na smanjenja izdvajanja za materijalne rashode koji se financiraju iz EU i ostalih izvora financiranja. Smanjenje na obje kategorije izvora financiranja prvenstveno se odnosi na materijalne rashode ustanova u zdravstvu u državnom vlasništvu (lijekovi, pomoćni i sanitetski materijal te ostalo) uslijed smanjenih izdvajanja za sanaciju ustanova u zdravstvu.</w:t>
      </w:r>
    </w:p>
    <w:p w:rsidR="00223521" w:rsidRPr="00223521" w:rsidRDefault="00223521" w:rsidP="00223521">
      <w:pPr>
        <w:spacing w:after="0" w:line="240" w:lineRule="auto"/>
        <w:jc w:val="both"/>
        <w:rPr>
          <w:rFonts w:cstheme="minorHAnsi"/>
          <w:lang w:val="hr-HR"/>
        </w:rPr>
      </w:pPr>
    </w:p>
    <w:p w:rsidR="00223521" w:rsidRPr="00223521" w:rsidRDefault="00223521" w:rsidP="00223521">
      <w:pPr>
        <w:spacing w:after="0" w:line="240" w:lineRule="auto"/>
        <w:jc w:val="both"/>
        <w:rPr>
          <w:rFonts w:cstheme="minorHAnsi"/>
          <w:lang w:val="hr-HR"/>
        </w:rPr>
      </w:pPr>
      <w:r w:rsidRPr="00223521">
        <w:rPr>
          <w:rFonts w:cstheme="minorHAnsi"/>
          <w:lang w:val="hr-HR"/>
        </w:rPr>
        <w:t xml:space="preserve">U 2023. i 2024. godini ukupni materijalni rashodi projicirani su na razini od 16,6, odnosno 17,2 milijarde kuna. </w:t>
      </w:r>
    </w:p>
    <w:p w:rsidR="00223521" w:rsidRPr="00223521" w:rsidRDefault="00223521" w:rsidP="00223521">
      <w:pPr>
        <w:spacing w:after="0" w:line="240" w:lineRule="auto"/>
        <w:jc w:val="both"/>
        <w:rPr>
          <w:rFonts w:cstheme="minorHAnsi"/>
          <w:lang w:val="hr-HR"/>
        </w:rPr>
      </w:pPr>
    </w:p>
    <w:p w:rsidR="00223521" w:rsidRPr="00223521" w:rsidRDefault="00223521" w:rsidP="00223521">
      <w:pPr>
        <w:spacing w:after="0" w:line="240" w:lineRule="auto"/>
        <w:jc w:val="both"/>
        <w:rPr>
          <w:rFonts w:cstheme="minorHAnsi"/>
          <w:b/>
          <w:i/>
          <w:lang w:val="hr-HR"/>
        </w:rPr>
      </w:pPr>
      <w:r w:rsidRPr="00223521">
        <w:rPr>
          <w:rFonts w:cstheme="minorHAnsi"/>
          <w:b/>
          <w:i/>
          <w:lang w:val="hr-HR"/>
        </w:rPr>
        <w:t>Financijski rashodi</w:t>
      </w:r>
    </w:p>
    <w:p w:rsidR="00223521" w:rsidRPr="00223521" w:rsidRDefault="00223521" w:rsidP="00223521">
      <w:pPr>
        <w:spacing w:after="0" w:line="240" w:lineRule="auto"/>
        <w:jc w:val="both"/>
        <w:rPr>
          <w:rFonts w:cstheme="minorHAnsi"/>
          <w:lang w:val="hr-HR"/>
        </w:rPr>
      </w:pPr>
      <w:r w:rsidRPr="00223521">
        <w:rPr>
          <w:rFonts w:cstheme="minorHAnsi"/>
          <w:lang w:val="hr-HR"/>
        </w:rPr>
        <w:t xml:space="preserve">Financijski rashodi, koje čine kamate za izdane vrijednosne papire, kamate za primljene zajmove i ostali financijski rashodi, projicirani su u skladu sa stanjem uvjeta na financijskim tržištima, odnosno troškovima servisiranja javnog duga. </w:t>
      </w:r>
    </w:p>
    <w:p w:rsidR="00223521" w:rsidRPr="00223521" w:rsidRDefault="00223521" w:rsidP="00223521">
      <w:pPr>
        <w:spacing w:after="0" w:line="240" w:lineRule="auto"/>
        <w:jc w:val="both"/>
        <w:rPr>
          <w:rFonts w:cstheme="minorHAnsi"/>
          <w:lang w:val="hr-HR"/>
        </w:rPr>
      </w:pPr>
    </w:p>
    <w:p w:rsidR="00223521" w:rsidRPr="00223521" w:rsidRDefault="00223521" w:rsidP="00223521">
      <w:pPr>
        <w:spacing w:after="0" w:line="240" w:lineRule="auto"/>
        <w:jc w:val="both"/>
        <w:rPr>
          <w:rFonts w:cstheme="minorHAnsi"/>
          <w:lang w:val="hr-HR"/>
        </w:rPr>
      </w:pPr>
      <w:r w:rsidRPr="00223521">
        <w:rPr>
          <w:rFonts w:cstheme="minorHAnsi"/>
          <w:lang w:val="hr-HR"/>
        </w:rPr>
        <w:t>Ovi rashodi u 2022. godini planirani su na razini od 7,9 milijardi kuna i u odnosu na tekući plan 2021. godine bilježe rast od 509,0 milijuna kuna.</w:t>
      </w:r>
    </w:p>
    <w:p w:rsidR="00223521" w:rsidRPr="00223521" w:rsidRDefault="00223521" w:rsidP="00223521">
      <w:pPr>
        <w:spacing w:after="0" w:line="240" w:lineRule="auto"/>
        <w:jc w:val="both"/>
        <w:rPr>
          <w:rFonts w:cstheme="minorHAnsi"/>
          <w:lang w:val="hr-HR"/>
        </w:rPr>
      </w:pPr>
    </w:p>
    <w:p w:rsidR="00223521" w:rsidRPr="00223521" w:rsidRDefault="00223521" w:rsidP="00223521">
      <w:pPr>
        <w:spacing w:after="0" w:line="240" w:lineRule="auto"/>
        <w:jc w:val="both"/>
        <w:rPr>
          <w:rFonts w:cstheme="minorHAnsi"/>
          <w:lang w:val="hr-HR"/>
        </w:rPr>
      </w:pPr>
      <w:r w:rsidRPr="00223521">
        <w:rPr>
          <w:rFonts w:cstheme="minorHAnsi"/>
          <w:lang w:val="hr-HR"/>
        </w:rPr>
        <w:t>U 2023. financijski rashodi projicirani su u iznosu od 6,6 milijardi kuna, a u 2024. godini na razini od 6,0 milijardi kuna.</w:t>
      </w:r>
    </w:p>
    <w:p w:rsidR="00223521" w:rsidRPr="00223521" w:rsidRDefault="00223521" w:rsidP="00223521">
      <w:pPr>
        <w:spacing w:after="0" w:line="240" w:lineRule="auto"/>
        <w:jc w:val="both"/>
        <w:rPr>
          <w:rFonts w:cstheme="minorHAnsi"/>
          <w:b/>
          <w:i/>
          <w:lang w:val="hr-HR"/>
        </w:rPr>
      </w:pPr>
    </w:p>
    <w:p w:rsidR="00223521" w:rsidRPr="00223521" w:rsidRDefault="00223521" w:rsidP="00223521">
      <w:pPr>
        <w:spacing w:after="0" w:line="240" w:lineRule="auto"/>
        <w:jc w:val="both"/>
        <w:rPr>
          <w:rFonts w:cstheme="minorHAnsi"/>
          <w:b/>
          <w:i/>
          <w:lang w:val="hr-HR"/>
        </w:rPr>
      </w:pPr>
      <w:r w:rsidRPr="00223521">
        <w:rPr>
          <w:rFonts w:cstheme="minorHAnsi"/>
          <w:b/>
          <w:i/>
          <w:lang w:val="hr-HR"/>
        </w:rPr>
        <w:t>Subvencije</w:t>
      </w:r>
    </w:p>
    <w:p w:rsidR="00223521" w:rsidRPr="00223521" w:rsidRDefault="00223521" w:rsidP="00223521">
      <w:pPr>
        <w:spacing w:after="0" w:line="240" w:lineRule="auto"/>
        <w:jc w:val="both"/>
        <w:rPr>
          <w:rFonts w:cstheme="minorHAnsi"/>
          <w:lang w:val="hr-HR"/>
        </w:rPr>
      </w:pPr>
      <w:r w:rsidRPr="00223521">
        <w:rPr>
          <w:rFonts w:cstheme="minorHAnsi"/>
          <w:lang w:val="hr-HR"/>
        </w:rPr>
        <w:t xml:space="preserve">Rashodi za subvencije u 2022. godini planiraju se u iznosu od 8,1 milijardu kuna što predstavlja smanjenje od 3,5 milijardi kuna u odnosu na tekući plan 2021. godine. Navedeno smanjenje rezultat je </w:t>
      </w:r>
      <w:r w:rsidRPr="00223521">
        <w:rPr>
          <w:rFonts w:cstheme="minorHAnsi"/>
          <w:lang w:val="hr-HR"/>
        </w:rPr>
        <w:lastRenderedPageBreak/>
        <w:t xml:space="preserve">smanjenih izdvajanja za potpore za očuvanje radnih mjesta u djelatnostima pogođenima koronavirusom. </w:t>
      </w:r>
    </w:p>
    <w:p w:rsidR="00223521" w:rsidRPr="00223521" w:rsidRDefault="00223521" w:rsidP="00223521">
      <w:pPr>
        <w:spacing w:after="0" w:line="240" w:lineRule="auto"/>
        <w:jc w:val="both"/>
        <w:rPr>
          <w:rFonts w:cstheme="minorHAnsi"/>
          <w:lang w:val="hr-HR"/>
        </w:rPr>
      </w:pPr>
    </w:p>
    <w:p w:rsidR="00223521" w:rsidRPr="00223521" w:rsidRDefault="00223521" w:rsidP="00223521">
      <w:pPr>
        <w:spacing w:after="0" w:line="240" w:lineRule="auto"/>
        <w:jc w:val="both"/>
        <w:rPr>
          <w:rFonts w:cstheme="minorHAnsi"/>
          <w:lang w:val="hr-HR"/>
        </w:rPr>
      </w:pPr>
      <w:r w:rsidRPr="00223521">
        <w:rPr>
          <w:rFonts w:cstheme="minorHAnsi"/>
          <w:lang w:val="hr-HR"/>
        </w:rPr>
        <w:t xml:space="preserve">Od ukupnih rashoda za subvencije najznačajniji dio odnosi se na izravna plaćanja u poljoprivredi i mjere ruralnog razvoja koji se u 2022. godini planiraju na razini od 4,2 milijarde kuna. </w:t>
      </w:r>
    </w:p>
    <w:p w:rsidR="00223521" w:rsidRPr="00223521" w:rsidRDefault="00223521" w:rsidP="00223521">
      <w:pPr>
        <w:spacing w:after="0" w:line="240" w:lineRule="auto"/>
        <w:jc w:val="both"/>
        <w:rPr>
          <w:rFonts w:cstheme="minorHAnsi"/>
          <w:lang w:val="hr-HR"/>
        </w:rPr>
      </w:pPr>
    </w:p>
    <w:p w:rsidR="00223521" w:rsidRPr="00223521" w:rsidRDefault="00223521" w:rsidP="00223521">
      <w:pPr>
        <w:spacing w:after="0" w:line="240" w:lineRule="auto"/>
        <w:jc w:val="both"/>
        <w:rPr>
          <w:rFonts w:cstheme="minorHAnsi"/>
          <w:lang w:val="hr-HR"/>
        </w:rPr>
      </w:pPr>
      <w:r w:rsidRPr="00223521">
        <w:rPr>
          <w:rFonts w:cstheme="minorHAnsi"/>
          <w:lang w:val="hr-HR"/>
        </w:rPr>
        <w:t>Ovi rashodi u 2023. i 2024. godini projicirani su na razini od 7,8 milijardi kuna, odnosno 7,5 milijardi kuna.</w:t>
      </w:r>
    </w:p>
    <w:p w:rsidR="00223521" w:rsidRPr="00223521" w:rsidRDefault="00223521" w:rsidP="00223521">
      <w:pPr>
        <w:spacing w:after="0" w:line="240" w:lineRule="auto"/>
        <w:jc w:val="both"/>
        <w:rPr>
          <w:rFonts w:cstheme="minorHAnsi"/>
          <w:lang w:val="hr-HR"/>
        </w:rPr>
      </w:pPr>
    </w:p>
    <w:p w:rsidR="00223521" w:rsidRPr="00223521" w:rsidRDefault="00223521" w:rsidP="00223521">
      <w:pPr>
        <w:spacing w:after="0" w:line="240" w:lineRule="auto"/>
        <w:jc w:val="both"/>
        <w:rPr>
          <w:rFonts w:cstheme="minorHAnsi"/>
          <w:b/>
          <w:i/>
          <w:lang w:val="hr-HR"/>
        </w:rPr>
      </w:pPr>
      <w:r w:rsidRPr="00223521">
        <w:rPr>
          <w:rFonts w:cstheme="minorHAnsi"/>
          <w:b/>
          <w:i/>
          <w:lang w:val="hr-HR"/>
        </w:rPr>
        <w:t xml:space="preserve">Pomoći </w:t>
      </w:r>
    </w:p>
    <w:p w:rsidR="00223521" w:rsidRPr="00223521" w:rsidRDefault="00223521" w:rsidP="00223521">
      <w:pPr>
        <w:spacing w:after="0" w:line="240" w:lineRule="auto"/>
        <w:jc w:val="both"/>
        <w:rPr>
          <w:rFonts w:cstheme="minorHAnsi"/>
          <w:lang w:val="hr-HR"/>
        </w:rPr>
      </w:pPr>
      <w:r w:rsidRPr="00223521">
        <w:rPr>
          <w:rFonts w:cstheme="minorHAnsi"/>
          <w:lang w:val="hr-HR"/>
        </w:rPr>
        <w:t xml:space="preserve">Rashodi za pomoći državnog proračuna dane u inozemstvo i unutar opće države u 2022. godini predviđeni su u iznosu od 39,5 milijardi kuna. U odnosu na tekući plan 2021. ova kategorija rashoda bilježi rast od 1,8 milijardi kuna. </w:t>
      </w:r>
    </w:p>
    <w:p w:rsidR="00223521" w:rsidRPr="00223521" w:rsidRDefault="00223521" w:rsidP="00223521">
      <w:pPr>
        <w:spacing w:after="0" w:line="240" w:lineRule="auto"/>
        <w:jc w:val="both"/>
        <w:rPr>
          <w:rFonts w:cstheme="minorHAnsi"/>
          <w:lang w:val="hr-HR"/>
        </w:rPr>
      </w:pPr>
    </w:p>
    <w:p w:rsidR="00223521" w:rsidRPr="00223521" w:rsidRDefault="00223521" w:rsidP="00223521">
      <w:pPr>
        <w:spacing w:after="0" w:line="240" w:lineRule="auto"/>
        <w:jc w:val="both"/>
        <w:rPr>
          <w:rFonts w:cstheme="minorHAnsi"/>
          <w:lang w:val="hr-HR"/>
        </w:rPr>
      </w:pPr>
      <w:r w:rsidRPr="00223521">
        <w:rPr>
          <w:rFonts w:cstheme="minorHAnsi"/>
          <w:lang w:val="hr-HR"/>
        </w:rPr>
        <w:t xml:space="preserve">Pomoći koje se financiraju iz općih prihoda i primitaka, doprinosa i namjenskih primitaka u 2021. godini planiraju se u iznosu od 29,5 milijardi kuna, što je za 805,4 milijuna kuna manje u odnosu na tekući plan 2021. godine. Ova razina pomoći rezultat je prvenstveno s jedne strane povećanih izdvajanja u odnosu na tekući plan 2021. i to za doprinos Republike Hrvatske proračunu Europske unije (893,8 milijuna), za rashode za zaposlene u osnovnom i srednjem školstvu (580,4 milijuna kuna) kao i za isplatu razlike uvećanja plaće za prekovremeni rad u sustavu zdravstva (308,9 milijuna kuna), za sufinanciranje javne usluge u cestovnom prijevozu (88,4 milijuna kuna) i za naknadu u cijeni goriva za HAC, HC i HŽI, dok je s druge strane u odnosu na tekući plan 2021. smanjen transfer HZZO-u (3,1 milijardu kuna). </w:t>
      </w:r>
    </w:p>
    <w:p w:rsidR="00223521" w:rsidRPr="00223521" w:rsidRDefault="00223521" w:rsidP="00223521">
      <w:pPr>
        <w:spacing w:after="0" w:line="240" w:lineRule="auto"/>
        <w:jc w:val="both"/>
        <w:rPr>
          <w:rFonts w:cstheme="minorHAnsi"/>
          <w:lang w:val="hr-HR"/>
        </w:rPr>
      </w:pPr>
    </w:p>
    <w:p w:rsidR="00223521" w:rsidRPr="00223521" w:rsidRDefault="00223521" w:rsidP="00223521">
      <w:pPr>
        <w:spacing w:after="0" w:line="240" w:lineRule="auto"/>
        <w:jc w:val="both"/>
        <w:rPr>
          <w:rFonts w:cstheme="minorHAnsi"/>
          <w:lang w:val="hr-HR"/>
        </w:rPr>
      </w:pPr>
      <w:r w:rsidRPr="00223521">
        <w:rPr>
          <w:rFonts w:cstheme="minorHAnsi"/>
          <w:lang w:val="hr-HR"/>
        </w:rPr>
        <w:t xml:space="preserve">Isto tako povećanju pridonose i sredstva poticaja za dobrovoljna spajanja jedinica lokalne samouprave koja su planirana u iznosu od 100,0 milijuna kuna. Odlukom Vlade RH propisat će se kriteriji i visina poticaja, uz veće fiskalne poticaje za dobrovoljna stvarna spajanja, dok će poticaji za funkcionalna spajanja ovisiti o broju i vrsti funkcija koje su predviđene za spajanje. </w:t>
      </w:r>
    </w:p>
    <w:p w:rsidR="00223521" w:rsidRPr="00223521" w:rsidRDefault="00223521" w:rsidP="00223521">
      <w:pPr>
        <w:spacing w:after="0" w:line="240" w:lineRule="auto"/>
        <w:jc w:val="both"/>
        <w:rPr>
          <w:rFonts w:cstheme="minorHAnsi"/>
          <w:lang w:val="hr-HR"/>
        </w:rPr>
      </w:pPr>
    </w:p>
    <w:p w:rsidR="00223521" w:rsidRPr="00223521" w:rsidRDefault="00223521" w:rsidP="00223521">
      <w:pPr>
        <w:spacing w:after="0" w:line="240" w:lineRule="auto"/>
        <w:jc w:val="both"/>
        <w:rPr>
          <w:rFonts w:cstheme="minorHAnsi"/>
          <w:lang w:val="hr-HR"/>
        </w:rPr>
      </w:pPr>
      <w:r w:rsidRPr="00223521">
        <w:rPr>
          <w:rFonts w:cstheme="minorHAnsi"/>
          <w:lang w:val="hr-HR"/>
        </w:rPr>
        <w:t>Unutar ove kategorije rashoda za pomoć fiskalnog izravnanja jedinicama lokalne i područne (regionalne) samouprave osigurano je kao i u tekućoj 2021. godini 2,0 milijarde kuna.</w:t>
      </w:r>
    </w:p>
    <w:p w:rsidR="00223521" w:rsidRPr="00223521" w:rsidRDefault="00223521" w:rsidP="00223521">
      <w:pPr>
        <w:spacing w:after="0" w:line="240" w:lineRule="auto"/>
        <w:jc w:val="both"/>
        <w:rPr>
          <w:rFonts w:cstheme="minorHAnsi"/>
          <w:lang w:val="hr-HR"/>
        </w:rPr>
      </w:pPr>
    </w:p>
    <w:p w:rsidR="00223521" w:rsidRPr="00223521" w:rsidRDefault="00223521" w:rsidP="00223521">
      <w:pPr>
        <w:spacing w:after="0" w:line="240" w:lineRule="auto"/>
        <w:jc w:val="both"/>
        <w:rPr>
          <w:rFonts w:cstheme="minorHAnsi"/>
          <w:lang w:val="hr-HR"/>
        </w:rPr>
      </w:pPr>
      <w:r w:rsidRPr="00223521">
        <w:rPr>
          <w:rFonts w:cstheme="minorHAnsi"/>
          <w:lang w:val="hr-HR"/>
        </w:rPr>
        <w:t>Pomoći koje se financiraju iz EU i ostalih izvora financiranja u 2022. planirane su na razini od 10,0 milijardi kuna te se povećavaju u iznosu od 2,6 milijardi kuna u odnosu na tekući plan 2021. godine, prije svega zbog povećanja iskorištenosti sredstava EU dostupnih u okviru Operativnog programa konkurentnost i kohezija u nadležnosti Ministarstva mora, prometa i infrastrukture, Ministarstva gospodarstva i održivog razvoja i Ministarstva znanosti i obrazovanja.</w:t>
      </w:r>
    </w:p>
    <w:p w:rsidR="00223521" w:rsidRPr="00223521" w:rsidRDefault="00223521" w:rsidP="00223521">
      <w:pPr>
        <w:spacing w:after="0" w:line="240" w:lineRule="auto"/>
        <w:jc w:val="both"/>
        <w:rPr>
          <w:rFonts w:cstheme="minorHAnsi"/>
          <w:lang w:val="hr-HR"/>
        </w:rPr>
      </w:pPr>
    </w:p>
    <w:p w:rsidR="00223521" w:rsidRPr="00223521" w:rsidRDefault="00223521" w:rsidP="00223521">
      <w:pPr>
        <w:spacing w:after="0" w:line="240" w:lineRule="auto"/>
        <w:jc w:val="both"/>
        <w:rPr>
          <w:rFonts w:cstheme="minorHAnsi"/>
          <w:lang w:val="hr-HR"/>
        </w:rPr>
      </w:pPr>
      <w:r w:rsidRPr="00223521">
        <w:rPr>
          <w:rFonts w:cstheme="minorHAnsi"/>
          <w:lang w:val="hr-HR"/>
        </w:rPr>
        <w:t>U 2023. godini ukupne pomoći projicirane su na razini od 39,8 milijardi kuna, a u 2024. na razini od 36,5 milijardi kuna.</w:t>
      </w:r>
    </w:p>
    <w:p w:rsidR="00223521" w:rsidRPr="00223521" w:rsidRDefault="00223521" w:rsidP="00223521">
      <w:pPr>
        <w:spacing w:after="0" w:line="240" w:lineRule="auto"/>
        <w:jc w:val="both"/>
        <w:rPr>
          <w:rFonts w:cstheme="minorHAnsi"/>
          <w:lang w:val="hr-HR"/>
        </w:rPr>
      </w:pPr>
    </w:p>
    <w:p w:rsidR="00223521" w:rsidRPr="00223521" w:rsidRDefault="00223521" w:rsidP="00223521">
      <w:pPr>
        <w:spacing w:after="0" w:line="240" w:lineRule="auto"/>
        <w:jc w:val="both"/>
        <w:rPr>
          <w:rFonts w:cstheme="minorHAnsi"/>
          <w:b/>
          <w:i/>
          <w:lang w:val="hr-HR"/>
        </w:rPr>
      </w:pPr>
      <w:r w:rsidRPr="00223521">
        <w:rPr>
          <w:rFonts w:cstheme="minorHAnsi"/>
          <w:b/>
          <w:i/>
          <w:lang w:val="hr-HR"/>
        </w:rPr>
        <w:t xml:space="preserve">Naknade građanima i kućanstvima </w:t>
      </w:r>
    </w:p>
    <w:p w:rsidR="00223521" w:rsidRPr="00223521" w:rsidRDefault="00223521" w:rsidP="00223521">
      <w:pPr>
        <w:spacing w:after="0" w:line="240" w:lineRule="auto"/>
        <w:jc w:val="both"/>
        <w:rPr>
          <w:rFonts w:cstheme="minorHAnsi"/>
          <w:lang w:val="hr-HR"/>
        </w:rPr>
      </w:pPr>
      <w:r w:rsidRPr="00223521">
        <w:rPr>
          <w:rFonts w:cstheme="minorHAnsi"/>
          <w:lang w:val="hr-HR"/>
        </w:rPr>
        <w:t xml:space="preserve">Naknade građanima i kućanstvima čine i u 2022. najznačajniju skupinu rashoda proračuna te se planiraju u iznosu od 54,6 milijardi kuna što čini povećanje od 2,1 milijardu kuna u odnosu na tekući plan 2021. godine. </w:t>
      </w:r>
    </w:p>
    <w:p w:rsidR="00223521" w:rsidRPr="00223521" w:rsidRDefault="00223521" w:rsidP="00223521">
      <w:pPr>
        <w:spacing w:after="0" w:line="240" w:lineRule="auto"/>
        <w:jc w:val="both"/>
        <w:rPr>
          <w:rFonts w:cstheme="minorHAnsi"/>
          <w:lang w:val="hr-HR"/>
        </w:rPr>
      </w:pPr>
    </w:p>
    <w:p w:rsidR="00223521" w:rsidRPr="00223521" w:rsidRDefault="00223521" w:rsidP="00223521">
      <w:pPr>
        <w:spacing w:after="0" w:line="240" w:lineRule="auto"/>
        <w:jc w:val="both"/>
        <w:rPr>
          <w:rFonts w:cstheme="minorHAnsi"/>
          <w:lang w:val="hr-HR"/>
        </w:rPr>
      </w:pPr>
      <w:r w:rsidRPr="00223521">
        <w:rPr>
          <w:rFonts w:cstheme="minorHAnsi"/>
          <w:lang w:val="hr-HR"/>
        </w:rPr>
        <w:t xml:space="preserve">Ovi rashodi uključuju povećana izdvajanja za mirovine u iznosu od 900,5 milijuna kuna koja su rezultat indeksacije po općim i posebnim propisima i očekivanog rasta broja korisnika. </w:t>
      </w:r>
    </w:p>
    <w:p w:rsidR="00223521" w:rsidRPr="00223521" w:rsidRDefault="00223521" w:rsidP="00223521">
      <w:pPr>
        <w:spacing w:after="0" w:line="240" w:lineRule="auto"/>
        <w:jc w:val="both"/>
        <w:rPr>
          <w:rFonts w:cstheme="minorHAnsi"/>
          <w:lang w:val="hr-HR"/>
        </w:rPr>
      </w:pPr>
    </w:p>
    <w:p w:rsidR="00223521" w:rsidRPr="00223521" w:rsidRDefault="00223521" w:rsidP="00223521">
      <w:pPr>
        <w:spacing w:after="0" w:line="240" w:lineRule="auto"/>
        <w:jc w:val="both"/>
        <w:rPr>
          <w:rFonts w:cstheme="minorHAnsi"/>
          <w:lang w:val="hr-HR"/>
        </w:rPr>
      </w:pPr>
      <w:r w:rsidRPr="00223521">
        <w:rPr>
          <w:rFonts w:cstheme="minorHAnsi"/>
          <w:lang w:val="hr-HR"/>
        </w:rPr>
        <w:t xml:space="preserve">U okviru ove kategorije rashoda financiranih iz općih prihoda i primitaka, doprinosa i namjenskih primitka planiraju se dodatna sredstva za provedbu novog Zakona o socijalnoj skrbi kao i Zakona o izmjenama i dopunama Zakona o udomiteljstvu čije se stupanje na snagu očekuje s 1. siječnja 2022. Slijedom navedenog sredstva za socijalne pomoći i naknade kao i sredstva za skrb za socijalno osjetljive </w:t>
      </w:r>
      <w:r w:rsidRPr="00223521">
        <w:rPr>
          <w:rFonts w:cstheme="minorHAnsi"/>
          <w:lang w:val="hr-HR"/>
        </w:rPr>
        <w:lastRenderedPageBreak/>
        <w:t xml:space="preserve">skupine se u odnosu na tekući plan 2021. godine povećavaju za 493,1 milijun kuna.  Navedeni iznos uključuje povećana izdvajanja za zajamčenu minimalnu naknadu (216,0 milijuna kuna), osobnu invalidninu (151,1 milijun kuna), doplatak za pomoć i njegu (137,5 milijuna kuna), status roditelja njegovatelja ili status njegovatelja (19,4 milijuna kuna),  naknade za skrb za socijalno osjetljive skupine (13,9 milijuna kuna) te naknadu za smještaj u udomiteljsku obitelj (53,2 milijuna kuna) i osobnu naknadu udomitelju (44,1 milijun kuna). Istovremeno smanjuju se izdvajanja za jednokratnu naknadu u iznosu od 142,0 milijuna kuna koja su bila uvećana tijekom 2021. godine uslijed potresa. </w:t>
      </w:r>
    </w:p>
    <w:p w:rsidR="00223521" w:rsidRPr="00223521" w:rsidRDefault="00223521" w:rsidP="00223521">
      <w:pPr>
        <w:spacing w:after="0" w:line="240" w:lineRule="auto"/>
        <w:jc w:val="both"/>
        <w:rPr>
          <w:rFonts w:cstheme="minorHAnsi"/>
          <w:lang w:val="hr-HR"/>
        </w:rPr>
      </w:pPr>
    </w:p>
    <w:p w:rsidR="00223521" w:rsidRPr="00223521" w:rsidRDefault="00223521" w:rsidP="00223521">
      <w:pPr>
        <w:spacing w:after="0" w:line="240" w:lineRule="auto"/>
        <w:jc w:val="both"/>
        <w:rPr>
          <w:rFonts w:cstheme="minorHAnsi"/>
          <w:lang w:val="hr-HR"/>
        </w:rPr>
      </w:pPr>
      <w:r w:rsidRPr="00223521">
        <w:rPr>
          <w:rFonts w:cstheme="minorHAnsi"/>
          <w:lang w:val="hr-HR"/>
        </w:rPr>
        <w:t xml:space="preserve">Povećanje također uključuje i dodatna sredstva u iznosu od 70,4 milijuna kuna za očekivane izmjene Zakona o rodiljnim i roditeljskim potporama. </w:t>
      </w:r>
    </w:p>
    <w:p w:rsidR="00223521" w:rsidRPr="00223521" w:rsidRDefault="00223521" w:rsidP="00223521">
      <w:pPr>
        <w:spacing w:after="0" w:line="240" w:lineRule="auto"/>
        <w:jc w:val="both"/>
        <w:rPr>
          <w:rFonts w:cstheme="minorHAnsi"/>
          <w:lang w:val="hr-HR"/>
        </w:rPr>
      </w:pPr>
    </w:p>
    <w:p w:rsidR="00223521" w:rsidRPr="00223521" w:rsidRDefault="00223521" w:rsidP="00223521">
      <w:pPr>
        <w:spacing w:after="0" w:line="240" w:lineRule="auto"/>
        <w:jc w:val="both"/>
        <w:rPr>
          <w:rFonts w:cstheme="minorHAnsi"/>
          <w:lang w:val="hr-HR"/>
        </w:rPr>
      </w:pPr>
      <w:r w:rsidRPr="00223521">
        <w:rPr>
          <w:rFonts w:cstheme="minorHAnsi"/>
          <w:lang w:val="hr-HR"/>
        </w:rPr>
        <w:t xml:space="preserve">Isto tako, u okviru ove kategorije rashoda financiranih iz općih prihoda i primitaka, doprinosa i namjenskih primitka u odnosu na tekući plan 2021. rast bilježe i izdvajanja za sanaciju štete uzrokovane potresom na području grada Zagreba i okolice u iznosu od 592,6 milijuna kuna. </w:t>
      </w:r>
    </w:p>
    <w:p w:rsidR="00223521" w:rsidRPr="00223521" w:rsidRDefault="00223521" w:rsidP="00223521">
      <w:pPr>
        <w:spacing w:after="0" w:line="240" w:lineRule="auto"/>
        <w:jc w:val="both"/>
        <w:rPr>
          <w:rFonts w:cstheme="minorHAnsi"/>
          <w:lang w:val="hr-HR"/>
        </w:rPr>
      </w:pPr>
    </w:p>
    <w:p w:rsidR="00223521" w:rsidRPr="00223521" w:rsidRDefault="00223521" w:rsidP="00223521">
      <w:pPr>
        <w:spacing w:after="0" w:line="240" w:lineRule="auto"/>
        <w:jc w:val="both"/>
        <w:rPr>
          <w:rFonts w:cstheme="minorHAnsi"/>
          <w:lang w:val="hr-HR"/>
        </w:rPr>
      </w:pPr>
      <w:r w:rsidRPr="00223521">
        <w:rPr>
          <w:rFonts w:cstheme="minorHAnsi"/>
          <w:lang w:val="hr-HR"/>
        </w:rPr>
        <w:t>U 2023. godini ovi rashodi projicirani su na razini od 56,2 milijarde kuna, dok se u 2024. očekuju na razini od 58,9 milijardi kuna.</w:t>
      </w:r>
    </w:p>
    <w:p w:rsidR="00223521" w:rsidRPr="00223521" w:rsidRDefault="00223521" w:rsidP="00223521">
      <w:pPr>
        <w:spacing w:after="0" w:line="240" w:lineRule="auto"/>
        <w:jc w:val="both"/>
        <w:rPr>
          <w:rFonts w:cstheme="minorHAnsi"/>
          <w:lang w:val="hr-HR"/>
        </w:rPr>
      </w:pPr>
    </w:p>
    <w:p w:rsidR="00223521" w:rsidRPr="00223521" w:rsidRDefault="00223521" w:rsidP="00223521">
      <w:pPr>
        <w:spacing w:after="0" w:line="240" w:lineRule="auto"/>
        <w:jc w:val="both"/>
        <w:rPr>
          <w:rFonts w:cstheme="minorHAnsi"/>
          <w:b/>
          <w:i/>
          <w:lang w:val="hr-HR"/>
        </w:rPr>
      </w:pPr>
      <w:r w:rsidRPr="00223521">
        <w:rPr>
          <w:rFonts w:cstheme="minorHAnsi"/>
          <w:b/>
          <w:i/>
          <w:lang w:val="hr-HR"/>
        </w:rPr>
        <w:t xml:space="preserve">Ostali rashodi </w:t>
      </w:r>
    </w:p>
    <w:p w:rsidR="00223521" w:rsidRPr="00223521" w:rsidRDefault="00223521" w:rsidP="00223521">
      <w:pPr>
        <w:spacing w:after="0" w:line="240" w:lineRule="auto"/>
        <w:jc w:val="both"/>
        <w:rPr>
          <w:rFonts w:cstheme="minorHAnsi"/>
          <w:lang w:val="hr-HR"/>
        </w:rPr>
      </w:pPr>
      <w:r w:rsidRPr="00223521">
        <w:rPr>
          <w:rFonts w:cstheme="minorHAnsi"/>
          <w:lang w:val="hr-HR"/>
        </w:rPr>
        <w:t>Ostali rashodi, koji uključuju tekuće i kapitalne donacije, kazne, penale i naknade šteta, izvanredne rashode i kapitalne pomoći, u 2022. godini projicirani su u iznosu od 9,2 milijarde kuna, odnosno 1,8 milijardi kuna više u odnosu na tekući plan 2021. godine. Većina rasta odnosi se na rashode financirane iz EU izvora i to zbog povećanja iskorištenosti sredstava EU dostupnih u okviru Operativnog programa konkurentnost i kohezija u nadležnosti Ministarstva mora, prometa i infrastrukture i Ministarstva gospodarstva i održivog razvoja. Osim rasta rashoda financiranih iz EU izvora ukupnom povećani doprinose i rashodi financirani iz općih prihoda i primitaka, doprinosa i namjenskih primitka vezani uz obnovu konstruktivnih oštećenja nakon potresa Zagrebačke županije, Sisačko-moslavačke i Karlovačke županije na objektima u privatnom vlasništvu koji se povećavaju za 247,3 milijuna kuna.</w:t>
      </w:r>
    </w:p>
    <w:p w:rsidR="00223521" w:rsidRPr="00223521" w:rsidRDefault="00223521" w:rsidP="00223521">
      <w:pPr>
        <w:spacing w:after="0" w:line="240" w:lineRule="auto"/>
        <w:jc w:val="both"/>
        <w:rPr>
          <w:rFonts w:cstheme="minorHAnsi"/>
          <w:lang w:val="hr-HR"/>
        </w:rPr>
      </w:pPr>
    </w:p>
    <w:p w:rsidR="00223521" w:rsidRPr="00223521" w:rsidRDefault="00223521" w:rsidP="00223521">
      <w:pPr>
        <w:spacing w:after="0" w:line="240" w:lineRule="auto"/>
        <w:jc w:val="both"/>
        <w:rPr>
          <w:rFonts w:cstheme="minorHAnsi"/>
          <w:lang w:val="hr-HR"/>
        </w:rPr>
      </w:pPr>
      <w:r w:rsidRPr="00223521">
        <w:rPr>
          <w:rFonts w:cstheme="minorHAnsi"/>
          <w:lang w:val="hr-HR"/>
        </w:rPr>
        <w:t xml:space="preserve"> U 2023. i 2024. godini ovi rashodi projicirani su na razini od 9,0, odnosno 7,8 milijardi kuna.</w:t>
      </w:r>
    </w:p>
    <w:p w:rsidR="00223521" w:rsidRPr="00223521" w:rsidRDefault="00223521" w:rsidP="00223521">
      <w:pPr>
        <w:spacing w:after="0" w:line="240" w:lineRule="auto"/>
        <w:jc w:val="both"/>
        <w:rPr>
          <w:rFonts w:cstheme="minorHAnsi"/>
          <w:lang w:val="hr-HR"/>
        </w:rPr>
      </w:pPr>
    </w:p>
    <w:p w:rsidR="00223521" w:rsidRPr="00223521" w:rsidRDefault="00223521" w:rsidP="00223521">
      <w:pPr>
        <w:spacing w:after="0" w:line="240" w:lineRule="auto"/>
        <w:jc w:val="both"/>
        <w:rPr>
          <w:rFonts w:cstheme="minorHAnsi"/>
          <w:b/>
          <w:lang w:val="hr-HR"/>
        </w:rPr>
      </w:pPr>
      <w:r w:rsidRPr="00223521">
        <w:rPr>
          <w:rFonts w:cstheme="minorHAnsi"/>
          <w:b/>
          <w:lang w:val="hr-HR"/>
        </w:rPr>
        <w:t>Rashodi za nabavu nefinancijske imovine</w:t>
      </w:r>
    </w:p>
    <w:p w:rsidR="00223521" w:rsidRPr="00223521" w:rsidRDefault="00223521" w:rsidP="00223521">
      <w:pPr>
        <w:spacing w:after="0" w:line="240" w:lineRule="auto"/>
        <w:jc w:val="both"/>
        <w:rPr>
          <w:rFonts w:cstheme="minorHAnsi"/>
          <w:color w:val="000000"/>
          <w:lang w:val="hr-HR"/>
        </w:rPr>
      </w:pPr>
      <w:r w:rsidRPr="00223521">
        <w:rPr>
          <w:rFonts w:cstheme="minorHAnsi"/>
          <w:color w:val="000000"/>
          <w:lang w:val="hr-HR"/>
        </w:rPr>
        <w:t xml:space="preserve">Rashodi za nabavu nefinancijske imovine u 2022. godini planirani su u iznosu od 12,9 milijardi kuna. Ova kategorija rashoda </w:t>
      </w:r>
      <w:r w:rsidRPr="00223521">
        <w:rPr>
          <w:rFonts w:cstheme="minorHAnsi"/>
          <w:lang w:val="hr-HR"/>
        </w:rPr>
        <w:t xml:space="preserve">koja se financira iz općih prihoda i primitaka, doprinosa i namjenskih primitaka bilježi rast u odnosu na tekući plan 2021. godine u iznosu od 2,1 milijardu kuna i to prvenstveno zbog osiguranja sredstava za nabavu višenamjenskih borbenih aviona. Rashodi iz ove kategorije koji se financiraju iz EU i ostalih izvora financiranja također bilježe rast od 2,4 milijarde kuna u odnosu na tekući plan 2021. godine i to prvenstveno zbog povećanih izdvajanja za sanaciju štete uzrokovane potresom na objektima Ministarstva zdravstva, Ministarstva znanosti i obrazovanja, Hrvatske akademije znanosti i umjetnosti, Ministarstva kulture i medija, Hrvatskog sabora i Vlade Republike Hrvatske. </w:t>
      </w:r>
    </w:p>
    <w:p w:rsidR="00223521" w:rsidRPr="00223521" w:rsidRDefault="00223521" w:rsidP="00223521">
      <w:pPr>
        <w:spacing w:after="0" w:line="240" w:lineRule="auto"/>
        <w:jc w:val="both"/>
        <w:rPr>
          <w:rFonts w:cstheme="minorHAnsi"/>
          <w:color w:val="000000"/>
          <w:lang w:val="hr-HR"/>
        </w:rPr>
      </w:pPr>
    </w:p>
    <w:p w:rsidR="00223521" w:rsidRDefault="00223521" w:rsidP="00223521">
      <w:pPr>
        <w:spacing w:after="0" w:line="240" w:lineRule="auto"/>
        <w:jc w:val="both"/>
        <w:rPr>
          <w:rFonts w:ascii="Calibri" w:hAnsi="Calibri" w:cs="Calibri"/>
          <w:color w:val="000000"/>
          <w:sz w:val="24"/>
          <w:szCs w:val="24"/>
          <w:lang w:val="hr-HR"/>
        </w:rPr>
      </w:pPr>
      <w:r w:rsidRPr="00223521">
        <w:rPr>
          <w:rFonts w:cstheme="minorHAnsi"/>
          <w:color w:val="000000"/>
          <w:lang w:val="hr-HR"/>
        </w:rPr>
        <w:t>U 2023. i 2024. godini ovi rashodi predviđaju se u iznosu od 8,4 milijarde kuna, odnosno 7,4 milijarde kuna.</w:t>
      </w:r>
    </w:p>
    <w:p w:rsidR="00095377" w:rsidRDefault="00095377" w:rsidP="00095377">
      <w:pPr>
        <w:spacing w:after="120"/>
        <w:jc w:val="both"/>
        <w:rPr>
          <w:lang w:val="hr-HR"/>
        </w:rPr>
      </w:pPr>
    </w:p>
    <w:p w:rsidR="00223521" w:rsidRDefault="00223521" w:rsidP="00095377">
      <w:pPr>
        <w:spacing w:after="120"/>
        <w:jc w:val="both"/>
        <w:rPr>
          <w:lang w:val="hr-HR"/>
        </w:rPr>
      </w:pPr>
    </w:p>
    <w:p w:rsidR="00223521" w:rsidRDefault="00223521" w:rsidP="00095377">
      <w:pPr>
        <w:spacing w:after="120"/>
        <w:jc w:val="both"/>
        <w:rPr>
          <w:lang w:val="hr-HR"/>
        </w:rPr>
      </w:pPr>
    </w:p>
    <w:p w:rsidR="00223521" w:rsidRPr="00095377" w:rsidRDefault="00223521" w:rsidP="00095377">
      <w:pPr>
        <w:spacing w:after="120"/>
        <w:jc w:val="both"/>
        <w:rPr>
          <w:lang w:val="hr-HR"/>
        </w:rPr>
      </w:pPr>
    </w:p>
    <w:p w:rsidR="00695821" w:rsidRPr="00F70B2A" w:rsidRDefault="00695821" w:rsidP="0029489C">
      <w:pPr>
        <w:pStyle w:val="Heading2"/>
        <w:numPr>
          <w:ilvl w:val="1"/>
          <w:numId w:val="16"/>
        </w:numPr>
        <w:ind w:left="993" w:hanging="567"/>
        <w:rPr>
          <w:lang w:val="hr-HR"/>
        </w:rPr>
      </w:pPr>
      <w:bookmarkStart w:id="30" w:name="_Toc86303475"/>
      <w:r w:rsidRPr="00F70B2A">
        <w:rPr>
          <w:lang w:val="hr-HR"/>
        </w:rPr>
        <w:lastRenderedPageBreak/>
        <w:t>Obrazloženje rashoda po funkcijskoj klasifikaciji</w:t>
      </w:r>
      <w:bookmarkEnd w:id="30"/>
    </w:p>
    <w:p w:rsidR="00033D9E" w:rsidRPr="00F70B2A" w:rsidRDefault="00033D9E" w:rsidP="00D668A6">
      <w:pPr>
        <w:pStyle w:val="Default"/>
        <w:spacing w:after="200" w:line="276" w:lineRule="auto"/>
        <w:jc w:val="both"/>
        <w:rPr>
          <w:rFonts w:asciiTheme="minorHAnsi" w:hAnsiTheme="minorHAnsi"/>
          <w:color w:val="auto"/>
          <w:sz w:val="22"/>
          <w:szCs w:val="22"/>
        </w:rPr>
      </w:pPr>
      <w:bookmarkStart w:id="31" w:name="_Toc445241796"/>
    </w:p>
    <w:bookmarkEnd w:id="31"/>
    <w:p w:rsidR="00223521" w:rsidRPr="00223521" w:rsidRDefault="00223521" w:rsidP="00223521">
      <w:pPr>
        <w:spacing w:after="0" w:line="240" w:lineRule="auto"/>
        <w:jc w:val="both"/>
        <w:rPr>
          <w:rFonts w:ascii="Calibri" w:hAnsi="Calibri" w:cs="Calibri"/>
          <w:color w:val="000000"/>
          <w:lang w:val="hr-HR" w:eastAsia="hr-HR"/>
        </w:rPr>
      </w:pPr>
      <w:r w:rsidRPr="00223521">
        <w:rPr>
          <w:rFonts w:ascii="Calibri" w:hAnsi="Calibri" w:cs="Calibri"/>
          <w:lang w:val="hr-HR" w:eastAsia="hr-HR"/>
        </w:rPr>
        <w:t xml:space="preserve">S ciljem daljnjeg povećanja transparentnosti korištenja proračunskih sredstava u </w:t>
      </w:r>
      <w:r w:rsidRPr="00223521">
        <w:rPr>
          <w:rFonts w:ascii="Calibri" w:hAnsi="Calibri" w:cs="Calibri"/>
          <w:color w:val="000000"/>
          <w:lang w:val="hr-HR" w:eastAsia="hr-HR"/>
        </w:rPr>
        <w:t xml:space="preserve">nastavku se u okviru obrazloženja rashoda državnog proračuna, daje i prikaz rashoda po funkcijskoj klasifikaciji. </w:t>
      </w:r>
    </w:p>
    <w:p w:rsidR="00223521" w:rsidRPr="00223521" w:rsidRDefault="00223521" w:rsidP="00223521">
      <w:pPr>
        <w:spacing w:after="0" w:line="240" w:lineRule="auto"/>
        <w:jc w:val="both"/>
        <w:rPr>
          <w:rFonts w:ascii="Calibri" w:hAnsi="Calibri" w:cs="Calibri"/>
          <w:color w:val="000000"/>
          <w:lang w:val="hr-HR" w:eastAsia="hr-HR"/>
        </w:rPr>
      </w:pPr>
    </w:p>
    <w:p w:rsidR="00223521" w:rsidRPr="00223521" w:rsidRDefault="00223521" w:rsidP="00223521">
      <w:pPr>
        <w:spacing w:after="0" w:line="240" w:lineRule="auto"/>
        <w:jc w:val="both"/>
        <w:rPr>
          <w:rFonts w:ascii="Calibri" w:hAnsi="Calibri" w:cs="Calibri"/>
          <w:i/>
          <w:lang w:val="hr-HR"/>
        </w:rPr>
      </w:pPr>
      <w:r w:rsidRPr="00223521">
        <w:rPr>
          <w:rFonts w:ascii="Calibri" w:hAnsi="Calibri" w:cs="Calibri"/>
          <w:i/>
          <w:lang w:val="hr-HR"/>
        </w:rPr>
        <w:t>Tablica 9: Kretanje rashoda državnog proračuna u razdoblju 2020. - 2024. po funkcijskoj klasifikaciji</w:t>
      </w:r>
    </w:p>
    <w:p w:rsidR="00223521" w:rsidRPr="00223521" w:rsidRDefault="00223521" w:rsidP="00223521">
      <w:pPr>
        <w:spacing w:after="0" w:line="240" w:lineRule="auto"/>
        <w:jc w:val="both"/>
        <w:rPr>
          <w:rFonts w:ascii="Calibri" w:hAnsi="Calibri" w:cs="Calibri"/>
          <w:lang w:val="hr-HR"/>
        </w:rPr>
      </w:pPr>
      <w:r w:rsidRPr="00223521">
        <w:rPr>
          <w:noProof/>
          <w:lang w:val="hr-HR" w:eastAsia="hr-HR"/>
        </w:rPr>
        <w:drawing>
          <wp:inline distT="0" distB="0" distL="0" distR="0" wp14:anchorId="37B206D2" wp14:editId="43BC7DE1">
            <wp:extent cx="5760720" cy="1373749"/>
            <wp:effectExtent l="0" t="0" r="0" b="0"/>
            <wp:docPr id="10"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60720" cy="1373749"/>
                    </a:xfrm>
                    <a:prstGeom prst="rect">
                      <a:avLst/>
                    </a:prstGeom>
                    <a:noFill/>
                    <a:ln>
                      <a:noFill/>
                    </a:ln>
                  </pic:spPr>
                </pic:pic>
              </a:graphicData>
            </a:graphic>
          </wp:inline>
        </w:drawing>
      </w:r>
    </w:p>
    <w:p w:rsidR="00670082" w:rsidRPr="00223521" w:rsidRDefault="00223521" w:rsidP="00223521">
      <w:pPr>
        <w:rPr>
          <w:lang w:val="hr-HR"/>
        </w:rPr>
      </w:pPr>
      <w:r w:rsidRPr="00223521">
        <w:rPr>
          <w:rFonts w:ascii="Calibri" w:hAnsi="Calibri" w:cs="Calibri"/>
          <w:i/>
          <w:lang w:val="hr-HR"/>
        </w:rPr>
        <w:t>Izvor: Ministarstvo financija</w:t>
      </w:r>
    </w:p>
    <w:p w:rsidR="00670082" w:rsidRDefault="00670082" w:rsidP="00BC27DE">
      <w:pPr>
        <w:rPr>
          <w:lang w:val="hr-HR"/>
        </w:rPr>
      </w:pPr>
    </w:p>
    <w:p w:rsidR="0037667D" w:rsidRPr="00F70B2A" w:rsidRDefault="00BC27DE" w:rsidP="00BC27DE">
      <w:pPr>
        <w:rPr>
          <w:lang w:val="hr-HR"/>
        </w:rPr>
      </w:pPr>
      <w:r w:rsidRPr="00F70B2A">
        <w:rPr>
          <w:lang w:val="hr-HR"/>
        </w:rPr>
        <w:t xml:space="preserve"> </w:t>
      </w:r>
      <w:r w:rsidR="0037667D" w:rsidRPr="00F70B2A">
        <w:rPr>
          <w:lang w:val="hr-HR"/>
        </w:rPr>
        <w:br w:type="page"/>
      </w:r>
    </w:p>
    <w:p w:rsidR="00695821" w:rsidRPr="00F70B2A" w:rsidRDefault="00695821" w:rsidP="0029489C">
      <w:pPr>
        <w:pStyle w:val="Heading1"/>
        <w:numPr>
          <w:ilvl w:val="0"/>
          <w:numId w:val="17"/>
        </w:numPr>
        <w:rPr>
          <w:lang w:val="hr-HR"/>
        </w:rPr>
      </w:pPr>
      <w:bookmarkStart w:id="32" w:name="_Toc86303476"/>
      <w:r w:rsidRPr="00F70B2A">
        <w:rPr>
          <w:lang w:val="hr-HR"/>
        </w:rPr>
        <w:lastRenderedPageBreak/>
        <w:t>UKUPNI MANJAK</w:t>
      </w:r>
      <w:r w:rsidR="00BC27DE" w:rsidRPr="00F70B2A">
        <w:rPr>
          <w:lang w:val="hr-HR"/>
        </w:rPr>
        <w:t>/VIŠAK</w:t>
      </w:r>
      <w:r w:rsidRPr="00F70B2A">
        <w:rPr>
          <w:lang w:val="hr-HR"/>
        </w:rPr>
        <w:t xml:space="preserve"> DRŽAVNOG PRORAČUNA</w:t>
      </w:r>
      <w:bookmarkEnd w:id="32"/>
      <w:r w:rsidRPr="00F70B2A">
        <w:rPr>
          <w:lang w:val="hr-HR"/>
        </w:rPr>
        <w:t xml:space="preserve"> </w:t>
      </w:r>
    </w:p>
    <w:p w:rsidR="00695821" w:rsidRPr="00F70B2A" w:rsidRDefault="00695821" w:rsidP="00695821">
      <w:pPr>
        <w:rPr>
          <w:lang w:val="hr-HR"/>
        </w:rPr>
      </w:pPr>
    </w:p>
    <w:p w:rsidR="00695821" w:rsidRPr="0003434E" w:rsidRDefault="00695821" w:rsidP="002A12E4">
      <w:pPr>
        <w:jc w:val="both"/>
        <w:rPr>
          <w:lang w:val="hr-HR"/>
        </w:rPr>
      </w:pPr>
      <w:r w:rsidRPr="0003434E">
        <w:rPr>
          <w:lang w:val="hr-HR"/>
        </w:rPr>
        <w:t xml:space="preserve">Slijedom ukupno planiranih prihoda u iznosu od </w:t>
      </w:r>
      <w:r w:rsidR="00A831A9" w:rsidRPr="0003434E">
        <w:rPr>
          <w:lang w:val="hr-HR"/>
        </w:rPr>
        <w:t>1</w:t>
      </w:r>
      <w:r w:rsidR="00AD17D4" w:rsidRPr="0003434E">
        <w:rPr>
          <w:lang w:val="hr-HR"/>
        </w:rPr>
        <w:t>64</w:t>
      </w:r>
      <w:r w:rsidR="00A831A9" w:rsidRPr="0003434E">
        <w:rPr>
          <w:lang w:val="hr-HR"/>
        </w:rPr>
        <w:t>,</w:t>
      </w:r>
      <w:r w:rsidR="00AD17D4" w:rsidRPr="0003434E">
        <w:rPr>
          <w:lang w:val="hr-HR"/>
        </w:rPr>
        <w:t>5</w:t>
      </w:r>
      <w:r w:rsidR="00A831A9" w:rsidRPr="0003434E">
        <w:rPr>
          <w:lang w:val="hr-HR"/>
        </w:rPr>
        <w:t xml:space="preserve"> </w:t>
      </w:r>
      <w:r w:rsidR="008E0275" w:rsidRPr="0003434E">
        <w:rPr>
          <w:lang w:val="hr-HR"/>
        </w:rPr>
        <w:t>milijard</w:t>
      </w:r>
      <w:r w:rsidR="00A831A9" w:rsidRPr="0003434E">
        <w:rPr>
          <w:lang w:val="hr-HR"/>
        </w:rPr>
        <w:t>i</w:t>
      </w:r>
      <w:r w:rsidRPr="0003434E">
        <w:rPr>
          <w:lang w:val="hr-HR"/>
        </w:rPr>
        <w:t xml:space="preserve"> kuna te ukupno planiranih rashoda u iznosu od </w:t>
      </w:r>
      <w:r w:rsidR="00A831A9" w:rsidRPr="0003434E">
        <w:rPr>
          <w:lang w:val="hr-HR"/>
        </w:rPr>
        <w:t>1</w:t>
      </w:r>
      <w:r w:rsidR="00AD17D4" w:rsidRPr="0003434E">
        <w:rPr>
          <w:lang w:val="hr-HR"/>
        </w:rPr>
        <w:t>73</w:t>
      </w:r>
      <w:r w:rsidR="00A831A9" w:rsidRPr="0003434E">
        <w:rPr>
          <w:lang w:val="hr-HR"/>
        </w:rPr>
        <w:t>,</w:t>
      </w:r>
      <w:r w:rsidR="00AD17D4" w:rsidRPr="0003434E">
        <w:rPr>
          <w:lang w:val="hr-HR"/>
        </w:rPr>
        <w:t>8</w:t>
      </w:r>
      <w:r w:rsidRPr="0003434E">
        <w:rPr>
          <w:lang w:val="hr-HR"/>
        </w:rPr>
        <w:t xml:space="preserve"> mi</w:t>
      </w:r>
      <w:r w:rsidR="00A831A9" w:rsidRPr="0003434E">
        <w:rPr>
          <w:lang w:val="hr-HR"/>
        </w:rPr>
        <w:t>lijardi</w:t>
      </w:r>
      <w:r w:rsidRPr="0003434E">
        <w:rPr>
          <w:lang w:val="hr-HR"/>
        </w:rPr>
        <w:t xml:space="preserve"> kuna, planirani manjak državnog proračuna za 20</w:t>
      </w:r>
      <w:r w:rsidR="00155FA2" w:rsidRPr="0003434E">
        <w:rPr>
          <w:lang w:val="hr-HR"/>
        </w:rPr>
        <w:t>2</w:t>
      </w:r>
      <w:r w:rsidR="00AD17D4" w:rsidRPr="0003434E">
        <w:rPr>
          <w:lang w:val="hr-HR"/>
        </w:rPr>
        <w:t>2</w:t>
      </w:r>
      <w:r w:rsidRPr="0003434E">
        <w:rPr>
          <w:lang w:val="hr-HR"/>
        </w:rPr>
        <w:t xml:space="preserve">. godinu iznosi </w:t>
      </w:r>
      <w:r w:rsidR="00AD17D4" w:rsidRPr="0003434E">
        <w:rPr>
          <w:lang w:val="hr-HR"/>
        </w:rPr>
        <w:t>9</w:t>
      </w:r>
      <w:r w:rsidR="00A831A9" w:rsidRPr="0003434E">
        <w:rPr>
          <w:lang w:val="hr-HR"/>
        </w:rPr>
        <w:t>,</w:t>
      </w:r>
      <w:r w:rsidR="00AD17D4" w:rsidRPr="0003434E">
        <w:rPr>
          <w:lang w:val="hr-HR"/>
        </w:rPr>
        <w:t>3</w:t>
      </w:r>
      <w:r w:rsidRPr="0003434E">
        <w:rPr>
          <w:lang w:val="hr-HR"/>
        </w:rPr>
        <w:t xml:space="preserve"> milijard</w:t>
      </w:r>
      <w:r w:rsidR="00A831A9" w:rsidRPr="0003434E">
        <w:rPr>
          <w:lang w:val="hr-HR"/>
        </w:rPr>
        <w:t>i</w:t>
      </w:r>
      <w:r w:rsidRPr="0003434E">
        <w:rPr>
          <w:lang w:val="hr-HR"/>
        </w:rPr>
        <w:t xml:space="preserve"> kuna ili </w:t>
      </w:r>
      <w:r w:rsidR="0003434E" w:rsidRPr="0003434E">
        <w:rPr>
          <w:lang w:val="hr-HR"/>
        </w:rPr>
        <w:t>2,1</w:t>
      </w:r>
      <w:r w:rsidRPr="0003434E">
        <w:rPr>
          <w:lang w:val="hr-HR"/>
        </w:rPr>
        <w:t xml:space="preserve">% bruto domaćeg proizvoda. </w:t>
      </w:r>
    </w:p>
    <w:p w:rsidR="00695821" w:rsidRPr="00F70B2A" w:rsidRDefault="00BE094B" w:rsidP="002A12E4">
      <w:pPr>
        <w:jc w:val="both"/>
        <w:rPr>
          <w:lang w:val="hr-HR"/>
        </w:rPr>
      </w:pPr>
      <w:r w:rsidRPr="0003434E">
        <w:rPr>
          <w:lang w:val="hr-HR"/>
        </w:rPr>
        <w:t>U 202</w:t>
      </w:r>
      <w:r w:rsidR="00AD17D4" w:rsidRPr="0003434E">
        <w:rPr>
          <w:lang w:val="hr-HR"/>
        </w:rPr>
        <w:t>3</w:t>
      </w:r>
      <w:r w:rsidR="00695821" w:rsidRPr="0003434E">
        <w:rPr>
          <w:lang w:val="hr-HR"/>
        </w:rPr>
        <w:t xml:space="preserve">. godini manjak državnog proračuna projiciran je </w:t>
      </w:r>
      <w:r w:rsidR="00A831A9" w:rsidRPr="0003434E">
        <w:rPr>
          <w:lang w:val="hr-HR"/>
        </w:rPr>
        <w:t xml:space="preserve">u iznosu od </w:t>
      </w:r>
      <w:r w:rsidR="00AD17D4" w:rsidRPr="0003434E">
        <w:rPr>
          <w:lang w:val="hr-HR"/>
        </w:rPr>
        <w:t>2,1</w:t>
      </w:r>
      <w:r w:rsidR="00A831A9" w:rsidRPr="0003434E">
        <w:rPr>
          <w:lang w:val="hr-HR"/>
        </w:rPr>
        <w:t xml:space="preserve"> milijard</w:t>
      </w:r>
      <w:r w:rsidR="00AD17D4" w:rsidRPr="0003434E">
        <w:rPr>
          <w:lang w:val="hr-HR"/>
        </w:rPr>
        <w:t>i</w:t>
      </w:r>
      <w:r w:rsidR="00A831A9" w:rsidRPr="0003434E">
        <w:rPr>
          <w:lang w:val="hr-HR"/>
        </w:rPr>
        <w:t xml:space="preserve"> kuna ili </w:t>
      </w:r>
      <w:r w:rsidR="0003434E" w:rsidRPr="0003434E">
        <w:rPr>
          <w:lang w:val="hr-HR"/>
        </w:rPr>
        <w:t>0,4</w:t>
      </w:r>
      <w:r w:rsidR="00A831A9" w:rsidRPr="0003434E">
        <w:rPr>
          <w:lang w:val="hr-HR"/>
        </w:rPr>
        <w:t>% BDP-a dok se u 202</w:t>
      </w:r>
      <w:r w:rsidR="00AD17D4" w:rsidRPr="0003434E">
        <w:rPr>
          <w:lang w:val="hr-HR"/>
        </w:rPr>
        <w:t>4</w:t>
      </w:r>
      <w:r w:rsidR="00A831A9" w:rsidRPr="0003434E">
        <w:rPr>
          <w:lang w:val="hr-HR"/>
        </w:rPr>
        <w:t>.</w:t>
      </w:r>
      <w:r w:rsidR="00D72B0A" w:rsidRPr="0003434E">
        <w:rPr>
          <w:lang w:val="hr-HR"/>
        </w:rPr>
        <w:t xml:space="preserve"> </w:t>
      </w:r>
      <w:r w:rsidR="00A831A9" w:rsidRPr="0003434E">
        <w:rPr>
          <w:lang w:val="hr-HR"/>
        </w:rPr>
        <w:t xml:space="preserve">očekuje </w:t>
      </w:r>
      <w:r w:rsidR="00AD17D4" w:rsidRPr="0003434E">
        <w:rPr>
          <w:lang w:val="hr-HR"/>
        </w:rPr>
        <w:t>višak</w:t>
      </w:r>
      <w:r w:rsidR="00A831A9" w:rsidRPr="0003434E">
        <w:rPr>
          <w:lang w:val="hr-HR"/>
        </w:rPr>
        <w:t xml:space="preserve"> od </w:t>
      </w:r>
      <w:r w:rsidR="00AD17D4" w:rsidRPr="0003434E">
        <w:rPr>
          <w:lang w:val="hr-HR"/>
        </w:rPr>
        <w:t>1</w:t>
      </w:r>
      <w:r w:rsidR="00A831A9" w:rsidRPr="0003434E">
        <w:rPr>
          <w:lang w:val="hr-HR"/>
        </w:rPr>
        <w:t xml:space="preserve">,2 milijarde kuna ili </w:t>
      </w:r>
      <w:r w:rsidR="0003434E" w:rsidRPr="0003434E">
        <w:rPr>
          <w:lang w:val="hr-HR"/>
        </w:rPr>
        <w:t>0,2</w:t>
      </w:r>
      <w:r w:rsidR="00A831A9" w:rsidRPr="0003434E">
        <w:rPr>
          <w:lang w:val="hr-HR"/>
        </w:rPr>
        <w:t>% BDP-a.</w:t>
      </w:r>
      <w:r w:rsidR="00A831A9" w:rsidRPr="00A831A9">
        <w:rPr>
          <w:lang w:val="hr-HR"/>
        </w:rPr>
        <w:t xml:space="preserve"> </w:t>
      </w:r>
    </w:p>
    <w:p w:rsidR="00695821" w:rsidRPr="00F70B2A" w:rsidRDefault="00DB0827" w:rsidP="00533F79">
      <w:pPr>
        <w:spacing w:before="240" w:after="0" w:line="240" w:lineRule="auto"/>
        <w:rPr>
          <w:i/>
          <w:lang w:val="hr-HR"/>
        </w:rPr>
      </w:pPr>
      <w:bookmarkStart w:id="33" w:name="_Toc445241797"/>
      <w:r w:rsidRPr="00F70B2A">
        <w:rPr>
          <w:i/>
          <w:lang w:val="hr-HR"/>
        </w:rPr>
        <w:t xml:space="preserve">Tablica </w:t>
      </w:r>
      <w:r w:rsidR="00362A8C">
        <w:rPr>
          <w:i/>
          <w:lang w:val="hr-HR"/>
        </w:rPr>
        <w:t>10</w:t>
      </w:r>
      <w:r w:rsidR="00695821" w:rsidRPr="00F70B2A">
        <w:rPr>
          <w:i/>
          <w:lang w:val="hr-HR"/>
        </w:rPr>
        <w:t>: Ukupni manjak</w:t>
      </w:r>
      <w:r w:rsidR="00BC27DE" w:rsidRPr="00F70B2A">
        <w:rPr>
          <w:i/>
          <w:lang w:val="hr-HR"/>
        </w:rPr>
        <w:t>/višak</w:t>
      </w:r>
      <w:r w:rsidR="00695821" w:rsidRPr="00F70B2A">
        <w:rPr>
          <w:i/>
          <w:lang w:val="hr-HR"/>
        </w:rPr>
        <w:t xml:space="preserve"> državnog proračuna</w:t>
      </w:r>
      <w:bookmarkEnd w:id="33"/>
    </w:p>
    <w:p w:rsidR="008E0275" w:rsidRPr="00F70B2A" w:rsidRDefault="00CA5E85" w:rsidP="008E0275">
      <w:pPr>
        <w:spacing w:before="240" w:after="0"/>
        <w:rPr>
          <w:lang w:val="hr-HR"/>
        </w:rPr>
      </w:pPr>
      <w:r w:rsidRPr="00CA5E85">
        <w:rPr>
          <w:noProof/>
          <w:lang w:val="hr-HR" w:eastAsia="hr-HR"/>
        </w:rPr>
        <w:drawing>
          <wp:inline distT="0" distB="0" distL="0" distR="0">
            <wp:extent cx="5760720" cy="1465887"/>
            <wp:effectExtent l="0" t="0" r="0" b="1270"/>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60720" cy="1465887"/>
                    </a:xfrm>
                    <a:prstGeom prst="rect">
                      <a:avLst/>
                    </a:prstGeom>
                    <a:noFill/>
                    <a:ln>
                      <a:noFill/>
                    </a:ln>
                  </pic:spPr>
                </pic:pic>
              </a:graphicData>
            </a:graphic>
          </wp:inline>
        </w:drawing>
      </w:r>
    </w:p>
    <w:p w:rsidR="00695821" w:rsidRPr="00F70B2A" w:rsidRDefault="00695821" w:rsidP="00205AC5">
      <w:pPr>
        <w:spacing w:after="0"/>
        <w:rPr>
          <w:i/>
          <w:sz w:val="20"/>
          <w:lang w:val="hr-HR"/>
        </w:rPr>
      </w:pPr>
      <w:r w:rsidRPr="00F70B2A">
        <w:rPr>
          <w:i/>
          <w:sz w:val="20"/>
          <w:lang w:val="hr-HR"/>
        </w:rPr>
        <w:t>Izvor: Ministarstvo financija</w:t>
      </w:r>
    </w:p>
    <w:p w:rsidR="001314C4" w:rsidRPr="00F70B2A" w:rsidRDefault="00695821" w:rsidP="00695821">
      <w:pPr>
        <w:rPr>
          <w:lang w:val="hr-HR"/>
        </w:rPr>
      </w:pPr>
      <w:r w:rsidRPr="00F70B2A">
        <w:rPr>
          <w:lang w:val="hr-HR"/>
        </w:rPr>
        <w:t xml:space="preserve"> </w:t>
      </w:r>
      <w:r w:rsidR="001314C4" w:rsidRPr="00F70B2A">
        <w:rPr>
          <w:lang w:val="hr-HR"/>
        </w:rPr>
        <w:br w:type="page"/>
      </w:r>
    </w:p>
    <w:p w:rsidR="00695821" w:rsidRPr="00F70B2A" w:rsidRDefault="00695821" w:rsidP="0029489C">
      <w:pPr>
        <w:pStyle w:val="Heading1"/>
        <w:numPr>
          <w:ilvl w:val="0"/>
          <w:numId w:val="17"/>
        </w:numPr>
        <w:rPr>
          <w:lang w:val="hr-HR"/>
        </w:rPr>
      </w:pPr>
      <w:bookmarkStart w:id="34" w:name="_Toc86303477"/>
      <w:r w:rsidRPr="00F70B2A">
        <w:rPr>
          <w:lang w:val="hr-HR"/>
        </w:rPr>
        <w:lastRenderedPageBreak/>
        <w:t>RAČUN FINANCIRANJA DRŽAVNOG PRORAČUNA</w:t>
      </w:r>
      <w:bookmarkEnd w:id="34"/>
      <w:r w:rsidRPr="00F70B2A">
        <w:rPr>
          <w:lang w:val="hr-HR"/>
        </w:rPr>
        <w:t xml:space="preserve"> </w:t>
      </w:r>
    </w:p>
    <w:p w:rsidR="00695821" w:rsidRDefault="00695821" w:rsidP="00695821">
      <w:pPr>
        <w:rPr>
          <w:lang w:val="hr-HR"/>
        </w:rPr>
      </w:pPr>
    </w:p>
    <w:p w:rsidR="00362A8C" w:rsidRPr="00931609" w:rsidRDefault="00362A8C" w:rsidP="00362A8C">
      <w:pPr>
        <w:jc w:val="both"/>
        <w:rPr>
          <w:lang w:val="hr-HR"/>
        </w:rPr>
      </w:pPr>
      <w:r w:rsidRPr="00931609">
        <w:rPr>
          <w:lang w:val="hr-HR"/>
        </w:rPr>
        <w:t>Manjak državnog proračuna za 2022. godinu u iznosu od 9,3 milijarde kuna financirat će se razlikom ukupnih primitaka od financijske imovine i zaduživanja te ukupnih izdataka za financijsku imovinu i otplate zajmova. Pritom su ukupni primici od financijske imovine i zaduživanja planirani u iznosu od 42,0 milijarde kuna, a ukupni izdaci za financijsku imovinu i otplate zajmova u iznosu od 33,7 milijardi kuna. Zatvarajuća stavka između ukupnih primitaka od financijske imovine i zaduživanja, ukupnih izdataka za financijsku imovinu i otplate zajmova te ukupnog manjka državnog proračuna u 2022. godini jesu prijenos depozita iz prethodne godine u iznosu od 16,3 milijarde kuna te planirani prijenos depozita u narednu godinu u iznosu od 15,2 milijarde kuna.</w:t>
      </w:r>
    </w:p>
    <w:p w:rsidR="00362A8C" w:rsidRDefault="00362A8C" w:rsidP="00362A8C">
      <w:pPr>
        <w:jc w:val="both"/>
        <w:rPr>
          <w:lang w:val="hr-HR"/>
        </w:rPr>
      </w:pPr>
      <w:r w:rsidRPr="00931609">
        <w:rPr>
          <w:lang w:val="hr-HR"/>
        </w:rPr>
        <w:t xml:space="preserve">U strukturi ukupnih primitaka od financijske imovine i zaduživanja u 2022. godini najznačajniji dio zauzimaju primici od izdanih vrijednosnih papira i to s iznosom od 32,0 milijarde kuna koji se u cijelosti odnose na zaduživanje putem obveznica te primici od zaduživanja inozemnim i domaćim kreditima i zajmovima u iznosu od 8,6 milijardi kuna. </w:t>
      </w:r>
      <w:r>
        <w:rPr>
          <w:lang w:val="hr-HR"/>
        </w:rPr>
        <w:t>Preostali iznos</w:t>
      </w:r>
      <w:r w:rsidRPr="00931609">
        <w:rPr>
          <w:lang w:val="hr-HR"/>
        </w:rPr>
        <w:t xml:space="preserve"> planiranih primitaka odnosi se</w:t>
      </w:r>
      <w:r w:rsidRPr="00FA3FF2">
        <w:rPr>
          <w:lang w:val="hr-HR"/>
        </w:rPr>
        <w:t xml:space="preserve"> </w:t>
      </w:r>
      <w:r>
        <w:rPr>
          <w:lang w:val="hr-HR"/>
        </w:rPr>
        <w:t>u najvećoj mjeri</w:t>
      </w:r>
      <w:r w:rsidRPr="00931609">
        <w:rPr>
          <w:lang w:val="hr-HR"/>
        </w:rPr>
        <w:t xml:space="preserve"> na primitke od povrata glavnica danih zajmova i depozita u iznosu od 1,1 milijardu</w:t>
      </w:r>
      <w:r>
        <w:rPr>
          <w:lang w:val="hr-HR"/>
        </w:rPr>
        <w:t xml:space="preserve"> kuna.</w:t>
      </w:r>
    </w:p>
    <w:p w:rsidR="00362A8C" w:rsidRPr="004650F9" w:rsidRDefault="00362A8C" w:rsidP="00362A8C">
      <w:pPr>
        <w:jc w:val="both"/>
        <w:rPr>
          <w:lang w:val="hr-HR"/>
        </w:rPr>
      </w:pPr>
      <w:r w:rsidRPr="00931609">
        <w:rPr>
          <w:lang w:val="hr-HR"/>
        </w:rPr>
        <w:t>U strukturi ukupnih izdataka za financijsku imovinu i otplate zajmova najveći iznos od 24,5 milijardi kuna čine izdaci za otplatu glavnice za izdane vrijednosne papire koji se u cijelosti odnosi na izdatke za otplatu glavnice za izdane obveznice. Izdaci za otplatu glavnice primljenih kredita i zajmova iznose 7,3 milijarde kuna, od čega se 6,2 milijarde kuna odnosi na otplatu glavnice primljenih kredita i zajmova od kreditnih i ostalih financijskih institucija izvan javnog sektora, 208,4 milijuna kuna na izdatke za otplatu glavnice primljenih kredita i zajmova od kreditnih i ostalih financijskih institucija u javnom sektoru</w:t>
      </w:r>
      <w:r>
        <w:rPr>
          <w:lang w:val="hr-HR"/>
        </w:rPr>
        <w:t xml:space="preserve"> te </w:t>
      </w:r>
      <w:r w:rsidRPr="00931609">
        <w:rPr>
          <w:lang w:val="hr-HR"/>
        </w:rPr>
        <w:t>859,5 milijuna kuna na otplatu glavnice primljenih kredita i zajmova od međunarodnih organizacija, institucija i tijela EU te inozemnih vlada</w:t>
      </w:r>
      <w:r>
        <w:rPr>
          <w:lang w:val="hr-HR"/>
        </w:rPr>
        <w:t xml:space="preserve">. </w:t>
      </w:r>
      <w:r w:rsidRPr="00931609">
        <w:rPr>
          <w:lang w:val="hr-HR"/>
        </w:rPr>
        <w:t>Planirana sredstva za izdatke za dane zajmove i depozite iznose 1,9 milijardi kuna, dok na izdatke za dionice i udjele u glavnici otpada 103,3 milijuna kuna.</w:t>
      </w:r>
    </w:p>
    <w:p w:rsidR="00362A8C" w:rsidRPr="00362A8C" w:rsidRDefault="00362A8C" w:rsidP="00362A8C">
      <w:pPr>
        <w:jc w:val="both"/>
        <w:rPr>
          <w:lang w:val="hr-HR"/>
        </w:rPr>
      </w:pPr>
      <w:r w:rsidRPr="00931609">
        <w:rPr>
          <w:lang w:val="hr-HR"/>
        </w:rPr>
        <w:t>Kretanje ukupnog manjka državnog proračuna te kretanje ukupnih razina izdataka za financijsku imovinu i otplate zajmova će do kraja srednjoročnog razdoblja utjecati na razinu ukupnih primitaka od financijske imovine i zaduživanja. U 2023. godini planirani su primici od financijske imovine i zaduživanja u iznosu od 29,5 milijardi kuna i izdaci za financijsku imovinu i otplate zajmova u iznosu od 28,2 milijarde kuna, dok su u 2024. godini planirani primici od financijske imovine i zaduživanja u iznosu od 30,0 milijardi kuna, a izdaci za financijsku imovinu i otplate zajmova u iznosu od 28,5 milijardi kuna.</w:t>
      </w:r>
    </w:p>
    <w:p w:rsidR="00362A8C" w:rsidRPr="0080627D" w:rsidRDefault="00362A8C" w:rsidP="00362A8C">
      <w:pPr>
        <w:spacing w:after="0" w:line="240" w:lineRule="auto"/>
        <w:jc w:val="both"/>
        <w:rPr>
          <w:i/>
          <w:lang w:val="hr-HR"/>
        </w:rPr>
      </w:pPr>
      <w:r w:rsidRPr="0080627D">
        <w:rPr>
          <w:i/>
          <w:lang w:val="hr-HR"/>
        </w:rPr>
        <w:t xml:space="preserve">Tablica </w:t>
      </w:r>
      <w:r w:rsidRPr="0080627D">
        <w:rPr>
          <w:i/>
          <w:lang w:val="hr-HR"/>
        </w:rPr>
        <w:fldChar w:fldCharType="begin"/>
      </w:r>
      <w:r w:rsidRPr="0080627D">
        <w:rPr>
          <w:i/>
          <w:lang w:val="hr-HR"/>
        </w:rPr>
        <w:instrText xml:space="preserve"> SEQ Tablica \* ARABIC </w:instrText>
      </w:r>
      <w:r w:rsidRPr="0080627D">
        <w:rPr>
          <w:i/>
          <w:lang w:val="hr-HR"/>
        </w:rPr>
        <w:fldChar w:fldCharType="separate"/>
      </w:r>
      <w:r w:rsidR="002A3B08">
        <w:rPr>
          <w:i/>
          <w:noProof/>
          <w:lang w:val="hr-HR"/>
        </w:rPr>
        <w:t>9</w:t>
      </w:r>
      <w:r w:rsidRPr="0080627D">
        <w:rPr>
          <w:i/>
          <w:lang w:val="hr-HR"/>
        </w:rPr>
        <w:fldChar w:fldCharType="end"/>
      </w:r>
      <w:r>
        <w:rPr>
          <w:i/>
          <w:lang w:val="hr-HR"/>
        </w:rPr>
        <w:t>1</w:t>
      </w:r>
      <w:r w:rsidRPr="0080627D">
        <w:rPr>
          <w:i/>
          <w:lang w:val="hr-HR"/>
        </w:rPr>
        <w:t>: Račun prihoda, rashoda i financiranja državnog proračuna</w:t>
      </w:r>
    </w:p>
    <w:p w:rsidR="00362A8C" w:rsidRPr="00665951" w:rsidRDefault="00362A8C" w:rsidP="00362A8C">
      <w:pPr>
        <w:spacing w:after="0" w:line="240" w:lineRule="auto"/>
        <w:jc w:val="both"/>
        <w:rPr>
          <w:i/>
          <w:highlight w:val="yellow"/>
          <w:lang w:val="hr-HR"/>
        </w:rPr>
      </w:pPr>
      <w:r w:rsidRPr="0080627D">
        <w:rPr>
          <w:noProof/>
          <w:lang w:val="hr-HR" w:eastAsia="hr-HR"/>
        </w:rPr>
        <w:drawing>
          <wp:inline distT="0" distB="0" distL="0" distR="0" wp14:anchorId="0CF7C390" wp14:editId="181621CA">
            <wp:extent cx="5760720" cy="1688310"/>
            <wp:effectExtent l="0" t="0" r="0" b="762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60720" cy="1688310"/>
                    </a:xfrm>
                    <a:prstGeom prst="rect">
                      <a:avLst/>
                    </a:prstGeom>
                    <a:noFill/>
                    <a:ln>
                      <a:noFill/>
                    </a:ln>
                  </pic:spPr>
                </pic:pic>
              </a:graphicData>
            </a:graphic>
          </wp:inline>
        </w:drawing>
      </w:r>
    </w:p>
    <w:p w:rsidR="00362A8C" w:rsidRPr="006730D1" w:rsidRDefault="00362A8C" w:rsidP="00362A8C">
      <w:pPr>
        <w:spacing w:after="0"/>
        <w:rPr>
          <w:i/>
          <w:sz w:val="20"/>
          <w:lang w:val="hr-HR"/>
        </w:rPr>
      </w:pPr>
      <w:r w:rsidRPr="0080627D">
        <w:rPr>
          <w:i/>
          <w:sz w:val="20"/>
          <w:lang w:val="hr-HR"/>
        </w:rPr>
        <w:t>Izvor: Ministarstvo financija</w:t>
      </w:r>
    </w:p>
    <w:p w:rsidR="00306477" w:rsidRDefault="00306477" w:rsidP="00B337AF">
      <w:pPr>
        <w:pStyle w:val="Heading1"/>
        <w:numPr>
          <w:ilvl w:val="0"/>
          <w:numId w:val="17"/>
        </w:numPr>
        <w:spacing w:before="0"/>
        <w:rPr>
          <w:lang w:val="hr-HR"/>
        </w:rPr>
      </w:pPr>
      <w:bookmarkStart w:id="35" w:name="_Toc445299434"/>
      <w:bookmarkStart w:id="36" w:name="_Toc86303478"/>
      <w:r w:rsidRPr="00F70B2A">
        <w:rPr>
          <w:lang w:val="hr-HR"/>
        </w:rPr>
        <w:lastRenderedPageBreak/>
        <w:t>STANJE DOSPJELIH NEPODMIRENIH OBVEZA PRORAČUNSKIH KORISNIKA DRŽAVNOG PRORAČUNA</w:t>
      </w:r>
      <w:bookmarkEnd w:id="35"/>
      <w:bookmarkEnd w:id="36"/>
    </w:p>
    <w:p w:rsidR="00B337AF" w:rsidRDefault="00B337AF" w:rsidP="00B337AF">
      <w:pPr>
        <w:spacing w:after="0"/>
        <w:rPr>
          <w:lang w:val="hr-HR"/>
        </w:rPr>
      </w:pPr>
    </w:p>
    <w:p w:rsidR="00B337AF" w:rsidRPr="00B337AF" w:rsidRDefault="00B337AF" w:rsidP="00B337AF">
      <w:pPr>
        <w:spacing w:after="0" w:line="240" w:lineRule="auto"/>
        <w:rPr>
          <w:rFonts w:ascii="Calibri" w:hAnsi="Calibri" w:cs="Calibri"/>
          <w:noProof/>
          <w:lang w:val="hr-HR" w:eastAsia="hr-HR"/>
        </w:rPr>
      </w:pPr>
      <w:r w:rsidRPr="00B337AF">
        <w:rPr>
          <w:rFonts w:ascii="Calibri" w:hAnsi="Calibri" w:cs="Calibri"/>
          <w:i/>
          <w:lang w:val="hr-HR"/>
        </w:rPr>
        <w:t xml:space="preserve">Tablica </w:t>
      </w:r>
      <w:r>
        <w:rPr>
          <w:rFonts w:ascii="Calibri" w:hAnsi="Calibri" w:cs="Calibri"/>
          <w:i/>
          <w:lang w:val="hr-HR"/>
        </w:rPr>
        <w:t>12:</w:t>
      </w:r>
      <w:r w:rsidRPr="00B337AF">
        <w:rPr>
          <w:rFonts w:ascii="Calibri" w:hAnsi="Calibri" w:cs="Calibri"/>
          <w:i/>
          <w:lang w:val="hr-HR"/>
        </w:rPr>
        <w:t xml:space="preserve"> Stanje dospjelih nepodmirenih obveza ministarstava i drugih državnih tijela na razini razdjela organizacijske klasifikacije</w:t>
      </w:r>
      <w:r w:rsidRPr="00B337AF">
        <w:rPr>
          <w:rFonts w:ascii="Calibri" w:hAnsi="Calibri" w:cs="Calibri"/>
        </w:rPr>
        <w:t xml:space="preserve">  </w:t>
      </w:r>
    </w:p>
    <w:p w:rsidR="00B337AF" w:rsidRPr="00B337AF" w:rsidRDefault="00B337AF" w:rsidP="00B337AF">
      <w:pPr>
        <w:spacing w:after="0" w:line="240" w:lineRule="auto"/>
        <w:rPr>
          <w:rFonts w:ascii="Calibri" w:hAnsi="Calibri" w:cs="Calibri"/>
        </w:rPr>
      </w:pPr>
      <w:r w:rsidRPr="00B337AF">
        <w:rPr>
          <w:noProof/>
          <w:lang w:val="hr-HR" w:eastAsia="hr-HR"/>
        </w:rPr>
        <w:drawing>
          <wp:inline distT="0" distB="0" distL="0" distR="0" wp14:anchorId="0AB87F49" wp14:editId="62F7C27F">
            <wp:extent cx="5562600" cy="7680691"/>
            <wp:effectExtent l="0" t="0" r="0" b="0"/>
            <wp:docPr id="13" name="Slika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581784" cy="7707179"/>
                    </a:xfrm>
                    <a:prstGeom prst="rect">
                      <a:avLst/>
                    </a:prstGeom>
                    <a:noFill/>
                    <a:ln>
                      <a:noFill/>
                    </a:ln>
                  </pic:spPr>
                </pic:pic>
              </a:graphicData>
            </a:graphic>
          </wp:inline>
        </w:drawing>
      </w:r>
    </w:p>
    <w:p w:rsidR="00B337AF" w:rsidRPr="00B337AF" w:rsidRDefault="00B337AF" w:rsidP="00B337AF">
      <w:pPr>
        <w:spacing w:after="0" w:line="240" w:lineRule="auto"/>
        <w:jc w:val="both"/>
        <w:rPr>
          <w:rFonts w:ascii="Calibri" w:hAnsi="Calibri" w:cs="Calibri"/>
          <w:i/>
          <w:lang w:val="hr-HR"/>
        </w:rPr>
      </w:pPr>
      <w:r w:rsidRPr="00B337AF">
        <w:rPr>
          <w:rFonts w:ascii="Calibri" w:hAnsi="Calibri" w:cs="Calibri"/>
          <w:i/>
          <w:lang w:val="hr-HR"/>
        </w:rPr>
        <w:t>Izvor: Ministarstvo financija</w:t>
      </w:r>
    </w:p>
    <w:p w:rsidR="00B337AF" w:rsidRPr="00B337AF" w:rsidRDefault="00B337AF" w:rsidP="00B337AF">
      <w:pPr>
        <w:spacing w:after="0" w:line="240" w:lineRule="auto"/>
        <w:rPr>
          <w:rFonts w:ascii="Calibri" w:hAnsi="Calibri" w:cs="Calibri"/>
          <w:i/>
          <w:lang w:val="hr-HR"/>
        </w:rPr>
      </w:pPr>
      <w:r w:rsidRPr="00B337AF">
        <w:rPr>
          <w:rFonts w:ascii="Calibri" w:hAnsi="Calibri" w:cs="Calibri"/>
          <w:i/>
          <w:lang w:val="hr-HR"/>
        </w:rPr>
        <w:lastRenderedPageBreak/>
        <w:t xml:space="preserve">Tablica </w:t>
      </w:r>
      <w:r>
        <w:rPr>
          <w:rFonts w:ascii="Calibri" w:hAnsi="Calibri" w:cs="Calibri"/>
          <w:i/>
          <w:lang w:val="hr-HR"/>
        </w:rPr>
        <w:t xml:space="preserve">13: </w:t>
      </w:r>
      <w:r w:rsidRPr="00B337AF">
        <w:rPr>
          <w:rFonts w:ascii="Calibri" w:hAnsi="Calibri" w:cs="Calibri"/>
          <w:i/>
          <w:lang w:val="hr-HR"/>
        </w:rPr>
        <w:t>Stanje dospjelih nepodmirenih obveza izvanproračunskih korisnika</w:t>
      </w:r>
    </w:p>
    <w:p w:rsidR="00B337AF" w:rsidRPr="00B337AF" w:rsidRDefault="00B337AF" w:rsidP="00B337AF">
      <w:pPr>
        <w:spacing w:after="0" w:line="240" w:lineRule="auto"/>
        <w:jc w:val="both"/>
        <w:rPr>
          <w:rFonts w:ascii="Calibri" w:hAnsi="Calibri" w:cs="Calibri"/>
          <w:i/>
          <w:lang w:val="hr-HR"/>
        </w:rPr>
      </w:pPr>
      <w:r w:rsidRPr="00B337AF">
        <w:rPr>
          <w:noProof/>
          <w:lang w:val="hr-HR" w:eastAsia="hr-HR"/>
        </w:rPr>
        <w:drawing>
          <wp:inline distT="0" distB="0" distL="0" distR="0" wp14:anchorId="55ED7E11" wp14:editId="130A3CA7">
            <wp:extent cx="5760720" cy="2730564"/>
            <wp:effectExtent l="0" t="0" r="0" b="0"/>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60720" cy="2730564"/>
                    </a:xfrm>
                    <a:prstGeom prst="rect">
                      <a:avLst/>
                    </a:prstGeom>
                    <a:noFill/>
                    <a:ln>
                      <a:noFill/>
                    </a:ln>
                  </pic:spPr>
                </pic:pic>
              </a:graphicData>
            </a:graphic>
          </wp:inline>
        </w:drawing>
      </w:r>
    </w:p>
    <w:p w:rsidR="00B337AF" w:rsidRPr="00B337AF" w:rsidRDefault="00B337AF" w:rsidP="00B337AF">
      <w:pPr>
        <w:spacing w:after="0" w:line="240" w:lineRule="auto"/>
        <w:jc w:val="both"/>
        <w:rPr>
          <w:rFonts w:ascii="Calibri" w:hAnsi="Calibri" w:cs="Calibri"/>
          <w:i/>
          <w:lang w:val="hr-HR"/>
        </w:rPr>
      </w:pPr>
      <w:r w:rsidRPr="00B337AF">
        <w:rPr>
          <w:rFonts w:ascii="Calibri" w:hAnsi="Calibri" w:cs="Calibri"/>
          <w:i/>
          <w:lang w:val="hr-HR"/>
        </w:rPr>
        <w:t>Izvor: Ministarstvo financija</w:t>
      </w:r>
    </w:p>
    <w:p w:rsidR="00B337AF" w:rsidRPr="00B337AF" w:rsidRDefault="00B337AF" w:rsidP="00B337AF">
      <w:pPr>
        <w:rPr>
          <w:lang w:val="hr-HR"/>
        </w:rPr>
      </w:pPr>
    </w:p>
    <w:p w:rsidR="00306477" w:rsidRPr="00F70B2A" w:rsidRDefault="00306477" w:rsidP="00306477">
      <w:pPr>
        <w:rPr>
          <w:sz w:val="6"/>
          <w:szCs w:val="6"/>
          <w:lang w:val="hr-HR"/>
        </w:rPr>
      </w:pPr>
    </w:p>
    <w:p w:rsidR="00306477" w:rsidRPr="00F70B2A" w:rsidRDefault="00306477" w:rsidP="00695821">
      <w:pPr>
        <w:rPr>
          <w:lang w:val="hr-HR"/>
        </w:rPr>
      </w:pPr>
      <w:r w:rsidRPr="00F70B2A">
        <w:rPr>
          <w:lang w:val="hr-HR"/>
        </w:rPr>
        <w:br w:type="page"/>
      </w:r>
    </w:p>
    <w:p w:rsidR="00695821" w:rsidRPr="00F70B2A" w:rsidRDefault="00695821" w:rsidP="0029489C">
      <w:pPr>
        <w:pStyle w:val="Heading1"/>
        <w:numPr>
          <w:ilvl w:val="0"/>
          <w:numId w:val="17"/>
        </w:numPr>
        <w:rPr>
          <w:lang w:val="hr-HR"/>
        </w:rPr>
      </w:pPr>
      <w:bookmarkStart w:id="37" w:name="_Toc86303479"/>
      <w:r w:rsidRPr="00F70B2A">
        <w:rPr>
          <w:lang w:val="hr-HR"/>
        </w:rPr>
        <w:lastRenderedPageBreak/>
        <w:t>PROCJENA UKUPNOG MANJKA</w:t>
      </w:r>
      <w:r w:rsidR="003052F1" w:rsidRPr="00F70B2A">
        <w:rPr>
          <w:lang w:val="hr-HR"/>
        </w:rPr>
        <w:t>/VIŠKA</w:t>
      </w:r>
      <w:r w:rsidRPr="00F70B2A">
        <w:rPr>
          <w:lang w:val="hr-HR"/>
        </w:rPr>
        <w:t xml:space="preserve"> OPĆE DRŽAVE</w:t>
      </w:r>
      <w:bookmarkEnd w:id="37"/>
      <w:r w:rsidRPr="00F70B2A">
        <w:rPr>
          <w:lang w:val="hr-HR"/>
        </w:rPr>
        <w:t xml:space="preserve"> </w:t>
      </w:r>
    </w:p>
    <w:p w:rsidR="00695821" w:rsidRPr="00F70B2A" w:rsidRDefault="00695821" w:rsidP="00695821">
      <w:pPr>
        <w:rPr>
          <w:lang w:val="hr-HR"/>
        </w:rPr>
      </w:pPr>
    </w:p>
    <w:p w:rsidR="00F77610" w:rsidRPr="00EF4C37" w:rsidRDefault="00F77610" w:rsidP="00F77610">
      <w:pPr>
        <w:spacing w:after="120"/>
        <w:jc w:val="both"/>
        <w:rPr>
          <w:rFonts w:ascii="Calibri" w:hAnsi="Calibri"/>
          <w:lang w:val="hr-HR"/>
        </w:rPr>
      </w:pPr>
      <w:bookmarkStart w:id="38" w:name="_Toc445241799"/>
      <w:r w:rsidRPr="00470259">
        <w:rPr>
          <w:rFonts w:ascii="Calibri" w:hAnsi="Calibri"/>
          <w:lang w:val="hr-HR"/>
        </w:rPr>
        <w:t>U skladu s kretanjima prihoda i rashoda svih razina općeg proračuna, manjak općeg proračuna prema nacionalnoj metodologiji u 202</w:t>
      </w:r>
      <w:r w:rsidR="00470259" w:rsidRPr="00470259">
        <w:rPr>
          <w:rFonts w:ascii="Calibri" w:hAnsi="Calibri"/>
          <w:lang w:val="hr-HR"/>
        </w:rPr>
        <w:t>2</w:t>
      </w:r>
      <w:r w:rsidRPr="00470259">
        <w:rPr>
          <w:rFonts w:ascii="Calibri" w:hAnsi="Calibri"/>
          <w:lang w:val="hr-HR"/>
        </w:rPr>
        <w:t>. godini projicira se na razini od 1</w:t>
      </w:r>
      <w:r w:rsidR="00470259" w:rsidRPr="00470259">
        <w:rPr>
          <w:rFonts w:ascii="Calibri" w:hAnsi="Calibri"/>
          <w:lang w:val="hr-HR"/>
        </w:rPr>
        <w:t>1</w:t>
      </w:r>
      <w:r w:rsidRPr="00470259">
        <w:rPr>
          <w:rFonts w:ascii="Calibri" w:hAnsi="Calibri"/>
          <w:lang w:val="hr-HR"/>
        </w:rPr>
        <w:t>,</w:t>
      </w:r>
      <w:r w:rsidR="00470259" w:rsidRPr="00470259">
        <w:rPr>
          <w:rFonts w:ascii="Calibri" w:hAnsi="Calibri"/>
          <w:lang w:val="hr-HR"/>
        </w:rPr>
        <w:t>9</w:t>
      </w:r>
      <w:r w:rsidRPr="00470259">
        <w:rPr>
          <w:rFonts w:ascii="Calibri" w:hAnsi="Calibri"/>
          <w:lang w:val="hr-HR"/>
        </w:rPr>
        <w:t xml:space="preserve"> milijard</w:t>
      </w:r>
      <w:r w:rsidR="00470259" w:rsidRPr="00470259">
        <w:rPr>
          <w:rFonts w:ascii="Calibri" w:hAnsi="Calibri"/>
          <w:lang w:val="hr-HR"/>
        </w:rPr>
        <w:t>i</w:t>
      </w:r>
      <w:r w:rsidRPr="00470259">
        <w:rPr>
          <w:rFonts w:ascii="Calibri" w:hAnsi="Calibri"/>
          <w:lang w:val="hr-HR"/>
        </w:rPr>
        <w:t xml:space="preserve"> kuna ili </w:t>
      </w:r>
      <w:r w:rsidR="00470259" w:rsidRPr="00470259">
        <w:rPr>
          <w:rFonts w:ascii="Calibri" w:hAnsi="Calibri"/>
          <w:lang w:val="hr-HR"/>
        </w:rPr>
        <w:t>2,6</w:t>
      </w:r>
      <w:r w:rsidRPr="00470259">
        <w:rPr>
          <w:rFonts w:ascii="Calibri" w:hAnsi="Calibri"/>
          <w:lang w:val="hr-HR"/>
        </w:rPr>
        <w:t>% BDP-a. U 202</w:t>
      </w:r>
      <w:r w:rsidR="00470259" w:rsidRPr="00470259">
        <w:rPr>
          <w:rFonts w:ascii="Calibri" w:hAnsi="Calibri"/>
          <w:lang w:val="hr-HR"/>
        </w:rPr>
        <w:t>3</w:t>
      </w:r>
      <w:r w:rsidRPr="00470259">
        <w:rPr>
          <w:rFonts w:ascii="Calibri" w:hAnsi="Calibri"/>
          <w:lang w:val="hr-HR"/>
        </w:rPr>
        <w:t xml:space="preserve">. projicira se manjak od </w:t>
      </w:r>
      <w:r w:rsidR="00470259" w:rsidRPr="00470259">
        <w:rPr>
          <w:rFonts w:ascii="Calibri" w:hAnsi="Calibri"/>
          <w:lang w:val="hr-HR"/>
        </w:rPr>
        <w:t>3,2 milijarde</w:t>
      </w:r>
      <w:r w:rsidRPr="00470259">
        <w:rPr>
          <w:rFonts w:ascii="Calibri" w:hAnsi="Calibri"/>
          <w:lang w:val="hr-HR"/>
        </w:rPr>
        <w:t xml:space="preserve"> kuna ili </w:t>
      </w:r>
      <w:r w:rsidR="00470259" w:rsidRPr="00470259">
        <w:rPr>
          <w:rFonts w:ascii="Calibri" w:hAnsi="Calibri"/>
          <w:lang w:val="hr-HR"/>
        </w:rPr>
        <w:t>0,7</w:t>
      </w:r>
      <w:r w:rsidRPr="00470259">
        <w:rPr>
          <w:rFonts w:ascii="Calibri" w:hAnsi="Calibri"/>
          <w:lang w:val="hr-HR"/>
        </w:rPr>
        <w:t>% BDP-a, dok se u 202</w:t>
      </w:r>
      <w:r w:rsidR="00470259" w:rsidRPr="00470259">
        <w:rPr>
          <w:rFonts w:ascii="Calibri" w:hAnsi="Calibri"/>
          <w:lang w:val="hr-HR"/>
        </w:rPr>
        <w:t>4</w:t>
      </w:r>
      <w:r w:rsidRPr="00470259">
        <w:rPr>
          <w:rFonts w:ascii="Calibri" w:hAnsi="Calibri"/>
          <w:lang w:val="hr-HR"/>
        </w:rPr>
        <w:t xml:space="preserve">. godini očekuje manjak od </w:t>
      </w:r>
      <w:r w:rsidR="00470259" w:rsidRPr="00470259">
        <w:rPr>
          <w:rFonts w:ascii="Calibri" w:hAnsi="Calibri"/>
          <w:lang w:val="hr-HR"/>
        </w:rPr>
        <w:t>775</w:t>
      </w:r>
      <w:r w:rsidRPr="00470259">
        <w:rPr>
          <w:rFonts w:ascii="Calibri" w:hAnsi="Calibri"/>
          <w:lang w:val="hr-HR"/>
        </w:rPr>
        <w:t xml:space="preserve"> </w:t>
      </w:r>
      <w:r w:rsidR="00470259" w:rsidRPr="00470259">
        <w:rPr>
          <w:rFonts w:ascii="Calibri" w:hAnsi="Calibri"/>
          <w:lang w:val="hr-HR"/>
        </w:rPr>
        <w:t>milijuna</w:t>
      </w:r>
      <w:r w:rsidRPr="00470259">
        <w:rPr>
          <w:rFonts w:ascii="Calibri" w:hAnsi="Calibri"/>
          <w:lang w:val="hr-HR"/>
        </w:rPr>
        <w:t xml:space="preserve"> kuna ili 0,</w:t>
      </w:r>
      <w:r w:rsidR="00470259" w:rsidRPr="00470259">
        <w:rPr>
          <w:rFonts w:ascii="Calibri" w:hAnsi="Calibri"/>
          <w:lang w:val="hr-HR"/>
        </w:rPr>
        <w:t>2</w:t>
      </w:r>
      <w:r w:rsidRPr="00470259">
        <w:rPr>
          <w:rFonts w:ascii="Calibri" w:hAnsi="Calibri"/>
          <w:lang w:val="hr-HR"/>
        </w:rPr>
        <w:t>% BDP-a. Pritom se za državni proračun u 202</w:t>
      </w:r>
      <w:r w:rsidR="00470259" w:rsidRPr="00470259">
        <w:rPr>
          <w:rFonts w:ascii="Calibri" w:hAnsi="Calibri"/>
          <w:lang w:val="hr-HR"/>
        </w:rPr>
        <w:t>2</w:t>
      </w:r>
      <w:r w:rsidRPr="00470259">
        <w:rPr>
          <w:rFonts w:ascii="Calibri" w:hAnsi="Calibri"/>
          <w:lang w:val="hr-HR"/>
        </w:rPr>
        <w:t>. očekuje manjak od 2,</w:t>
      </w:r>
      <w:r w:rsidR="00470259" w:rsidRPr="00470259">
        <w:rPr>
          <w:rFonts w:ascii="Calibri" w:hAnsi="Calibri"/>
          <w:lang w:val="hr-HR"/>
        </w:rPr>
        <w:t>1</w:t>
      </w:r>
      <w:r w:rsidRPr="00470259">
        <w:rPr>
          <w:rFonts w:ascii="Calibri" w:hAnsi="Calibri"/>
          <w:lang w:val="hr-HR"/>
        </w:rPr>
        <w:t>% BDP-a, u 202</w:t>
      </w:r>
      <w:r w:rsidR="00470259" w:rsidRPr="00470259">
        <w:rPr>
          <w:rFonts w:ascii="Calibri" w:hAnsi="Calibri"/>
          <w:lang w:val="hr-HR"/>
        </w:rPr>
        <w:t>3</w:t>
      </w:r>
      <w:r w:rsidRPr="00470259">
        <w:rPr>
          <w:rFonts w:ascii="Calibri" w:hAnsi="Calibri"/>
          <w:lang w:val="hr-HR"/>
        </w:rPr>
        <w:t xml:space="preserve">. od </w:t>
      </w:r>
      <w:r w:rsidR="00470259" w:rsidRPr="00470259">
        <w:rPr>
          <w:rFonts w:ascii="Calibri" w:hAnsi="Calibri"/>
          <w:lang w:val="hr-HR"/>
        </w:rPr>
        <w:t>0,4</w:t>
      </w:r>
      <w:r w:rsidRPr="00470259">
        <w:rPr>
          <w:rFonts w:ascii="Calibri" w:hAnsi="Calibri"/>
          <w:lang w:val="hr-HR"/>
        </w:rPr>
        <w:t>% BDP-a, dok se u 202</w:t>
      </w:r>
      <w:r w:rsidR="00470259" w:rsidRPr="00470259">
        <w:rPr>
          <w:rFonts w:ascii="Calibri" w:hAnsi="Calibri"/>
          <w:lang w:val="hr-HR"/>
        </w:rPr>
        <w:t>4</w:t>
      </w:r>
      <w:r w:rsidRPr="00470259">
        <w:rPr>
          <w:rFonts w:ascii="Calibri" w:hAnsi="Calibri"/>
          <w:lang w:val="hr-HR"/>
        </w:rPr>
        <w:t xml:space="preserve">. godini očekuje </w:t>
      </w:r>
      <w:r w:rsidR="00470259" w:rsidRPr="00470259">
        <w:rPr>
          <w:rFonts w:ascii="Calibri" w:hAnsi="Calibri"/>
          <w:lang w:val="hr-HR"/>
        </w:rPr>
        <w:t>višak</w:t>
      </w:r>
      <w:r w:rsidRPr="00470259">
        <w:rPr>
          <w:rFonts w:ascii="Calibri" w:hAnsi="Calibri"/>
          <w:lang w:val="hr-HR"/>
        </w:rPr>
        <w:t xml:space="preserve"> državnog proračuna od </w:t>
      </w:r>
      <w:r w:rsidR="00470259" w:rsidRPr="00470259">
        <w:rPr>
          <w:rFonts w:ascii="Calibri" w:hAnsi="Calibri"/>
          <w:lang w:val="hr-HR"/>
        </w:rPr>
        <w:t>0,2</w:t>
      </w:r>
      <w:r w:rsidR="007F7A61">
        <w:rPr>
          <w:rFonts w:ascii="Calibri" w:hAnsi="Calibri"/>
          <w:lang w:val="hr-HR"/>
        </w:rPr>
        <w:t>% BDP-</w:t>
      </w:r>
      <w:r w:rsidRPr="00470259">
        <w:rPr>
          <w:rFonts w:ascii="Calibri" w:hAnsi="Calibri"/>
          <w:lang w:val="hr-HR"/>
        </w:rPr>
        <w:t xml:space="preserve">a. </w:t>
      </w:r>
      <w:r w:rsidRPr="004B0910">
        <w:rPr>
          <w:rFonts w:ascii="Calibri" w:hAnsi="Calibri"/>
          <w:lang w:val="hr-HR"/>
        </w:rPr>
        <w:t>Izvanproraču</w:t>
      </w:r>
      <w:r w:rsidR="004B0910" w:rsidRPr="004B0910">
        <w:rPr>
          <w:rFonts w:ascii="Calibri" w:hAnsi="Calibri"/>
          <w:lang w:val="hr-HR"/>
        </w:rPr>
        <w:t>nski korisnici će u 2022</w:t>
      </w:r>
      <w:r w:rsidRPr="004B0910">
        <w:rPr>
          <w:rFonts w:ascii="Calibri" w:hAnsi="Calibri"/>
          <w:lang w:val="hr-HR"/>
        </w:rPr>
        <w:t xml:space="preserve">. </w:t>
      </w:r>
      <w:r w:rsidR="004B0910" w:rsidRPr="004B0910">
        <w:rPr>
          <w:rFonts w:ascii="Calibri" w:hAnsi="Calibri"/>
          <w:lang w:val="hr-HR"/>
        </w:rPr>
        <w:t>imati uravnoteženi proračun, dok se u 2023. i 2024</w:t>
      </w:r>
      <w:r w:rsidRPr="004B0910">
        <w:rPr>
          <w:rFonts w:ascii="Calibri" w:hAnsi="Calibri"/>
          <w:lang w:val="hr-HR"/>
        </w:rPr>
        <w:t>. godini očekuje višak od 0,</w:t>
      </w:r>
      <w:r w:rsidR="004B0910" w:rsidRPr="004B0910">
        <w:rPr>
          <w:rFonts w:ascii="Calibri" w:hAnsi="Calibri"/>
          <w:lang w:val="hr-HR"/>
        </w:rPr>
        <w:t>4</w:t>
      </w:r>
      <w:r w:rsidRPr="004B0910">
        <w:rPr>
          <w:rFonts w:ascii="Calibri" w:hAnsi="Calibri"/>
          <w:lang w:val="hr-HR"/>
        </w:rPr>
        <w:t>% BDP-a odnosno 0,</w:t>
      </w:r>
      <w:r w:rsidR="004B0910" w:rsidRPr="004B0910">
        <w:rPr>
          <w:rFonts w:ascii="Calibri" w:hAnsi="Calibri"/>
          <w:lang w:val="hr-HR"/>
        </w:rPr>
        <w:t>2</w:t>
      </w:r>
      <w:r w:rsidRPr="00EF4C37">
        <w:rPr>
          <w:rFonts w:ascii="Calibri" w:hAnsi="Calibri"/>
          <w:lang w:val="hr-HR"/>
        </w:rPr>
        <w:t>% BDP-a. Jedinice lokalne i područne (regionalne) samouprave zabilježit će manjak od 0,</w:t>
      </w:r>
      <w:r w:rsidR="00EF4C37" w:rsidRPr="00EF4C37">
        <w:rPr>
          <w:rFonts w:ascii="Calibri" w:hAnsi="Calibri"/>
          <w:lang w:val="hr-HR"/>
        </w:rPr>
        <w:t>6% BDP-a u razdoblju od 2022. do 2024. godine.</w:t>
      </w:r>
    </w:p>
    <w:p w:rsidR="00F77610" w:rsidRDefault="00F77610" w:rsidP="00F77610">
      <w:pPr>
        <w:spacing w:after="120"/>
        <w:jc w:val="both"/>
        <w:rPr>
          <w:rFonts w:ascii="Calibri" w:hAnsi="Calibri"/>
          <w:lang w:val="hr-HR"/>
        </w:rPr>
      </w:pPr>
      <w:r w:rsidRPr="00EF4C37">
        <w:rPr>
          <w:rFonts w:ascii="Calibri" w:hAnsi="Calibri"/>
          <w:lang w:val="hr-HR"/>
        </w:rPr>
        <w:t>Kada se ovim veličinama pridodaju prilagodbe nacionalne metodologije računskog plana metodologiji ESA 2010 te projekcije manjka/viška trgovačkih društava i ostalih pravnih osoba koje su statistički uključene u sektor opće države, očekuje se da će planirani manjak općeg pror</w:t>
      </w:r>
      <w:r w:rsidR="00EF4C37" w:rsidRPr="00EF4C37">
        <w:rPr>
          <w:rFonts w:ascii="Calibri" w:hAnsi="Calibri"/>
          <w:lang w:val="hr-HR"/>
        </w:rPr>
        <w:t>ačuna iznositi 2,6% BDP-a u 2022. godini. U 2023</w:t>
      </w:r>
      <w:r w:rsidRPr="00EF4C37">
        <w:rPr>
          <w:rFonts w:ascii="Calibri" w:hAnsi="Calibri"/>
          <w:lang w:val="hr-HR"/>
        </w:rPr>
        <w:t>. projiciran je manjak p</w:t>
      </w:r>
      <w:r w:rsidR="00EF4C37" w:rsidRPr="00EF4C37">
        <w:rPr>
          <w:rFonts w:ascii="Calibri" w:hAnsi="Calibri"/>
          <w:lang w:val="hr-HR"/>
        </w:rPr>
        <w:t>roračuna od 2,4% BDP-a, a u 2024</w:t>
      </w:r>
      <w:r w:rsidRPr="00EF4C37">
        <w:rPr>
          <w:rFonts w:ascii="Calibri" w:hAnsi="Calibri"/>
          <w:lang w:val="hr-HR"/>
        </w:rPr>
        <w:t>. godini očekuje se manjak od 1,</w:t>
      </w:r>
      <w:r w:rsidR="00EF4C37" w:rsidRPr="00EF4C37">
        <w:rPr>
          <w:rFonts w:ascii="Calibri" w:hAnsi="Calibri"/>
          <w:lang w:val="hr-HR"/>
        </w:rPr>
        <w:t>9</w:t>
      </w:r>
      <w:r w:rsidRPr="00EF4C37">
        <w:rPr>
          <w:rFonts w:ascii="Calibri" w:hAnsi="Calibri"/>
          <w:lang w:val="hr-HR"/>
        </w:rPr>
        <w:t>% BDP-a.</w:t>
      </w:r>
    </w:p>
    <w:p w:rsidR="00695821" w:rsidRPr="00F70B2A" w:rsidRDefault="00DB0827" w:rsidP="00533F79">
      <w:pPr>
        <w:spacing w:before="240" w:after="0" w:line="240" w:lineRule="auto"/>
        <w:rPr>
          <w:i/>
          <w:lang w:val="hr-HR"/>
        </w:rPr>
      </w:pPr>
      <w:r w:rsidRPr="0058494D">
        <w:rPr>
          <w:i/>
          <w:lang w:val="hr-HR"/>
        </w:rPr>
        <w:t xml:space="preserve">Tablica </w:t>
      </w:r>
      <w:r w:rsidR="00533F79" w:rsidRPr="0058494D">
        <w:rPr>
          <w:i/>
          <w:lang w:val="hr-HR"/>
        </w:rPr>
        <w:fldChar w:fldCharType="begin"/>
      </w:r>
      <w:r w:rsidR="00533F79" w:rsidRPr="0058494D">
        <w:rPr>
          <w:i/>
          <w:lang w:val="hr-HR"/>
        </w:rPr>
        <w:instrText xml:space="preserve"> SEQ Tablica \* ARABIC </w:instrText>
      </w:r>
      <w:r w:rsidR="00533F79" w:rsidRPr="0058494D">
        <w:rPr>
          <w:i/>
          <w:lang w:val="hr-HR"/>
        </w:rPr>
        <w:fldChar w:fldCharType="separate"/>
      </w:r>
      <w:r w:rsidR="002A3B08">
        <w:rPr>
          <w:i/>
          <w:noProof/>
          <w:lang w:val="hr-HR"/>
        </w:rPr>
        <w:t>10</w:t>
      </w:r>
      <w:r w:rsidR="00533F79" w:rsidRPr="0058494D">
        <w:rPr>
          <w:i/>
          <w:lang w:val="hr-HR"/>
        </w:rPr>
        <w:fldChar w:fldCharType="end"/>
      </w:r>
      <w:r w:rsidR="00B337AF">
        <w:rPr>
          <w:i/>
          <w:lang w:val="hr-HR"/>
        </w:rPr>
        <w:t>4</w:t>
      </w:r>
      <w:r w:rsidR="00695821" w:rsidRPr="0058494D">
        <w:rPr>
          <w:i/>
          <w:lang w:val="hr-HR"/>
        </w:rPr>
        <w:t>: Procjena ukupnog manjka/viška opće države</w:t>
      </w:r>
      <w:bookmarkEnd w:id="38"/>
    </w:p>
    <w:p w:rsidR="00E65518" w:rsidRDefault="007F7A61" w:rsidP="00E65518">
      <w:pPr>
        <w:spacing w:before="240" w:after="0"/>
        <w:jc w:val="both"/>
        <w:rPr>
          <w:i/>
          <w:sz w:val="20"/>
          <w:lang w:val="hr-HR"/>
        </w:rPr>
      </w:pPr>
      <w:r w:rsidRPr="007F7A61">
        <w:rPr>
          <w:noProof/>
          <w:lang w:val="hr-HR" w:eastAsia="hr-HR"/>
        </w:rPr>
        <w:drawing>
          <wp:inline distT="0" distB="0" distL="0" distR="0">
            <wp:extent cx="5760720" cy="4475776"/>
            <wp:effectExtent l="0" t="0" r="0" b="127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60720" cy="4475776"/>
                    </a:xfrm>
                    <a:prstGeom prst="rect">
                      <a:avLst/>
                    </a:prstGeom>
                    <a:noFill/>
                    <a:ln>
                      <a:noFill/>
                    </a:ln>
                  </pic:spPr>
                </pic:pic>
              </a:graphicData>
            </a:graphic>
          </wp:inline>
        </w:drawing>
      </w:r>
    </w:p>
    <w:p w:rsidR="00695821" w:rsidRPr="00F70B2A" w:rsidRDefault="00695821" w:rsidP="00E65518">
      <w:pPr>
        <w:jc w:val="both"/>
        <w:rPr>
          <w:i/>
          <w:sz w:val="20"/>
          <w:lang w:val="hr-HR"/>
        </w:rPr>
      </w:pPr>
      <w:r w:rsidRPr="00F70B2A">
        <w:rPr>
          <w:i/>
          <w:sz w:val="20"/>
          <w:lang w:val="hr-HR"/>
        </w:rPr>
        <w:t>Izvor: Ministarstvo financija</w:t>
      </w:r>
    </w:p>
    <w:p w:rsidR="002838D9" w:rsidRDefault="002838D9" w:rsidP="002A12E4">
      <w:pPr>
        <w:jc w:val="both"/>
        <w:rPr>
          <w:lang w:val="hr-HR"/>
        </w:rPr>
      </w:pPr>
    </w:p>
    <w:p w:rsidR="004A1742" w:rsidRPr="005569FD" w:rsidRDefault="005569FD" w:rsidP="002A12E4">
      <w:pPr>
        <w:jc w:val="both"/>
        <w:rPr>
          <w:lang w:val="hr-HR"/>
        </w:rPr>
      </w:pPr>
      <w:r w:rsidRPr="005569FD">
        <w:rPr>
          <w:lang w:val="hr-HR"/>
        </w:rPr>
        <w:lastRenderedPageBreak/>
        <w:t>U</w:t>
      </w:r>
      <w:r w:rsidR="0034496D" w:rsidRPr="005569FD">
        <w:rPr>
          <w:lang w:val="hr-HR"/>
        </w:rPr>
        <w:t xml:space="preserve"> skladu s kretanjem </w:t>
      </w:r>
      <w:r w:rsidR="00B35390" w:rsidRPr="005569FD">
        <w:rPr>
          <w:lang w:val="hr-HR"/>
        </w:rPr>
        <w:t>salda proračuna opće države</w:t>
      </w:r>
      <w:r w:rsidR="003C4490" w:rsidRPr="005569FD">
        <w:rPr>
          <w:lang w:val="hr-HR"/>
        </w:rPr>
        <w:t xml:space="preserve"> očekuje se </w:t>
      </w:r>
      <w:r w:rsidR="0034496D" w:rsidRPr="005569FD">
        <w:rPr>
          <w:lang w:val="hr-HR"/>
        </w:rPr>
        <w:t>smanjenje udjela javnog duga u BDP-u</w:t>
      </w:r>
      <w:r w:rsidR="003C4490" w:rsidRPr="005569FD">
        <w:rPr>
          <w:lang w:val="hr-HR"/>
        </w:rPr>
        <w:t xml:space="preserve"> po prosječnoj stopi od 2</w:t>
      </w:r>
      <w:r w:rsidRPr="005569FD">
        <w:rPr>
          <w:lang w:val="hr-HR"/>
        </w:rPr>
        <w:t>,6</w:t>
      </w:r>
      <w:r w:rsidR="003C4490" w:rsidRPr="005569FD">
        <w:rPr>
          <w:lang w:val="hr-HR"/>
        </w:rPr>
        <w:t xml:space="preserve"> postotna boda u nadolazećem trogodišnjem razdoblju, odnosno </w:t>
      </w:r>
      <w:r w:rsidR="00F77610" w:rsidRPr="005569FD">
        <w:rPr>
          <w:lang w:val="hr-HR"/>
        </w:rPr>
        <w:t>s</w:t>
      </w:r>
      <w:r w:rsidR="00B9094E" w:rsidRPr="005569FD">
        <w:rPr>
          <w:lang w:val="hr-HR"/>
        </w:rPr>
        <w:t xml:space="preserve"> </w:t>
      </w:r>
      <w:r>
        <w:rPr>
          <w:lang w:val="hr-HR"/>
        </w:rPr>
        <w:t>80,7</w:t>
      </w:r>
      <w:r w:rsidR="00663D69" w:rsidRPr="005569FD">
        <w:rPr>
          <w:lang w:val="hr-HR"/>
        </w:rPr>
        <w:t>%</w:t>
      </w:r>
      <w:r w:rsidR="00B9094E" w:rsidRPr="005569FD">
        <w:rPr>
          <w:lang w:val="hr-HR"/>
        </w:rPr>
        <w:t xml:space="preserve"> BDP-a u 20</w:t>
      </w:r>
      <w:r w:rsidR="00870D4F" w:rsidRPr="005569FD">
        <w:rPr>
          <w:lang w:val="hr-HR"/>
        </w:rPr>
        <w:t>2</w:t>
      </w:r>
      <w:r w:rsidRPr="005569FD">
        <w:rPr>
          <w:lang w:val="hr-HR"/>
        </w:rPr>
        <w:t>2</w:t>
      </w:r>
      <w:r w:rsidR="00F77610" w:rsidRPr="005569FD">
        <w:rPr>
          <w:lang w:val="hr-HR"/>
        </w:rPr>
        <w:t xml:space="preserve">. na </w:t>
      </w:r>
      <w:r>
        <w:rPr>
          <w:lang w:val="hr-HR"/>
        </w:rPr>
        <w:t>78</w:t>
      </w:r>
      <w:r w:rsidR="00663D69" w:rsidRPr="005569FD">
        <w:rPr>
          <w:lang w:val="hr-HR"/>
        </w:rPr>
        <w:t>%</w:t>
      </w:r>
      <w:r w:rsidR="00A618FA" w:rsidRPr="005569FD">
        <w:rPr>
          <w:lang w:val="hr-HR"/>
        </w:rPr>
        <w:t xml:space="preserve"> </w:t>
      </w:r>
      <w:r w:rsidR="0034496D" w:rsidRPr="005569FD">
        <w:rPr>
          <w:lang w:val="hr-HR"/>
        </w:rPr>
        <w:t>BDP-a u 20</w:t>
      </w:r>
      <w:r w:rsidR="00B9094E" w:rsidRPr="005569FD">
        <w:rPr>
          <w:lang w:val="hr-HR"/>
        </w:rPr>
        <w:t>2</w:t>
      </w:r>
      <w:r w:rsidRPr="005569FD">
        <w:rPr>
          <w:lang w:val="hr-HR"/>
        </w:rPr>
        <w:t>3</w:t>
      </w:r>
      <w:r w:rsidR="0034496D" w:rsidRPr="005569FD">
        <w:rPr>
          <w:lang w:val="hr-HR"/>
        </w:rPr>
        <w:t xml:space="preserve">. te </w:t>
      </w:r>
      <w:r>
        <w:rPr>
          <w:lang w:val="hr-HR"/>
        </w:rPr>
        <w:t>75,3</w:t>
      </w:r>
      <w:r w:rsidR="00663D69" w:rsidRPr="005569FD">
        <w:rPr>
          <w:lang w:val="hr-HR"/>
        </w:rPr>
        <w:t>%</w:t>
      </w:r>
      <w:r w:rsidR="00A618FA" w:rsidRPr="005569FD">
        <w:rPr>
          <w:lang w:val="hr-HR"/>
        </w:rPr>
        <w:t xml:space="preserve"> </w:t>
      </w:r>
      <w:r w:rsidR="0034496D" w:rsidRPr="005569FD">
        <w:rPr>
          <w:lang w:val="hr-HR"/>
        </w:rPr>
        <w:t>BDP-a u 202</w:t>
      </w:r>
      <w:r w:rsidRPr="005569FD">
        <w:rPr>
          <w:lang w:val="hr-HR"/>
        </w:rPr>
        <w:t>4</w:t>
      </w:r>
      <w:r w:rsidR="0034496D" w:rsidRPr="005569FD">
        <w:rPr>
          <w:lang w:val="hr-HR"/>
        </w:rPr>
        <w:t xml:space="preserve">. godini. </w:t>
      </w:r>
    </w:p>
    <w:p w:rsidR="0034496D" w:rsidRPr="005569FD" w:rsidRDefault="0034496D" w:rsidP="0034496D">
      <w:pPr>
        <w:spacing w:after="120"/>
        <w:jc w:val="both"/>
        <w:rPr>
          <w:i/>
          <w:lang w:val="hr-HR"/>
        </w:rPr>
      </w:pPr>
      <w:r w:rsidRPr="005569FD">
        <w:rPr>
          <w:i/>
          <w:lang w:val="hr-HR"/>
        </w:rPr>
        <w:t xml:space="preserve">Grafikon </w:t>
      </w:r>
      <w:r w:rsidRPr="005569FD">
        <w:rPr>
          <w:i/>
          <w:lang w:val="hr-HR"/>
        </w:rPr>
        <w:fldChar w:fldCharType="begin"/>
      </w:r>
      <w:r w:rsidRPr="005569FD">
        <w:rPr>
          <w:i/>
          <w:lang w:val="hr-HR"/>
        </w:rPr>
        <w:instrText xml:space="preserve"> SEQ Grafikon \* ARABIC </w:instrText>
      </w:r>
      <w:r w:rsidRPr="005569FD">
        <w:rPr>
          <w:i/>
          <w:lang w:val="hr-HR"/>
        </w:rPr>
        <w:fldChar w:fldCharType="separate"/>
      </w:r>
      <w:r w:rsidR="002A3B08">
        <w:rPr>
          <w:i/>
          <w:noProof/>
          <w:lang w:val="hr-HR"/>
        </w:rPr>
        <w:t>1</w:t>
      </w:r>
      <w:r w:rsidRPr="005569FD">
        <w:rPr>
          <w:i/>
          <w:lang w:val="hr-HR"/>
        </w:rPr>
        <w:fldChar w:fldCharType="end"/>
      </w:r>
      <w:r w:rsidRPr="005569FD">
        <w:rPr>
          <w:i/>
          <w:lang w:val="hr-HR"/>
        </w:rPr>
        <w:t>: Javni dug u razdoblju 201</w:t>
      </w:r>
      <w:r w:rsidR="00D124DE">
        <w:rPr>
          <w:i/>
          <w:lang w:val="hr-HR"/>
        </w:rPr>
        <w:t>5</w:t>
      </w:r>
      <w:r w:rsidRPr="005569FD">
        <w:rPr>
          <w:i/>
          <w:lang w:val="hr-HR"/>
        </w:rPr>
        <w:t>. – 202</w:t>
      </w:r>
      <w:r w:rsidR="005569FD" w:rsidRPr="005569FD">
        <w:rPr>
          <w:i/>
          <w:lang w:val="hr-HR"/>
        </w:rPr>
        <w:t>4</w:t>
      </w:r>
      <w:r w:rsidRPr="005569FD">
        <w:rPr>
          <w:i/>
          <w:lang w:val="hr-HR"/>
        </w:rPr>
        <w:t>.</w:t>
      </w:r>
    </w:p>
    <w:p w:rsidR="0034496D" w:rsidRPr="005569FD" w:rsidRDefault="00D124DE" w:rsidP="004A1742">
      <w:pPr>
        <w:spacing w:after="0"/>
        <w:jc w:val="both"/>
        <w:rPr>
          <w:lang w:val="hr-HR"/>
        </w:rPr>
      </w:pPr>
      <w:r>
        <w:rPr>
          <w:noProof/>
          <w:lang w:val="hr-HR" w:eastAsia="hr-HR"/>
        </w:rPr>
        <w:drawing>
          <wp:inline distT="0" distB="0" distL="0" distR="0" wp14:anchorId="5E1E3E8B">
            <wp:extent cx="6165850" cy="2863938"/>
            <wp:effectExtent l="0" t="0" r="6350" b="0"/>
            <wp:docPr id="9"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184480" cy="2872591"/>
                    </a:xfrm>
                    <a:prstGeom prst="rect">
                      <a:avLst/>
                    </a:prstGeom>
                    <a:noFill/>
                  </pic:spPr>
                </pic:pic>
              </a:graphicData>
            </a:graphic>
          </wp:inline>
        </w:drawing>
      </w:r>
    </w:p>
    <w:p w:rsidR="0034496D" w:rsidRPr="00F70B2A" w:rsidRDefault="0034496D" w:rsidP="0034496D">
      <w:pPr>
        <w:spacing w:after="120"/>
        <w:rPr>
          <w:rFonts w:ascii="Calibri" w:hAnsi="Calibri"/>
          <w:i/>
          <w:sz w:val="20"/>
          <w:szCs w:val="20"/>
          <w:lang w:val="hr-HR"/>
        </w:rPr>
      </w:pPr>
      <w:r w:rsidRPr="005569FD">
        <w:rPr>
          <w:rFonts w:ascii="Calibri" w:hAnsi="Calibri"/>
          <w:i/>
          <w:sz w:val="20"/>
          <w:szCs w:val="20"/>
          <w:lang w:val="hr-HR"/>
        </w:rPr>
        <w:t>Izvor: DZS, HNB, Ministarstvo financija</w:t>
      </w:r>
    </w:p>
    <w:p w:rsidR="00D124DE" w:rsidRDefault="00D124DE" w:rsidP="0041034D">
      <w:pPr>
        <w:jc w:val="both"/>
        <w:rPr>
          <w:i/>
          <w:lang w:val="hr-HR"/>
        </w:rPr>
      </w:pPr>
    </w:p>
    <w:p w:rsidR="0041034D" w:rsidRPr="0041034D" w:rsidRDefault="0041034D" w:rsidP="0041034D">
      <w:pPr>
        <w:jc w:val="both"/>
        <w:rPr>
          <w:lang w:val="hr-HR"/>
        </w:rPr>
      </w:pPr>
      <w:r w:rsidRPr="0041034D">
        <w:rPr>
          <w:lang w:val="hr-HR"/>
        </w:rPr>
        <w:t>Uslijed snažnog gospodarskog pada na razini čitave EU uzrokovanog pandemijom koronavirusa, Vijeće EU je u ožujku 2020. odobrilo punu fleksibilnost Pakta o stabilnosti i rastu, odnosno primjenu opće klauzule o odstupanju (general escape clause) od proračunskih pravila definiranih Paktom o stabilnosti i rastu. Time je državama članicama dana mogućnost da u većoj mjeri pruže fiskalne poticaje svojim gospodarstvima kako bi se ublažili postojeći negativni utjecaji i osigurao što skoriji oporavak. Na nacionalnoj razini, Zakon o fiskalnoj odgovornosti također omogućuje privremeno odgađanje primjene fiskalnih pravila u slučaju izvanrednih okolnosti pod uvjetom da se time ne ugrožava fiskalna održivost u srednjem roku, sukladno pravilima Europske unije. U skladu s preporukom Povjerenstva od 30. ožujka 2020. godine, Vlada  RH je 3. travnja 2020. donijela Odluku o privremenom odgađanju primjene fiskalnih pravila iz članaka 6., 7. i 8. Zakona o fiskalnoj odgovornosti.</w:t>
      </w:r>
    </w:p>
    <w:p w:rsidR="0041034D" w:rsidRPr="0041034D" w:rsidRDefault="00AA5838" w:rsidP="0041034D">
      <w:pPr>
        <w:jc w:val="both"/>
        <w:rPr>
          <w:lang w:val="hr-HR"/>
        </w:rPr>
      </w:pPr>
      <w:r>
        <w:rPr>
          <w:lang w:val="hr-HR"/>
        </w:rPr>
        <w:t>I u 2022</w:t>
      </w:r>
      <w:r w:rsidR="0041034D" w:rsidRPr="0041034D">
        <w:rPr>
          <w:lang w:val="hr-HR"/>
        </w:rPr>
        <w:t>. godini na snazi</w:t>
      </w:r>
      <w:r>
        <w:rPr>
          <w:lang w:val="hr-HR"/>
        </w:rPr>
        <w:t xml:space="preserve"> će</w:t>
      </w:r>
      <w:r w:rsidR="0041034D" w:rsidRPr="0041034D">
        <w:rPr>
          <w:lang w:val="hr-HR"/>
        </w:rPr>
        <w:t xml:space="preserve"> ostati </w:t>
      </w:r>
      <w:r>
        <w:rPr>
          <w:lang w:val="hr-HR"/>
        </w:rPr>
        <w:t xml:space="preserve">opća </w:t>
      </w:r>
      <w:r w:rsidR="0041034D" w:rsidRPr="0041034D">
        <w:rPr>
          <w:lang w:val="hr-HR"/>
        </w:rPr>
        <w:t>klauzula o odstupanju od proračunskih pravila</w:t>
      </w:r>
      <w:r>
        <w:rPr>
          <w:lang w:val="hr-HR"/>
        </w:rPr>
        <w:t>, a prema trenutačnim projekcijama kretanja BDP-a i oporavka</w:t>
      </w:r>
      <w:r w:rsidR="00247865">
        <w:rPr>
          <w:lang w:val="hr-HR"/>
        </w:rPr>
        <w:t xml:space="preserve"> cjelokupnog europskog</w:t>
      </w:r>
      <w:r>
        <w:rPr>
          <w:lang w:val="hr-HR"/>
        </w:rPr>
        <w:t xml:space="preserve"> gospodarstva EK</w:t>
      </w:r>
      <w:r w:rsidR="00247865">
        <w:rPr>
          <w:lang w:val="hr-HR"/>
        </w:rPr>
        <w:t xml:space="preserve"> planira da će se opća klauzula o odstupanju deaktivirati u 2023. godini.</w:t>
      </w:r>
      <w:r>
        <w:rPr>
          <w:lang w:val="hr-HR"/>
        </w:rPr>
        <w:t xml:space="preserve"> </w:t>
      </w:r>
      <w:r w:rsidR="0041034D" w:rsidRPr="0041034D">
        <w:rPr>
          <w:lang w:val="hr-HR"/>
        </w:rPr>
        <w:t xml:space="preserve">Države članice trebale bi u </w:t>
      </w:r>
      <w:r w:rsidR="00247865">
        <w:rPr>
          <w:lang w:val="hr-HR"/>
        </w:rPr>
        <w:t xml:space="preserve">tom </w:t>
      </w:r>
      <w:r w:rsidR="0041034D" w:rsidRPr="0041034D">
        <w:rPr>
          <w:lang w:val="hr-HR"/>
        </w:rPr>
        <w:t>kontekstu tijekom 202</w:t>
      </w:r>
      <w:r w:rsidR="00247865">
        <w:rPr>
          <w:lang w:val="hr-HR"/>
        </w:rPr>
        <w:t>2</w:t>
      </w:r>
      <w:r w:rsidR="0041034D" w:rsidRPr="0041034D">
        <w:rPr>
          <w:lang w:val="hr-HR"/>
        </w:rPr>
        <w:t>. nastaviti pružati ciljanu i privremenu fiskalnu potporu,</w:t>
      </w:r>
      <w:r w:rsidR="00623DF6">
        <w:rPr>
          <w:lang w:val="hr-HR"/>
        </w:rPr>
        <w:t xml:space="preserve"> sve u cilju daljnjeg oporavka i jačanja cjelokupnog gospodarstva, pritom</w:t>
      </w:r>
      <w:r w:rsidR="0041034D" w:rsidRPr="0041034D">
        <w:rPr>
          <w:lang w:val="hr-HR"/>
        </w:rPr>
        <w:t xml:space="preserve"> vodeći računa o očuvanju srednjoročne fiskalne održivosti.</w:t>
      </w:r>
    </w:p>
    <w:sectPr w:rsidR="0041034D" w:rsidRPr="0041034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53F4" w:rsidRDefault="002F53F4" w:rsidP="007E7900">
      <w:pPr>
        <w:spacing w:after="0" w:line="240" w:lineRule="auto"/>
      </w:pPr>
      <w:r>
        <w:separator/>
      </w:r>
    </w:p>
  </w:endnote>
  <w:endnote w:type="continuationSeparator" w:id="0">
    <w:p w:rsidR="002F53F4" w:rsidRDefault="002F53F4" w:rsidP="007E79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870035"/>
      <w:docPartObj>
        <w:docPartGallery w:val="Page Numbers (Bottom of Page)"/>
        <w:docPartUnique/>
      </w:docPartObj>
    </w:sdtPr>
    <w:sdtEndPr>
      <w:rPr>
        <w:noProof/>
        <w:sz w:val="20"/>
        <w:szCs w:val="20"/>
      </w:rPr>
    </w:sdtEndPr>
    <w:sdtContent>
      <w:p w:rsidR="00005670" w:rsidRPr="00927736" w:rsidRDefault="00005670">
        <w:pPr>
          <w:pStyle w:val="Footer"/>
          <w:jc w:val="right"/>
          <w:rPr>
            <w:sz w:val="20"/>
            <w:szCs w:val="20"/>
          </w:rPr>
        </w:pPr>
        <w:r w:rsidRPr="00927736">
          <w:rPr>
            <w:sz w:val="20"/>
            <w:szCs w:val="20"/>
          </w:rPr>
          <w:fldChar w:fldCharType="begin"/>
        </w:r>
        <w:r w:rsidRPr="00927736">
          <w:rPr>
            <w:sz w:val="20"/>
            <w:szCs w:val="20"/>
          </w:rPr>
          <w:instrText xml:space="preserve"> PAGE   \* MERGEFORMAT </w:instrText>
        </w:r>
        <w:r w:rsidRPr="00927736">
          <w:rPr>
            <w:sz w:val="20"/>
            <w:szCs w:val="20"/>
          </w:rPr>
          <w:fldChar w:fldCharType="separate"/>
        </w:r>
        <w:r w:rsidR="002A3B08">
          <w:rPr>
            <w:noProof/>
            <w:sz w:val="20"/>
            <w:szCs w:val="20"/>
          </w:rPr>
          <w:t>28</w:t>
        </w:r>
        <w:r w:rsidRPr="00927736">
          <w:rPr>
            <w:noProof/>
            <w:sz w:val="20"/>
            <w:szCs w:val="20"/>
          </w:rPr>
          <w:fldChar w:fldCharType="end"/>
        </w:r>
      </w:p>
    </w:sdtContent>
  </w:sdt>
  <w:p w:rsidR="00005670" w:rsidRDefault="000056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53F4" w:rsidRDefault="002F53F4" w:rsidP="007E7900">
      <w:pPr>
        <w:spacing w:after="0" w:line="240" w:lineRule="auto"/>
      </w:pPr>
      <w:r>
        <w:separator/>
      </w:r>
    </w:p>
  </w:footnote>
  <w:footnote w:type="continuationSeparator" w:id="0">
    <w:p w:rsidR="002F53F4" w:rsidRDefault="002F53F4" w:rsidP="007E7900">
      <w:pPr>
        <w:spacing w:after="0" w:line="240" w:lineRule="auto"/>
      </w:pPr>
      <w:r>
        <w:continuationSeparator/>
      </w:r>
    </w:p>
  </w:footnote>
  <w:footnote w:id="1">
    <w:p w:rsidR="009F444C" w:rsidRPr="00953C16" w:rsidRDefault="009F444C" w:rsidP="009F444C">
      <w:pPr>
        <w:pStyle w:val="FootnoteText"/>
        <w:rPr>
          <w:i/>
          <w:sz w:val="18"/>
          <w:szCs w:val="18"/>
        </w:rPr>
      </w:pPr>
      <w:r w:rsidRPr="00953C16">
        <w:rPr>
          <w:rStyle w:val="FootnoteReference"/>
          <w:i/>
          <w:sz w:val="18"/>
          <w:szCs w:val="18"/>
        </w:rPr>
        <w:footnoteRef/>
      </w:r>
      <w:r w:rsidRPr="00953C16">
        <w:rPr>
          <w:rStyle w:val="FootnoteReference"/>
          <w:i/>
          <w:sz w:val="18"/>
          <w:szCs w:val="18"/>
        </w:rPr>
        <w:t xml:space="preserve"> </w:t>
      </w:r>
      <w:r w:rsidRPr="00953C16">
        <w:rPr>
          <w:i/>
          <w:sz w:val="18"/>
          <w:szCs w:val="18"/>
        </w:rPr>
        <w:t>World Economic Outlook,</w:t>
      </w:r>
      <w:r>
        <w:rPr>
          <w:i/>
          <w:sz w:val="18"/>
          <w:szCs w:val="18"/>
        </w:rPr>
        <w:t xml:space="preserve"> listopad </w:t>
      </w:r>
      <w:r w:rsidRPr="00953C16">
        <w:rPr>
          <w:i/>
          <w:sz w:val="18"/>
          <w:szCs w:val="18"/>
        </w:rPr>
        <w:t xml:space="preserve"> 2021 </w:t>
      </w:r>
    </w:p>
  </w:footnote>
  <w:footnote w:id="2">
    <w:p w:rsidR="009F444C" w:rsidRPr="00DF1809" w:rsidRDefault="009F444C" w:rsidP="009F444C">
      <w:pPr>
        <w:pStyle w:val="FootnoteText"/>
        <w:rPr>
          <w:sz w:val="18"/>
          <w:szCs w:val="18"/>
          <w:lang w:val="en-US"/>
        </w:rPr>
      </w:pPr>
      <w:r w:rsidRPr="00DF1809">
        <w:rPr>
          <w:rStyle w:val="FootnoteReference"/>
          <w:sz w:val="18"/>
          <w:szCs w:val="18"/>
          <w:lang w:val="en-US"/>
        </w:rPr>
        <w:footnoteRef/>
      </w:r>
      <w:r w:rsidRPr="00DF1809">
        <w:rPr>
          <w:rStyle w:val="FootnoteReference"/>
          <w:sz w:val="18"/>
          <w:szCs w:val="18"/>
          <w:lang w:val="en-US"/>
        </w:rPr>
        <w:t xml:space="preserve"> </w:t>
      </w:r>
      <w:r w:rsidRPr="003A7C56">
        <w:rPr>
          <w:sz w:val="18"/>
          <w:szCs w:val="18"/>
          <w:lang w:val="en-US"/>
        </w:rPr>
        <w:t>Economist Intelligence Unit</w:t>
      </w:r>
      <w:r>
        <w:rPr>
          <w:sz w:val="18"/>
          <w:szCs w:val="18"/>
          <w:lang w:val="en-US"/>
        </w:rPr>
        <w:t>, Economic Forecast</w:t>
      </w:r>
      <w:r w:rsidRPr="00DF1809">
        <w:rPr>
          <w:sz w:val="18"/>
          <w:szCs w:val="18"/>
          <w:lang w:val="en-US"/>
        </w:rPr>
        <w:t xml:space="preserve">, </w:t>
      </w:r>
      <w:r>
        <w:rPr>
          <w:sz w:val="18"/>
          <w:szCs w:val="18"/>
          <w:lang w:val="en-US"/>
        </w:rPr>
        <w:t>listopad</w:t>
      </w:r>
      <w:r w:rsidRPr="00DF1809">
        <w:rPr>
          <w:sz w:val="18"/>
          <w:szCs w:val="18"/>
          <w:lang w:val="en-US"/>
        </w:rPr>
        <w:t xml:space="preserve"> 20</w:t>
      </w:r>
      <w:r>
        <w:rPr>
          <w:sz w:val="18"/>
          <w:szCs w:val="18"/>
          <w:lang w:val="en-US"/>
        </w:rPr>
        <w:t>21</w:t>
      </w:r>
      <w:r w:rsidRPr="00DF1809">
        <w:rPr>
          <w:sz w:val="18"/>
          <w:szCs w:val="18"/>
          <w:lang w:val="en-US"/>
        </w:rPr>
        <w:t xml:space="preserve">. </w:t>
      </w:r>
    </w:p>
  </w:footnote>
  <w:footnote w:id="3">
    <w:p w:rsidR="009F444C" w:rsidRPr="00953C16" w:rsidRDefault="009F444C" w:rsidP="009F444C">
      <w:pPr>
        <w:pStyle w:val="FootnoteText"/>
        <w:rPr>
          <w:i/>
        </w:rPr>
      </w:pPr>
      <w:r w:rsidRPr="00953C16">
        <w:rPr>
          <w:rStyle w:val="FootnoteReference"/>
          <w:i/>
        </w:rPr>
        <w:footnoteRef/>
      </w:r>
      <w:r w:rsidRPr="00953C16">
        <w:rPr>
          <w:i/>
        </w:rPr>
        <w:t xml:space="preserve"> Tako</w:t>
      </w:r>
      <w:r>
        <w:rPr>
          <w:i/>
        </w:rPr>
        <w:t xml:space="preserve"> je</w:t>
      </w:r>
      <w:r w:rsidRPr="00953C16">
        <w:rPr>
          <w:i/>
        </w:rPr>
        <w:t xml:space="preserve"> godišnja stopa rasta proizvođačkih cijena industrije isključujući energiju </w:t>
      </w:r>
      <w:r>
        <w:rPr>
          <w:i/>
        </w:rPr>
        <w:t xml:space="preserve">u RH </w:t>
      </w:r>
      <w:r w:rsidRPr="00953C16">
        <w:rPr>
          <w:i/>
        </w:rPr>
        <w:t>ubrzala s 0,0% u siječnju 2021. na 3,</w:t>
      </w:r>
      <w:r>
        <w:rPr>
          <w:i/>
        </w:rPr>
        <w:t>5</w:t>
      </w:r>
      <w:r w:rsidRPr="00953C16">
        <w:rPr>
          <w:i/>
        </w:rPr>
        <w:t>% u rujnu 2021. godine.</w:t>
      </w:r>
    </w:p>
  </w:footnote>
  <w:footnote w:id="4">
    <w:p w:rsidR="009F444C" w:rsidRPr="00953C16" w:rsidRDefault="009F444C" w:rsidP="009F444C">
      <w:pPr>
        <w:pStyle w:val="FootnoteText"/>
        <w:rPr>
          <w:i/>
        </w:rPr>
      </w:pPr>
      <w:r w:rsidRPr="00953C16">
        <w:rPr>
          <w:rStyle w:val="FootnoteReference"/>
          <w:i/>
        </w:rPr>
        <w:footnoteRef/>
      </w:r>
      <w:r w:rsidRPr="00953C16">
        <w:rPr>
          <w:i/>
        </w:rPr>
        <w:t xml:space="preserve"> Online Vacancy Index (OVI) mjesečni je indeks online oglasa slobodnih radnih mjesta razvijen na Ekonomskom institutu, Zagreb u suradnji s portalom MojPosao, s ciljem pružanja pravovremenih informacija o trenutnom stanju potražnje za radom.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E52DE"/>
    <w:multiLevelType w:val="multilevel"/>
    <w:tmpl w:val="A4A8459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1D933535"/>
    <w:multiLevelType w:val="hybridMultilevel"/>
    <w:tmpl w:val="BFB069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22E677D3"/>
    <w:multiLevelType w:val="hybridMultilevel"/>
    <w:tmpl w:val="4DAE892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25990F61"/>
    <w:multiLevelType w:val="hybridMultilevel"/>
    <w:tmpl w:val="9334B9C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6B93B4E"/>
    <w:multiLevelType w:val="multilevel"/>
    <w:tmpl w:val="9F0E7832"/>
    <w:lvl w:ilvl="0">
      <w:start w:val="4"/>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29282EAE"/>
    <w:multiLevelType w:val="hybridMultilevel"/>
    <w:tmpl w:val="7744F2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98759DF"/>
    <w:multiLevelType w:val="hybridMultilevel"/>
    <w:tmpl w:val="4468C38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AEB3AE5"/>
    <w:multiLevelType w:val="hybridMultilevel"/>
    <w:tmpl w:val="1256E414"/>
    <w:lvl w:ilvl="0" w:tplc="041A0019">
      <w:start w:val="1"/>
      <w:numFmt w:val="lowerLetter"/>
      <w:lvlText w:val="%1."/>
      <w:lvlJc w:val="left"/>
      <w:pPr>
        <w:ind w:left="720" w:hanging="360"/>
      </w:pPr>
      <w:rPr>
        <w:b w:val="0"/>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8" w15:restartNumberingAfterBreak="0">
    <w:nsid w:val="348A4F02"/>
    <w:multiLevelType w:val="multilevel"/>
    <w:tmpl w:val="0CDA6A26"/>
    <w:lvl w:ilvl="0">
      <w:start w:val="2"/>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37E76567"/>
    <w:multiLevelType w:val="hybridMultilevel"/>
    <w:tmpl w:val="8E34CA02"/>
    <w:lvl w:ilvl="0" w:tplc="D5FCB39C">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1482162"/>
    <w:multiLevelType w:val="multilevel"/>
    <w:tmpl w:val="D5F472EA"/>
    <w:lvl w:ilvl="0">
      <w:start w:val="4"/>
      <w:numFmt w:val="decimal"/>
      <w:lvlText w:val="%1."/>
      <w:lvlJc w:val="left"/>
      <w:pPr>
        <w:ind w:left="420" w:hanging="4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15:restartNumberingAfterBreak="0">
    <w:nsid w:val="5289111D"/>
    <w:multiLevelType w:val="multilevel"/>
    <w:tmpl w:val="041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5F847B1"/>
    <w:multiLevelType w:val="hybridMultilevel"/>
    <w:tmpl w:val="0FF6C1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A4C615E"/>
    <w:multiLevelType w:val="hybridMultilevel"/>
    <w:tmpl w:val="1D3A942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666454F7"/>
    <w:multiLevelType w:val="hybridMultilevel"/>
    <w:tmpl w:val="7FB48A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6F63371"/>
    <w:multiLevelType w:val="multilevel"/>
    <w:tmpl w:val="0CDA6A26"/>
    <w:lvl w:ilvl="0">
      <w:start w:val="4"/>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6D826C4A"/>
    <w:multiLevelType w:val="hybridMultilevel"/>
    <w:tmpl w:val="BBC617BC"/>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7" w15:restartNumberingAfterBreak="0">
    <w:nsid w:val="751D23DE"/>
    <w:multiLevelType w:val="multilevel"/>
    <w:tmpl w:val="C2C6C18C"/>
    <w:lvl w:ilvl="0">
      <w:start w:val="1"/>
      <w:numFmt w:val="decimal"/>
      <w:lvlText w:val="%1."/>
      <w:lvlJc w:val="left"/>
      <w:pPr>
        <w:ind w:left="1080" w:hanging="72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8" w15:restartNumberingAfterBreak="0">
    <w:nsid w:val="75AE6E86"/>
    <w:multiLevelType w:val="hybridMultilevel"/>
    <w:tmpl w:val="4AC6DF76"/>
    <w:lvl w:ilvl="0" w:tplc="309881A6">
      <w:numFmt w:val="bullet"/>
      <w:lvlText w:val="•"/>
      <w:lvlJc w:val="left"/>
      <w:pPr>
        <w:ind w:left="1080" w:hanging="72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79003C21"/>
    <w:multiLevelType w:val="multilevel"/>
    <w:tmpl w:val="B9E64E1E"/>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7A4A346C"/>
    <w:multiLevelType w:val="hybridMultilevel"/>
    <w:tmpl w:val="C71631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C982F60"/>
    <w:multiLevelType w:val="hybridMultilevel"/>
    <w:tmpl w:val="44F6E81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7CB27D00"/>
    <w:multiLevelType w:val="multilevel"/>
    <w:tmpl w:val="5C46834A"/>
    <w:lvl w:ilvl="0">
      <w:start w:val="5"/>
      <w:numFmt w:val="decimal"/>
      <w:lvlText w:val="%1."/>
      <w:lvlJc w:val="left"/>
      <w:pPr>
        <w:ind w:left="420" w:hanging="42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num w:numId="1">
    <w:abstractNumId w:val="5"/>
  </w:num>
  <w:num w:numId="2">
    <w:abstractNumId w:val="19"/>
  </w:num>
  <w:num w:numId="3">
    <w:abstractNumId w:val="10"/>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num>
  <w:num w:numId="6">
    <w:abstractNumId w:val="12"/>
  </w:num>
  <w:num w:numId="7">
    <w:abstractNumId w:val="9"/>
  </w:num>
  <w:num w:numId="8">
    <w:abstractNumId w:val="7"/>
    <w:lvlOverride w:ilvl="0">
      <w:startOverride w:val="1"/>
    </w:lvlOverride>
    <w:lvlOverride w:ilvl="1"/>
    <w:lvlOverride w:ilvl="2"/>
    <w:lvlOverride w:ilvl="3"/>
    <w:lvlOverride w:ilvl="4"/>
    <w:lvlOverride w:ilvl="5"/>
    <w:lvlOverride w:ilvl="6"/>
    <w:lvlOverride w:ilvl="7"/>
    <w:lvlOverride w:ilvl="8"/>
  </w:num>
  <w:num w:numId="9">
    <w:abstractNumId w:val="7"/>
  </w:num>
  <w:num w:numId="10">
    <w:abstractNumId w:val="4"/>
  </w:num>
  <w:num w:numId="11">
    <w:abstractNumId w:val="6"/>
  </w:num>
  <w:num w:numId="12">
    <w:abstractNumId w:val="20"/>
  </w:num>
  <w:num w:numId="13">
    <w:abstractNumId w:val="11"/>
  </w:num>
  <w:num w:numId="14">
    <w:abstractNumId w:val="3"/>
  </w:num>
  <w:num w:numId="15">
    <w:abstractNumId w:val="0"/>
  </w:num>
  <w:num w:numId="16">
    <w:abstractNumId w:val="15"/>
  </w:num>
  <w:num w:numId="17">
    <w:abstractNumId w:val="8"/>
  </w:num>
  <w:num w:numId="18">
    <w:abstractNumId w:val="2"/>
  </w:num>
  <w:num w:numId="19">
    <w:abstractNumId w:val="14"/>
  </w:num>
  <w:num w:numId="20">
    <w:abstractNumId w:val="16"/>
  </w:num>
  <w:num w:numId="21">
    <w:abstractNumId w:val="21"/>
  </w:num>
  <w:num w:numId="22">
    <w:abstractNumId w:val="13"/>
  </w:num>
  <w:num w:numId="23">
    <w:abstractNumId w:val="1"/>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5821"/>
    <w:rsid w:val="00001797"/>
    <w:rsid w:val="000041F9"/>
    <w:rsid w:val="00005670"/>
    <w:rsid w:val="00007108"/>
    <w:rsid w:val="00010B99"/>
    <w:rsid w:val="000146B7"/>
    <w:rsid w:val="00020250"/>
    <w:rsid w:val="00023F21"/>
    <w:rsid w:val="00025DEB"/>
    <w:rsid w:val="000324BA"/>
    <w:rsid w:val="00032F6C"/>
    <w:rsid w:val="00033315"/>
    <w:rsid w:val="00033D9E"/>
    <w:rsid w:val="0003434E"/>
    <w:rsid w:val="00035036"/>
    <w:rsid w:val="0004017D"/>
    <w:rsid w:val="000445B7"/>
    <w:rsid w:val="0004782B"/>
    <w:rsid w:val="00055948"/>
    <w:rsid w:val="00057575"/>
    <w:rsid w:val="00060EE2"/>
    <w:rsid w:val="000618B5"/>
    <w:rsid w:val="000628CD"/>
    <w:rsid w:val="00072B87"/>
    <w:rsid w:val="000738DE"/>
    <w:rsid w:val="00080B42"/>
    <w:rsid w:val="000821C5"/>
    <w:rsid w:val="000857E3"/>
    <w:rsid w:val="00086C72"/>
    <w:rsid w:val="00095377"/>
    <w:rsid w:val="000979A6"/>
    <w:rsid w:val="000A3D36"/>
    <w:rsid w:val="000A418E"/>
    <w:rsid w:val="000A5722"/>
    <w:rsid w:val="000B1E98"/>
    <w:rsid w:val="000B2784"/>
    <w:rsid w:val="000B67B5"/>
    <w:rsid w:val="000D27C1"/>
    <w:rsid w:val="000D3692"/>
    <w:rsid w:val="000D50A8"/>
    <w:rsid w:val="000E2E51"/>
    <w:rsid w:val="000E5C14"/>
    <w:rsid w:val="000E73C3"/>
    <w:rsid w:val="000F3D4F"/>
    <w:rsid w:val="000F6871"/>
    <w:rsid w:val="000F7890"/>
    <w:rsid w:val="00100006"/>
    <w:rsid w:val="0010391E"/>
    <w:rsid w:val="00105DF3"/>
    <w:rsid w:val="00113CB3"/>
    <w:rsid w:val="001217A8"/>
    <w:rsid w:val="001241B8"/>
    <w:rsid w:val="00125FFF"/>
    <w:rsid w:val="00127676"/>
    <w:rsid w:val="001314C4"/>
    <w:rsid w:val="001331A6"/>
    <w:rsid w:val="00145C68"/>
    <w:rsid w:val="00145D0C"/>
    <w:rsid w:val="001470C9"/>
    <w:rsid w:val="001515B2"/>
    <w:rsid w:val="00153C78"/>
    <w:rsid w:val="00155FA2"/>
    <w:rsid w:val="00156F45"/>
    <w:rsid w:val="00161922"/>
    <w:rsid w:val="00162BCE"/>
    <w:rsid w:val="001675A4"/>
    <w:rsid w:val="00174F1F"/>
    <w:rsid w:val="0017582C"/>
    <w:rsid w:val="001806A2"/>
    <w:rsid w:val="00185784"/>
    <w:rsid w:val="00186684"/>
    <w:rsid w:val="00186D57"/>
    <w:rsid w:val="001909CF"/>
    <w:rsid w:val="00190F82"/>
    <w:rsid w:val="00191121"/>
    <w:rsid w:val="001943D2"/>
    <w:rsid w:val="001971CF"/>
    <w:rsid w:val="001A1C5C"/>
    <w:rsid w:val="001A595D"/>
    <w:rsid w:val="001A77A4"/>
    <w:rsid w:val="001B0D04"/>
    <w:rsid w:val="001B5E11"/>
    <w:rsid w:val="001C074C"/>
    <w:rsid w:val="001C244E"/>
    <w:rsid w:val="001C4ED7"/>
    <w:rsid w:val="001C63C2"/>
    <w:rsid w:val="001D0189"/>
    <w:rsid w:val="001D2009"/>
    <w:rsid w:val="001D4565"/>
    <w:rsid w:val="001D5C86"/>
    <w:rsid w:val="001E7956"/>
    <w:rsid w:val="001F1EBE"/>
    <w:rsid w:val="001F3879"/>
    <w:rsid w:val="001F3B06"/>
    <w:rsid w:val="001F4192"/>
    <w:rsid w:val="001F479B"/>
    <w:rsid w:val="001F744E"/>
    <w:rsid w:val="00205AC5"/>
    <w:rsid w:val="00213AAF"/>
    <w:rsid w:val="00215B63"/>
    <w:rsid w:val="00217287"/>
    <w:rsid w:val="00217E6B"/>
    <w:rsid w:val="0022189C"/>
    <w:rsid w:val="00223521"/>
    <w:rsid w:val="00223C14"/>
    <w:rsid w:val="002253A4"/>
    <w:rsid w:val="00227EB9"/>
    <w:rsid w:val="002323A5"/>
    <w:rsid w:val="00235EF2"/>
    <w:rsid w:val="00240C30"/>
    <w:rsid w:val="00241723"/>
    <w:rsid w:val="00247865"/>
    <w:rsid w:val="002505F3"/>
    <w:rsid w:val="002517CB"/>
    <w:rsid w:val="00256EE8"/>
    <w:rsid w:val="002577F6"/>
    <w:rsid w:val="00263DC3"/>
    <w:rsid w:val="00263F53"/>
    <w:rsid w:val="0028075D"/>
    <w:rsid w:val="002838D9"/>
    <w:rsid w:val="00283E07"/>
    <w:rsid w:val="002868AC"/>
    <w:rsid w:val="0029489C"/>
    <w:rsid w:val="00295713"/>
    <w:rsid w:val="00296958"/>
    <w:rsid w:val="00296BC3"/>
    <w:rsid w:val="002A12E4"/>
    <w:rsid w:val="002A2EFA"/>
    <w:rsid w:val="002A3B08"/>
    <w:rsid w:val="002A4AF3"/>
    <w:rsid w:val="002A72F0"/>
    <w:rsid w:val="002B0FC8"/>
    <w:rsid w:val="002B2860"/>
    <w:rsid w:val="002B2F1A"/>
    <w:rsid w:val="002B2F7D"/>
    <w:rsid w:val="002B4FEB"/>
    <w:rsid w:val="002C3027"/>
    <w:rsid w:val="002D2F82"/>
    <w:rsid w:val="002D673F"/>
    <w:rsid w:val="002D77A8"/>
    <w:rsid w:val="002E3DD9"/>
    <w:rsid w:val="002F4321"/>
    <w:rsid w:val="002F53F4"/>
    <w:rsid w:val="003047CE"/>
    <w:rsid w:val="003052F1"/>
    <w:rsid w:val="00306477"/>
    <w:rsid w:val="00306964"/>
    <w:rsid w:val="00307E3F"/>
    <w:rsid w:val="003144CB"/>
    <w:rsid w:val="00316215"/>
    <w:rsid w:val="00321961"/>
    <w:rsid w:val="003244E2"/>
    <w:rsid w:val="00325CA4"/>
    <w:rsid w:val="003272C9"/>
    <w:rsid w:val="00333255"/>
    <w:rsid w:val="0034496D"/>
    <w:rsid w:val="00350BC6"/>
    <w:rsid w:val="00351916"/>
    <w:rsid w:val="00355F14"/>
    <w:rsid w:val="0036088A"/>
    <w:rsid w:val="003626ED"/>
    <w:rsid w:val="00362A8C"/>
    <w:rsid w:val="00365C64"/>
    <w:rsid w:val="00372BCF"/>
    <w:rsid w:val="003745E9"/>
    <w:rsid w:val="003750F6"/>
    <w:rsid w:val="0037517B"/>
    <w:rsid w:val="0037667D"/>
    <w:rsid w:val="00392828"/>
    <w:rsid w:val="0039786A"/>
    <w:rsid w:val="003A3AA0"/>
    <w:rsid w:val="003B1211"/>
    <w:rsid w:val="003B4EA0"/>
    <w:rsid w:val="003B7428"/>
    <w:rsid w:val="003B7D7B"/>
    <w:rsid w:val="003C4490"/>
    <w:rsid w:val="003C78F6"/>
    <w:rsid w:val="003C7F5A"/>
    <w:rsid w:val="003D6B72"/>
    <w:rsid w:val="003E0702"/>
    <w:rsid w:val="003E1965"/>
    <w:rsid w:val="003E398D"/>
    <w:rsid w:val="003E52BF"/>
    <w:rsid w:val="003F48B4"/>
    <w:rsid w:val="003F5895"/>
    <w:rsid w:val="0041034D"/>
    <w:rsid w:val="004104F8"/>
    <w:rsid w:val="00415704"/>
    <w:rsid w:val="00420F2E"/>
    <w:rsid w:val="00421F2A"/>
    <w:rsid w:val="00423C96"/>
    <w:rsid w:val="004247D0"/>
    <w:rsid w:val="00426220"/>
    <w:rsid w:val="004345FE"/>
    <w:rsid w:val="00436F2D"/>
    <w:rsid w:val="004430BD"/>
    <w:rsid w:val="004446C2"/>
    <w:rsid w:val="00456F59"/>
    <w:rsid w:val="004604FB"/>
    <w:rsid w:val="00461775"/>
    <w:rsid w:val="0046251A"/>
    <w:rsid w:val="00463C1F"/>
    <w:rsid w:val="00464AA7"/>
    <w:rsid w:val="004662A4"/>
    <w:rsid w:val="0046714A"/>
    <w:rsid w:val="00467E50"/>
    <w:rsid w:val="00470259"/>
    <w:rsid w:val="00473B4F"/>
    <w:rsid w:val="00475096"/>
    <w:rsid w:val="00483F6A"/>
    <w:rsid w:val="00491633"/>
    <w:rsid w:val="00491E72"/>
    <w:rsid w:val="00492EFE"/>
    <w:rsid w:val="004940AE"/>
    <w:rsid w:val="00497B53"/>
    <w:rsid w:val="004A0346"/>
    <w:rsid w:val="004A1742"/>
    <w:rsid w:val="004A5652"/>
    <w:rsid w:val="004A6E60"/>
    <w:rsid w:val="004A74FE"/>
    <w:rsid w:val="004B0910"/>
    <w:rsid w:val="004B2E80"/>
    <w:rsid w:val="004B307D"/>
    <w:rsid w:val="004C0641"/>
    <w:rsid w:val="004C0CFF"/>
    <w:rsid w:val="004C14D4"/>
    <w:rsid w:val="004C15BC"/>
    <w:rsid w:val="004C7845"/>
    <w:rsid w:val="004D4824"/>
    <w:rsid w:val="004D6494"/>
    <w:rsid w:val="004E07B4"/>
    <w:rsid w:val="004E0BEF"/>
    <w:rsid w:val="004E2179"/>
    <w:rsid w:val="004E4030"/>
    <w:rsid w:val="004F4BD2"/>
    <w:rsid w:val="004F4EEE"/>
    <w:rsid w:val="0050234D"/>
    <w:rsid w:val="00503BC8"/>
    <w:rsid w:val="005062F8"/>
    <w:rsid w:val="00506C0E"/>
    <w:rsid w:val="0051136B"/>
    <w:rsid w:val="00511A03"/>
    <w:rsid w:val="00514BCC"/>
    <w:rsid w:val="00516520"/>
    <w:rsid w:val="00527791"/>
    <w:rsid w:val="00533F79"/>
    <w:rsid w:val="005353E3"/>
    <w:rsid w:val="005375F4"/>
    <w:rsid w:val="0053782E"/>
    <w:rsid w:val="0054237C"/>
    <w:rsid w:val="00554A96"/>
    <w:rsid w:val="005569FD"/>
    <w:rsid w:val="005704FB"/>
    <w:rsid w:val="00570A93"/>
    <w:rsid w:val="00572F2A"/>
    <w:rsid w:val="005803D3"/>
    <w:rsid w:val="00582827"/>
    <w:rsid w:val="0058494D"/>
    <w:rsid w:val="00591803"/>
    <w:rsid w:val="005931F9"/>
    <w:rsid w:val="005973BB"/>
    <w:rsid w:val="00597DE2"/>
    <w:rsid w:val="005A20A6"/>
    <w:rsid w:val="005A3522"/>
    <w:rsid w:val="005A5EA7"/>
    <w:rsid w:val="005B307D"/>
    <w:rsid w:val="005B6209"/>
    <w:rsid w:val="005C0F44"/>
    <w:rsid w:val="005C3813"/>
    <w:rsid w:val="005D1929"/>
    <w:rsid w:val="005D267C"/>
    <w:rsid w:val="005D36F0"/>
    <w:rsid w:val="005D68AA"/>
    <w:rsid w:val="005D77E8"/>
    <w:rsid w:val="005E5519"/>
    <w:rsid w:val="006000C7"/>
    <w:rsid w:val="0060160F"/>
    <w:rsid w:val="006070D6"/>
    <w:rsid w:val="00607EA1"/>
    <w:rsid w:val="00621186"/>
    <w:rsid w:val="00623DF6"/>
    <w:rsid w:val="00627110"/>
    <w:rsid w:val="006342F7"/>
    <w:rsid w:val="00642901"/>
    <w:rsid w:val="00642DCD"/>
    <w:rsid w:val="006465A2"/>
    <w:rsid w:val="00650D35"/>
    <w:rsid w:val="00655AD4"/>
    <w:rsid w:val="00656368"/>
    <w:rsid w:val="00657072"/>
    <w:rsid w:val="00661178"/>
    <w:rsid w:val="006626F8"/>
    <w:rsid w:val="00662B50"/>
    <w:rsid w:val="00663D69"/>
    <w:rsid w:val="00663FB6"/>
    <w:rsid w:val="00664729"/>
    <w:rsid w:val="00670082"/>
    <w:rsid w:val="00670EA7"/>
    <w:rsid w:val="006730D1"/>
    <w:rsid w:val="00673CCE"/>
    <w:rsid w:val="00675955"/>
    <w:rsid w:val="00676DEE"/>
    <w:rsid w:val="00677FAF"/>
    <w:rsid w:val="00680042"/>
    <w:rsid w:val="00695821"/>
    <w:rsid w:val="006A24E7"/>
    <w:rsid w:val="006A37BE"/>
    <w:rsid w:val="006A3AB7"/>
    <w:rsid w:val="006A5CEF"/>
    <w:rsid w:val="006B3A5F"/>
    <w:rsid w:val="006B74C9"/>
    <w:rsid w:val="006C1D10"/>
    <w:rsid w:val="006C2AD7"/>
    <w:rsid w:val="006C3F62"/>
    <w:rsid w:val="006C4EB5"/>
    <w:rsid w:val="006C6F8C"/>
    <w:rsid w:val="006D060B"/>
    <w:rsid w:val="006D1634"/>
    <w:rsid w:val="006D17FA"/>
    <w:rsid w:val="006E649F"/>
    <w:rsid w:val="006F296F"/>
    <w:rsid w:val="006F3A28"/>
    <w:rsid w:val="006F55F3"/>
    <w:rsid w:val="006F5837"/>
    <w:rsid w:val="006F6873"/>
    <w:rsid w:val="00702218"/>
    <w:rsid w:val="00704634"/>
    <w:rsid w:val="00705F5F"/>
    <w:rsid w:val="00706027"/>
    <w:rsid w:val="00711D81"/>
    <w:rsid w:val="00712A6E"/>
    <w:rsid w:val="0071764A"/>
    <w:rsid w:val="00720D44"/>
    <w:rsid w:val="00722FD0"/>
    <w:rsid w:val="00725EFC"/>
    <w:rsid w:val="00727048"/>
    <w:rsid w:val="007337A0"/>
    <w:rsid w:val="00735E85"/>
    <w:rsid w:val="0074524D"/>
    <w:rsid w:val="00745C27"/>
    <w:rsid w:val="00747B62"/>
    <w:rsid w:val="00747F9D"/>
    <w:rsid w:val="007507B8"/>
    <w:rsid w:val="00761075"/>
    <w:rsid w:val="00763999"/>
    <w:rsid w:val="0076453D"/>
    <w:rsid w:val="00766FDC"/>
    <w:rsid w:val="00767EB5"/>
    <w:rsid w:val="00773754"/>
    <w:rsid w:val="00775CFB"/>
    <w:rsid w:val="00787E2C"/>
    <w:rsid w:val="00792B4A"/>
    <w:rsid w:val="00795733"/>
    <w:rsid w:val="007A2F8F"/>
    <w:rsid w:val="007A364C"/>
    <w:rsid w:val="007A7AC2"/>
    <w:rsid w:val="007B175F"/>
    <w:rsid w:val="007B57C6"/>
    <w:rsid w:val="007B7DD4"/>
    <w:rsid w:val="007C0F11"/>
    <w:rsid w:val="007C3CA9"/>
    <w:rsid w:val="007C5C31"/>
    <w:rsid w:val="007C6AE0"/>
    <w:rsid w:val="007D06F5"/>
    <w:rsid w:val="007D0BF8"/>
    <w:rsid w:val="007D26CA"/>
    <w:rsid w:val="007D7A1E"/>
    <w:rsid w:val="007E0034"/>
    <w:rsid w:val="007E4D7B"/>
    <w:rsid w:val="007E4ED4"/>
    <w:rsid w:val="007E5DA9"/>
    <w:rsid w:val="007E7900"/>
    <w:rsid w:val="007E7CF4"/>
    <w:rsid w:val="007F332C"/>
    <w:rsid w:val="007F5D03"/>
    <w:rsid w:val="007F7A61"/>
    <w:rsid w:val="00802DC9"/>
    <w:rsid w:val="00804AE5"/>
    <w:rsid w:val="008106FE"/>
    <w:rsid w:val="00814A34"/>
    <w:rsid w:val="00815360"/>
    <w:rsid w:val="0082741A"/>
    <w:rsid w:val="008279B3"/>
    <w:rsid w:val="00827DAE"/>
    <w:rsid w:val="00827FD5"/>
    <w:rsid w:val="00832BCD"/>
    <w:rsid w:val="00844866"/>
    <w:rsid w:val="00850685"/>
    <w:rsid w:val="0085173D"/>
    <w:rsid w:val="00851F78"/>
    <w:rsid w:val="008536D4"/>
    <w:rsid w:val="00860093"/>
    <w:rsid w:val="0087014B"/>
    <w:rsid w:val="00870D4F"/>
    <w:rsid w:val="00875F18"/>
    <w:rsid w:val="008858CD"/>
    <w:rsid w:val="0089450C"/>
    <w:rsid w:val="00896FF0"/>
    <w:rsid w:val="008A38AC"/>
    <w:rsid w:val="008A3AFC"/>
    <w:rsid w:val="008A5BF8"/>
    <w:rsid w:val="008B2AD0"/>
    <w:rsid w:val="008B60D2"/>
    <w:rsid w:val="008C1447"/>
    <w:rsid w:val="008C41C8"/>
    <w:rsid w:val="008C454C"/>
    <w:rsid w:val="008C4672"/>
    <w:rsid w:val="008E0275"/>
    <w:rsid w:val="008E51EB"/>
    <w:rsid w:val="008F3FC3"/>
    <w:rsid w:val="00903C01"/>
    <w:rsid w:val="00904773"/>
    <w:rsid w:val="0090728A"/>
    <w:rsid w:val="00910DFE"/>
    <w:rsid w:val="0091736E"/>
    <w:rsid w:val="0092126E"/>
    <w:rsid w:val="00924747"/>
    <w:rsid w:val="00926FAA"/>
    <w:rsid w:val="00927736"/>
    <w:rsid w:val="009301F8"/>
    <w:rsid w:val="00933AA1"/>
    <w:rsid w:val="0093452D"/>
    <w:rsid w:val="00934B66"/>
    <w:rsid w:val="00934D4D"/>
    <w:rsid w:val="00936C84"/>
    <w:rsid w:val="00937528"/>
    <w:rsid w:val="00937BB3"/>
    <w:rsid w:val="00942D33"/>
    <w:rsid w:val="00943562"/>
    <w:rsid w:val="009439B2"/>
    <w:rsid w:val="0094437D"/>
    <w:rsid w:val="00945A9C"/>
    <w:rsid w:val="00947B0E"/>
    <w:rsid w:val="009500A2"/>
    <w:rsid w:val="00954027"/>
    <w:rsid w:val="009563CD"/>
    <w:rsid w:val="00956C2E"/>
    <w:rsid w:val="009609F4"/>
    <w:rsid w:val="00960F86"/>
    <w:rsid w:val="00973B23"/>
    <w:rsid w:val="00977ECA"/>
    <w:rsid w:val="00980744"/>
    <w:rsid w:val="00984E44"/>
    <w:rsid w:val="00991929"/>
    <w:rsid w:val="00996D08"/>
    <w:rsid w:val="009A2729"/>
    <w:rsid w:val="009A3862"/>
    <w:rsid w:val="009A490C"/>
    <w:rsid w:val="009A67BD"/>
    <w:rsid w:val="009B6802"/>
    <w:rsid w:val="009C0CE9"/>
    <w:rsid w:val="009C54BD"/>
    <w:rsid w:val="009C5E29"/>
    <w:rsid w:val="009C753C"/>
    <w:rsid w:val="009D3EF9"/>
    <w:rsid w:val="009E31F9"/>
    <w:rsid w:val="009E4DB7"/>
    <w:rsid w:val="009F444C"/>
    <w:rsid w:val="009F7B1B"/>
    <w:rsid w:val="00A01DAF"/>
    <w:rsid w:val="00A02087"/>
    <w:rsid w:val="00A055CB"/>
    <w:rsid w:val="00A061E8"/>
    <w:rsid w:val="00A071E2"/>
    <w:rsid w:val="00A101E4"/>
    <w:rsid w:val="00A10B3D"/>
    <w:rsid w:val="00A122E9"/>
    <w:rsid w:val="00A25BDD"/>
    <w:rsid w:val="00A31CDA"/>
    <w:rsid w:val="00A32203"/>
    <w:rsid w:val="00A3381B"/>
    <w:rsid w:val="00A33D06"/>
    <w:rsid w:val="00A363F4"/>
    <w:rsid w:val="00A42363"/>
    <w:rsid w:val="00A460F6"/>
    <w:rsid w:val="00A52889"/>
    <w:rsid w:val="00A5515B"/>
    <w:rsid w:val="00A554AD"/>
    <w:rsid w:val="00A56F40"/>
    <w:rsid w:val="00A57597"/>
    <w:rsid w:val="00A618FA"/>
    <w:rsid w:val="00A65DDC"/>
    <w:rsid w:val="00A70D26"/>
    <w:rsid w:val="00A7297B"/>
    <w:rsid w:val="00A729FD"/>
    <w:rsid w:val="00A81C09"/>
    <w:rsid w:val="00A825D0"/>
    <w:rsid w:val="00A82A30"/>
    <w:rsid w:val="00A831A9"/>
    <w:rsid w:val="00A87002"/>
    <w:rsid w:val="00A930B1"/>
    <w:rsid w:val="00AA2DA8"/>
    <w:rsid w:val="00AA5838"/>
    <w:rsid w:val="00AA59BB"/>
    <w:rsid w:val="00AA6062"/>
    <w:rsid w:val="00AA6B2D"/>
    <w:rsid w:val="00AB0A6A"/>
    <w:rsid w:val="00AB0E22"/>
    <w:rsid w:val="00AB5918"/>
    <w:rsid w:val="00AB7B0C"/>
    <w:rsid w:val="00AD04AC"/>
    <w:rsid w:val="00AD17D4"/>
    <w:rsid w:val="00AD4B36"/>
    <w:rsid w:val="00AE54C5"/>
    <w:rsid w:val="00AE7E2E"/>
    <w:rsid w:val="00AF062D"/>
    <w:rsid w:val="00B11AB8"/>
    <w:rsid w:val="00B13AFA"/>
    <w:rsid w:val="00B17512"/>
    <w:rsid w:val="00B20ADA"/>
    <w:rsid w:val="00B23699"/>
    <w:rsid w:val="00B24D50"/>
    <w:rsid w:val="00B331E6"/>
    <w:rsid w:val="00B337AF"/>
    <w:rsid w:val="00B35390"/>
    <w:rsid w:val="00B3639A"/>
    <w:rsid w:val="00B438A8"/>
    <w:rsid w:val="00B60323"/>
    <w:rsid w:val="00B60575"/>
    <w:rsid w:val="00B67A38"/>
    <w:rsid w:val="00B71F5D"/>
    <w:rsid w:val="00B76713"/>
    <w:rsid w:val="00B81487"/>
    <w:rsid w:val="00B84292"/>
    <w:rsid w:val="00B8554E"/>
    <w:rsid w:val="00B85F1C"/>
    <w:rsid w:val="00B861CC"/>
    <w:rsid w:val="00B9094E"/>
    <w:rsid w:val="00B92FB1"/>
    <w:rsid w:val="00B95D57"/>
    <w:rsid w:val="00BA026E"/>
    <w:rsid w:val="00BA2D11"/>
    <w:rsid w:val="00BA380F"/>
    <w:rsid w:val="00BA4A10"/>
    <w:rsid w:val="00BA521C"/>
    <w:rsid w:val="00BA550E"/>
    <w:rsid w:val="00BB1630"/>
    <w:rsid w:val="00BB1B39"/>
    <w:rsid w:val="00BB1C6B"/>
    <w:rsid w:val="00BC0F8E"/>
    <w:rsid w:val="00BC27DE"/>
    <w:rsid w:val="00BC3B17"/>
    <w:rsid w:val="00BC4C46"/>
    <w:rsid w:val="00BD2CF7"/>
    <w:rsid w:val="00BD3399"/>
    <w:rsid w:val="00BD3F20"/>
    <w:rsid w:val="00BD4FC5"/>
    <w:rsid w:val="00BD554A"/>
    <w:rsid w:val="00BD69DE"/>
    <w:rsid w:val="00BE094B"/>
    <w:rsid w:val="00BF15C5"/>
    <w:rsid w:val="00BF185E"/>
    <w:rsid w:val="00BF2FAD"/>
    <w:rsid w:val="00C03196"/>
    <w:rsid w:val="00C03AD9"/>
    <w:rsid w:val="00C057B7"/>
    <w:rsid w:val="00C167BD"/>
    <w:rsid w:val="00C22394"/>
    <w:rsid w:val="00C22D93"/>
    <w:rsid w:val="00C253F2"/>
    <w:rsid w:val="00C26DFB"/>
    <w:rsid w:val="00C27606"/>
    <w:rsid w:val="00C27A3C"/>
    <w:rsid w:val="00C31867"/>
    <w:rsid w:val="00C34BB3"/>
    <w:rsid w:val="00C422F0"/>
    <w:rsid w:val="00C43515"/>
    <w:rsid w:val="00C55597"/>
    <w:rsid w:val="00C6059C"/>
    <w:rsid w:val="00C60AD6"/>
    <w:rsid w:val="00C62408"/>
    <w:rsid w:val="00C62B21"/>
    <w:rsid w:val="00C63A59"/>
    <w:rsid w:val="00C64161"/>
    <w:rsid w:val="00C65206"/>
    <w:rsid w:val="00C72229"/>
    <w:rsid w:val="00C74CFB"/>
    <w:rsid w:val="00C77366"/>
    <w:rsid w:val="00C80B9F"/>
    <w:rsid w:val="00C8194C"/>
    <w:rsid w:val="00C83B8B"/>
    <w:rsid w:val="00C850A8"/>
    <w:rsid w:val="00C8734B"/>
    <w:rsid w:val="00C93283"/>
    <w:rsid w:val="00CA044B"/>
    <w:rsid w:val="00CA5E85"/>
    <w:rsid w:val="00CA7456"/>
    <w:rsid w:val="00CB0E01"/>
    <w:rsid w:val="00CB135A"/>
    <w:rsid w:val="00CB627C"/>
    <w:rsid w:val="00CC3536"/>
    <w:rsid w:val="00CC3BB8"/>
    <w:rsid w:val="00CC5C79"/>
    <w:rsid w:val="00CD3DAF"/>
    <w:rsid w:val="00CD4802"/>
    <w:rsid w:val="00CD7BA1"/>
    <w:rsid w:val="00CE101E"/>
    <w:rsid w:val="00CE39D3"/>
    <w:rsid w:val="00CE460A"/>
    <w:rsid w:val="00CE473C"/>
    <w:rsid w:val="00CE47C9"/>
    <w:rsid w:val="00CE7102"/>
    <w:rsid w:val="00CF0919"/>
    <w:rsid w:val="00CF31A3"/>
    <w:rsid w:val="00CF499C"/>
    <w:rsid w:val="00CF6DEB"/>
    <w:rsid w:val="00D01BA1"/>
    <w:rsid w:val="00D124DE"/>
    <w:rsid w:val="00D1736C"/>
    <w:rsid w:val="00D23004"/>
    <w:rsid w:val="00D27552"/>
    <w:rsid w:val="00D278F1"/>
    <w:rsid w:val="00D3397B"/>
    <w:rsid w:val="00D339E0"/>
    <w:rsid w:val="00D43123"/>
    <w:rsid w:val="00D44064"/>
    <w:rsid w:val="00D46426"/>
    <w:rsid w:val="00D466BA"/>
    <w:rsid w:val="00D50460"/>
    <w:rsid w:val="00D564EB"/>
    <w:rsid w:val="00D56C87"/>
    <w:rsid w:val="00D61087"/>
    <w:rsid w:val="00D64605"/>
    <w:rsid w:val="00D647CD"/>
    <w:rsid w:val="00D64D62"/>
    <w:rsid w:val="00D661FE"/>
    <w:rsid w:val="00D668A6"/>
    <w:rsid w:val="00D72B0A"/>
    <w:rsid w:val="00D75FB7"/>
    <w:rsid w:val="00D80132"/>
    <w:rsid w:val="00D827FE"/>
    <w:rsid w:val="00D917AF"/>
    <w:rsid w:val="00D9400A"/>
    <w:rsid w:val="00DA30C8"/>
    <w:rsid w:val="00DA3324"/>
    <w:rsid w:val="00DA5FAB"/>
    <w:rsid w:val="00DB05E0"/>
    <w:rsid w:val="00DB0827"/>
    <w:rsid w:val="00DC0710"/>
    <w:rsid w:val="00DC21E9"/>
    <w:rsid w:val="00DC514D"/>
    <w:rsid w:val="00DC70BA"/>
    <w:rsid w:val="00DD2A64"/>
    <w:rsid w:val="00DD2B44"/>
    <w:rsid w:val="00DD59A5"/>
    <w:rsid w:val="00DD59D1"/>
    <w:rsid w:val="00DE05DF"/>
    <w:rsid w:val="00DE0D4C"/>
    <w:rsid w:val="00DF07D3"/>
    <w:rsid w:val="00DF71B9"/>
    <w:rsid w:val="00DF75EC"/>
    <w:rsid w:val="00DF7C34"/>
    <w:rsid w:val="00DF7D2A"/>
    <w:rsid w:val="00E00A8A"/>
    <w:rsid w:val="00E060DD"/>
    <w:rsid w:val="00E06390"/>
    <w:rsid w:val="00E11D36"/>
    <w:rsid w:val="00E14613"/>
    <w:rsid w:val="00E151BD"/>
    <w:rsid w:val="00E22265"/>
    <w:rsid w:val="00E24D6D"/>
    <w:rsid w:val="00E26EC0"/>
    <w:rsid w:val="00E30E0F"/>
    <w:rsid w:val="00E44079"/>
    <w:rsid w:val="00E5160F"/>
    <w:rsid w:val="00E519B3"/>
    <w:rsid w:val="00E54152"/>
    <w:rsid w:val="00E6246C"/>
    <w:rsid w:val="00E65518"/>
    <w:rsid w:val="00E66D53"/>
    <w:rsid w:val="00E71D53"/>
    <w:rsid w:val="00E75075"/>
    <w:rsid w:val="00E823F5"/>
    <w:rsid w:val="00E84063"/>
    <w:rsid w:val="00E843E2"/>
    <w:rsid w:val="00E844E2"/>
    <w:rsid w:val="00E922AE"/>
    <w:rsid w:val="00E95575"/>
    <w:rsid w:val="00EA49B9"/>
    <w:rsid w:val="00EA546D"/>
    <w:rsid w:val="00EA5868"/>
    <w:rsid w:val="00EA7362"/>
    <w:rsid w:val="00EA7C55"/>
    <w:rsid w:val="00EB46D2"/>
    <w:rsid w:val="00EB6D5B"/>
    <w:rsid w:val="00EC16C9"/>
    <w:rsid w:val="00EC2DE1"/>
    <w:rsid w:val="00EC4EE9"/>
    <w:rsid w:val="00EC75FE"/>
    <w:rsid w:val="00ED33C4"/>
    <w:rsid w:val="00ED3BE2"/>
    <w:rsid w:val="00ED4A6C"/>
    <w:rsid w:val="00ED54FC"/>
    <w:rsid w:val="00EE258E"/>
    <w:rsid w:val="00EE36D9"/>
    <w:rsid w:val="00EE4E69"/>
    <w:rsid w:val="00EE61B9"/>
    <w:rsid w:val="00EF4C37"/>
    <w:rsid w:val="00EF4E64"/>
    <w:rsid w:val="00EF641B"/>
    <w:rsid w:val="00F015CC"/>
    <w:rsid w:val="00F022F8"/>
    <w:rsid w:val="00F038F2"/>
    <w:rsid w:val="00F03B6C"/>
    <w:rsid w:val="00F048AB"/>
    <w:rsid w:val="00F051D6"/>
    <w:rsid w:val="00F0596B"/>
    <w:rsid w:val="00F10F58"/>
    <w:rsid w:val="00F13202"/>
    <w:rsid w:val="00F13A6D"/>
    <w:rsid w:val="00F13D08"/>
    <w:rsid w:val="00F16145"/>
    <w:rsid w:val="00F162F2"/>
    <w:rsid w:val="00F2632C"/>
    <w:rsid w:val="00F34646"/>
    <w:rsid w:val="00F35F16"/>
    <w:rsid w:val="00F41038"/>
    <w:rsid w:val="00F476F4"/>
    <w:rsid w:val="00F53A30"/>
    <w:rsid w:val="00F60595"/>
    <w:rsid w:val="00F61501"/>
    <w:rsid w:val="00F66A5D"/>
    <w:rsid w:val="00F7022C"/>
    <w:rsid w:val="00F70B2A"/>
    <w:rsid w:val="00F76F25"/>
    <w:rsid w:val="00F77610"/>
    <w:rsid w:val="00F82FC8"/>
    <w:rsid w:val="00F9105A"/>
    <w:rsid w:val="00F9133A"/>
    <w:rsid w:val="00F949E5"/>
    <w:rsid w:val="00F97A9B"/>
    <w:rsid w:val="00FA15E4"/>
    <w:rsid w:val="00FA279A"/>
    <w:rsid w:val="00FA59A2"/>
    <w:rsid w:val="00FB06A4"/>
    <w:rsid w:val="00FB3975"/>
    <w:rsid w:val="00FB5422"/>
    <w:rsid w:val="00FC0142"/>
    <w:rsid w:val="00FC0EA7"/>
    <w:rsid w:val="00FC12AB"/>
    <w:rsid w:val="00FC3A7B"/>
    <w:rsid w:val="00FC5C72"/>
    <w:rsid w:val="00FD54C6"/>
    <w:rsid w:val="00FD72DB"/>
    <w:rsid w:val="00FE3E0D"/>
    <w:rsid w:val="00FF2E42"/>
    <w:rsid w:val="00FF426B"/>
    <w:rsid w:val="00FF5B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8B1075"/>
  <w15:docId w15:val="{D49A26FB-2E63-4B13-9522-2B91ABDBE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9582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7667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9582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95821"/>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695821"/>
    <w:rPr>
      <w:rFonts w:asciiTheme="majorHAnsi" w:eastAsiaTheme="majorEastAsia" w:hAnsiTheme="majorHAnsi" w:cstheme="majorBidi"/>
      <w:b/>
      <w:bCs/>
      <w:color w:val="365F91" w:themeColor="accent1" w:themeShade="BF"/>
      <w:sz w:val="28"/>
      <w:szCs w:val="28"/>
    </w:rPr>
  </w:style>
  <w:style w:type="paragraph" w:styleId="Caption">
    <w:name w:val="caption"/>
    <w:basedOn w:val="Normal"/>
    <w:next w:val="Normal"/>
    <w:unhideWhenUsed/>
    <w:qFormat/>
    <w:rsid w:val="00695821"/>
    <w:pPr>
      <w:spacing w:line="240" w:lineRule="auto"/>
    </w:pPr>
    <w:rPr>
      <w:b/>
      <w:bCs/>
      <w:color w:val="4F81BD" w:themeColor="accent1"/>
      <w:sz w:val="18"/>
      <w:szCs w:val="18"/>
    </w:rPr>
  </w:style>
  <w:style w:type="paragraph" w:styleId="BodyText">
    <w:name w:val="Body Text"/>
    <w:basedOn w:val="Normal"/>
    <w:link w:val="BodyTextChar"/>
    <w:rsid w:val="00695821"/>
    <w:pPr>
      <w:spacing w:after="120" w:line="240" w:lineRule="auto"/>
    </w:pPr>
    <w:rPr>
      <w:rFonts w:ascii="Times New Roman" w:eastAsia="Times New Roman" w:hAnsi="Times New Roman" w:cs="Times New Roman"/>
      <w:sz w:val="24"/>
      <w:szCs w:val="20"/>
      <w:lang w:val="hr-HR"/>
    </w:rPr>
  </w:style>
  <w:style w:type="character" w:customStyle="1" w:styleId="BodyTextChar">
    <w:name w:val="Body Text Char"/>
    <w:basedOn w:val="DefaultParagraphFont"/>
    <w:link w:val="BodyText"/>
    <w:rsid w:val="00695821"/>
    <w:rPr>
      <w:rFonts w:ascii="Times New Roman" w:eastAsia="Times New Roman" w:hAnsi="Times New Roman" w:cs="Times New Roman"/>
      <w:sz w:val="24"/>
      <w:szCs w:val="20"/>
      <w:lang w:val="hr-HR"/>
    </w:rPr>
  </w:style>
  <w:style w:type="character" w:styleId="Emphasis">
    <w:name w:val="Emphasis"/>
    <w:qFormat/>
    <w:rsid w:val="00695821"/>
    <w:rPr>
      <w:i/>
      <w:iCs/>
    </w:rPr>
  </w:style>
  <w:style w:type="paragraph" w:styleId="BalloonText">
    <w:name w:val="Balloon Text"/>
    <w:basedOn w:val="Normal"/>
    <w:link w:val="BalloonTextChar"/>
    <w:uiPriority w:val="99"/>
    <w:semiHidden/>
    <w:unhideWhenUsed/>
    <w:rsid w:val="006958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5821"/>
    <w:rPr>
      <w:rFonts w:ascii="Tahoma" w:hAnsi="Tahoma" w:cs="Tahoma"/>
      <w:sz w:val="16"/>
      <w:szCs w:val="16"/>
    </w:rPr>
  </w:style>
  <w:style w:type="character" w:customStyle="1" w:styleId="Heading2Char">
    <w:name w:val="Heading 2 Char"/>
    <w:basedOn w:val="DefaultParagraphFont"/>
    <w:link w:val="Heading2"/>
    <w:uiPriority w:val="9"/>
    <w:rsid w:val="0037667D"/>
    <w:rPr>
      <w:rFonts w:asciiTheme="majorHAnsi" w:eastAsiaTheme="majorEastAsia" w:hAnsiTheme="majorHAnsi" w:cstheme="majorBidi"/>
      <w:b/>
      <w:bCs/>
      <w:color w:val="4F81BD" w:themeColor="accent1"/>
      <w:sz w:val="26"/>
      <w:szCs w:val="26"/>
    </w:rPr>
  </w:style>
  <w:style w:type="paragraph" w:styleId="TOCHeading">
    <w:name w:val="TOC Heading"/>
    <w:basedOn w:val="Heading1"/>
    <w:next w:val="Normal"/>
    <w:uiPriority w:val="39"/>
    <w:semiHidden/>
    <w:unhideWhenUsed/>
    <w:qFormat/>
    <w:rsid w:val="00C93283"/>
    <w:pPr>
      <w:outlineLvl w:val="9"/>
    </w:pPr>
    <w:rPr>
      <w:lang w:val="en-US" w:eastAsia="ja-JP"/>
    </w:rPr>
  </w:style>
  <w:style w:type="paragraph" w:styleId="TOC1">
    <w:name w:val="toc 1"/>
    <w:basedOn w:val="Normal"/>
    <w:next w:val="Normal"/>
    <w:autoRedefine/>
    <w:uiPriority w:val="39"/>
    <w:unhideWhenUsed/>
    <w:rsid w:val="00F61501"/>
    <w:pPr>
      <w:tabs>
        <w:tab w:val="left" w:pos="440"/>
        <w:tab w:val="right" w:leader="dot" w:pos="9062"/>
      </w:tabs>
      <w:spacing w:after="100"/>
      <w:jc w:val="both"/>
    </w:pPr>
  </w:style>
  <w:style w:type="paragraph" w:styleId="TOC2">
    <w:name w:val="toc 2"/>
    <w:basedOn w:val="Normal"/>
    <w:next w:val="Normal"/>
    <w:autoRedefine/>
    <w:uiPriority w:val="39"/>
    <w:unhideWhenUsed/>
    <w:rsid w:val="00C93283"/>
    <w:pPr>
      <w:spacing w:after="100"/>
      <w:ind w:left="220"/>
    </w:pPr>
  </w:style>
  <w:style w:type="character" w:styleId="Hyperlink">
    <w:name w:val="Hyperlink"/>
    <w:basedOn w:val="DefaultParagraphFont"/>
    <w:uiPriority w:val="99"/>
    <w:unhideWhenUsed/>
    <w:rsid w:val="00C93283"/>
    <w:rPr>
      <w:color w:val="0000FF" w:themeColor="hyperlink"/>
      <w:u w:val="single"/>
    </w:rPr>
  </w:style>
  <w:style w:type="paragraph" w:styleId="Header">
    <w:name w:val="header"/>
    <w:basedOn w:val="Normal"/>
    <w:link w:val="HeaderChar"/>
    <w:uiPriority w:val="99"/>
    <w:unhideWhenUsed/>
    <w:rsid w:val="007E7900"/>
    <w:pPr>
      <w:tabs>
        <w:tab w:val="center" w:pos="4536"/>
        <w:tab w:val="right" w:pos="9072"/>
      </w:tabs>
      <w:spacing w:after="0" w:line="240" w:lineRule="auto"/>
    </w:pPr>
  </w:style>
  <w:style w:type="character" w:customStyle="1" w:styleId="HeaderChar">
    <w:name w:val="Header Char"/>
    <w:basedOn w:val="DefaultParagraphFont"/>
    <w:link w:val="Header"/>
    <w:uiPriority w:val="99"/>
    <w:rsid w:val="007E7900"/>
  </w:style>
  <w:style w:type="paragraph" w:styleId="Footer">
    <w:name w:val="footer"/>
    <w:basedOn w:val="Normal"/>
    <w:link w:val="FooterChar"/>
    <w:uiPriority w:val="99"/>
    <w:unhideWhenUsed/>
    <w:rsid w:val="007E7900"/>
    <w:pPr>
      <w:tabs>
        <w:tab w:val="center" w:pos="4536"/>
        <w:tab w:val="right" w:pos="9072"/>
      </w:tabs>
      <w:spacing w:after="0" w:line="240" w:lineRule="auto"/>
    </w:pPr>
  </w:style>
  <w:style w:type="character" w:customStyle="1" w:styleId="FooterChar">
    <w:name w:val="Footer Char"/>
    <w:basedOn w:val="DefaultParagraphFont"/>
    <w:link w:val="Footer"/>
    <w:uiPriority w:val="99"/>
    <w:rsid w:val="007E7900"/>
  </w:style>
  <w:style w:type="paragraph" w:styleId="TableofFigures">
    <w:name w:val="table of figures"/>
    <w:basedOn w:val="Normal"/>
    <w:next w:val="Normal"/>
    <w:uiPriority w:val="99"/>
    <w:unhideWhenUsed/>
    <w:rsid w:val="00680042"/>
    <w:pPr>
      <w:spacing w:after="0"/>
    </w:pPr>
  </w:style>
  <w:style w:type="paragraph" w:styleId="ListParagraph">
    <w:name w:val="List Paragraph"/>
    <w:basedOn w:val="Normal"/>
    <w:uiPriority w:val="34"/>
    <w:qFormat/>
    <w:rsid w:val="007B7DD4"/>
    <w:pPr>
      <w:ind w:left="720"/>
      <w:contextualSpacing/>
    </w:pPr>
  </w:style>
  <w:style w:type="paragraph" w:styleId="FootnoteText">
    <w:name w:val="footnote text"/>
    <w:aliases w:val="Tekst fusnote Char2 Char,Tekst fusnote Char1 Char1 Char,Tekst fusnote Char Char Char1 Char,Tekst fusnote Char1 Char Char Char Char,Tekst fusnote Char Char Char Char Char Char,Tekst fusnote Char Char1 Char Char,fn,Fußnote"/>
    <w:basedOn w:val="Normal"/>
    <w:link w:val="FootnoteTextChar"/>
    <w:uiPriority w:val="99"/>
    <w:rsid w:val="00E06390"/>
    <w:pPr>
      <w:spacing w:after="0" w:line="240" w:lineRule="auto"/>
    </w:pPr>
    <w:rPr>
      <w:rFonts w:ascii="Times New Roman" w:eastAsia="Times New Roman" w:hAnsi="Times New Roman" w:cs="Times New Roman"/>
      <w:sz w:val="20"/>
      <w:szCs w:val="20"/>
      <w:lang w:val="hr-HR" w:eastAsia="hr-HR"/>
    </w:rPr>
  </w:style>
  <w:style w:type="character" w:customStyle="1" w:styleId="FootnoteTextChar">
    <w:name w:val="Footnote Text Char"/>
    <w:aliases w:val="Tekst fusnote Char2 Char Char,Tekst fusnote Char1 Char1 Char Char,Tekst fusnote Char Char Char1 Char Char,Tekst fusnote Char1 Char Char Char Char Char,Tekst fusnote Char Char Char Char Char Char Char,fn Char,Fußnote Char"/>
    <w:basedOn w:val="DefaultParagraphFont"/>
    <w:link w:val="FootnoteText"/>
    <w:uiPriority w:val="99"/>
    <w:rsid w:val="00E06390"/>
    <w:rPr>
      <w:rFonts w:ascii="Times New Roman" w:eastAsia="Times New Roman" w:hAnsi="Times New Roman" w:cs="Times New Roman"/>
      <w:sz w:val="20"/>
      <w:szCs w:val="20"/>
      <w:lang w:val="hr-HR" w:eastAsia="hr-HR"/>
    </w:rPr>
  </w:style>
  <w:style w:type="character" w:styleId="FootnoteReference">
    <w:name w:val="footnote reference"/>
    <w:aliases w:val="BVI fnr,16 Point,Superscript 6 Point"/>
    <w:basedOn w:val="DefaultParagraphFont"/>
    <w:rsid w:val="00E06390"/>
    <w:rPr>
      <w:vertAlign w:val="superscript"/>
    </w:rPr>
  </w:style>
  <w:style w:type="paragraph" w:customStyle="1" w:styleId="Default">
    <w:name w:val="Default"/>
    <w:rsid w:val="00BB1B39"/>
    <w:pPr>
      <w:autoSpaceDE w:val="0"/>
      <w:autoSpaceDN w:val="0"/>
      <w:adjustRightInd w:val="0"/>
      <w:spacing w:after="0" w:line="240" w:lineRule="auto"/>
    </w:pPr>
    <w:rPr>
      <w:rFonts w:ascii="Times New Roman" w:hAnsi="Times New Roman" w:cs="Times New Roman"/>
      <w:color w:val="000000"/>
      <w:sz w:val="24"/>
      <w:szCs w:val="24"/>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25065">
      <w:bodyDiv w:val="1"/>
      <w:marLeft w:val="0"/>
      <w:marRight w:val="0"/>
      <w:marTop w:val="0"/>
      <w:marBottom w:val="0"/>
      <w:divBdr>
        <w:top w:val="none" w:sz="0" w:space="0" w:color="auto"/>
        <w:left w:val="none" w:sz="0" w:space="0" w:color="auto"/>
        <w:bottom w:val="none" w:sz="0" w:space="0" w:color="auto"/>
        <w:right w:val="none" w:sz="0" w:space="0" w:color="auto"/>
      </w:divBdr>
    </w:div>
    <w:div w:id="449478543">
      <w:bodyDiv w:val="1"/>
      <w:marLeft w:val="0"/>
      <w:marRight w:val="0"/>
      <w:marTop w:val="0"/>
      <w:marBottom w:val="0"/>
      <w:divBdr>
        <w:top w:val="none" w:sz="0" w:space="0" w:color="auto"/>
        <w:left w:val="none" w:sz="0" w:space="0" w:color="auto"/>
        <w:bottom w:val="none" w:sz="0" w:space="0" w:color="auto"/>
        <w:right w:val="none" w:sz="0" w:space="0" w:color="auto"/>
      </w:divBdr>
    </w:div>
    <w:div w:id="1001618430">
      <w:bodyDiv w:val="1"/>
      <w:marLeft w:val="0"/>
      <w:marRight w:val="0"/>
      <w:marTop w:val="0"/>
      <w:marBottom w:val="0"/>
      <w:divBdr>
        <w:top w:val="none" w:sz="0" w:space="0" w:color="auto"/>
        <w:left w:val="none" w:sz="0" w:space="0" w:color="auto"/>
        <w:bottom w:val="none" w:sz="0" w:space="0" w:color="auto"/>
        <w:right w:val="none" w:sz="0" w:space="0" w:color="auto"/>
      </w:divBdr>
    </w:div>
    <w:div w:id="140391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emf"/><Relationship Id="rId18" Type="http://schemas.openxmlformats.org/officeDocument/2006/relationships/image" Target="media/image10.emf"/><Relationship Id="rId3" Type="http://schemas.openxmlformats.org/officeDocument/2006/relationships/styles" Target="styles.xml"/><Relationship Id="rId21" Type="http://schemas.openxmlformats.org/officeDocument/2006/relationships/image" Target="media/image13.emf"/><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7.emf"/><Relationship Id="rId23" Type="http://schemas.openxmlformats.org/officeDocument/2006/relationships/image" Target="media/image15.png"/><Relationship Id="rId10" Type="http://schemas.openxmlformats.org/officeDocument/2006/relationships/image" Target="media/image2.emf"/><Relationship Id="rId19" Type="http://schemas.openxmlformats.org/officeDocument/2006/relationships/image" Target="media/image11.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C22D16-15E5-4110-9F28-D716F5CEC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28</Pages>
  <Words>8517</Words>
  <Characters>48549</Characters>
  <Application>Microsoft Office Word</Application>
  <DocSecurity>0</DocSecurity>
  <Lines>404</Lines>
  <Paragraphs>113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56953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dc:creator>
  <cp:lastModifiedBy>Anita Memić</cp:lastModifiedBy>
  <cp:revision>5</cp:revision>
  <cp:lastPrinted>2021-10-28T09:12:00Z</cp:lastPrinted>
  <dcterms:created xsi:type="dcterms:W3CDTF">2021-10-28T06:07:00Z</dcterms:created>
  <dcterms:modified xsi:type="dcterms:W3CDTF">2021-10-28T09:12:00Z</dcterms:modified>
</cp:coreProperties>
</file>