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09C" w:rsidRPr="00B77561" w:rsidRDefault="0044209C" w:rsidP="00B77561">
      <w:pPr>
        <w:ind w:left="360"/>
        <w:jc w:val="center"/>
      </w:pPr>
      <w:r w:rsidRPr="00B77561">
        <w:rPr>
          <w:b/>
        </w:rPr>
        <w:t xml:space="preserve">IZVJEŠTAJ O ZADUŽIVANJU NA DOMAĆEM I STRANOM TRŽIŠTU NOVCA I KAPITALA U </w:t>
      </w:r>
      <w:r w:rsidRPr="00B77561">
        <w:rPr>
          <w:b/>
          <w:bCs/>
        </w:rPr>
        <w:t>PRVOM POLUGODIŠTU 2022. GODINE</w:t>
      </w:r>
    </w:p>
    <w:p w:rsidR="0044209C" w:rsidRPr="00B77561" w:rsidRDefault="0044209C" w:rsidP="00B77561">
      <w:pPr>
        <w:tabs>
          <w:tab w:val="left" w:pos="0"/>
        </w:tabs>
        <w:jc w:val="both"/>
        <w:rPr>
          <w:b/>
        </w:rPr>
      </w:pPr>
    </w:p>
    <w:p w:rsidR="0044209C" w:rsidRPr="00B77561" w:rsidRDefault="0044209C" w:rsidP="00B77561">
      <w:pPr>
        <w:pStyle w:val="Uvuenotijeloteksta"/>
        <w:ind w:firstLine="0"/>
      </w:pPr>
      <w:r w:rsidRPr="00B77561">
        <w:t>Hrvatski sabor je sukladno članku 42. Zakona o izvršavanju Državnog proračuna Republike Hrvatske za 2022. go</w:t>
      </w:r>
      <w:r w:rsidR="00130B90">
        <w:t>dinu (Narodne novine, broj 62/</w:t>
      </w:r>
      <w:r w:rsidRPr="00B77561">
        <w:t>22) ovlastio Ministarstvo financija Republike Hrvatske, da se u ime Republike Hrvatske može zadužiti na domaćem i inozemnom tržištu novca i kapitala do ukupnog iznosa od 44.192.385.071</w:t>
      </w:r>
      <w:r w:rsidRPr="00B77561">
        <w:rPr>
          <w:rFonts w:eastAsiaTheme="minorHAnsi"/>
          <w:lang w:eastAsia="en-US"/>
        </w:rPr>
        <w:t>,00</w:t>
      </w:r>
      <w:r w:rsidRPr="00B77561">
        <w:t xml:space="preserve"> kuna. </w:t>
      </w:r>
    </w:p>
    <w:p w:rsidR="0044209C" w:rsidRPr="00B77561" w:rsidRDefault="0044209C" w:rsidP="00B77561">
      <w:pPr>
        <w:pStyle w:val="Uvuenotijeloteksta"/>
        <w:ind w:firstLine="0"/>
      </w:pPr>
    </w:p>
    <w:p w:rsidR="0044209C" w:rsidRPr="00B77561" w:rsidRDefault="0044209C" w:rsidP="00B77561">
      <w:pPr>
        <w:pStyle w:val="Odlomakpopisa"/>
        <w:numPr>
          <w:ilvl w:val="0"/>
          <w:numId w:val="1"/>
        </w:numPr>
        <w:jc w:val="both"/>
        <w:rPr>
          <w:b/>
          <w:i/>
        </w:rPr>
      </w:pPr>
      <w:r w:rsidRPr="00B77561">
        <w:rPr>
          <w:b/>
          <w:i/>
        </w:rPr>
        <w:t xml:space="preserve">Obveznice uz plasman na domaćem tržištu kapitala </w:t>
      </w:r>
    </w:p>
    <w:p w:rsidR="0044209C" w:rsidRPr="00B77561" w:rsidRDefault="0044209C" w:rsidP="00B77561">
      <w:pPr>
        <w:pStyle w:val="Odlomakpopisa"/>
        <w:jc w:val="both"/>
        <w:rPr>
          <w:b/>
          <w:i/>
        </w:rPr>
      </w:pPr>
    </w:p>
    <w:p w:rsidR="0044209C" w:rsidRPr="00B77561" w:rsidRDefault="0044209C" w:rsidP="00B77561">
      <w:pPr>
        <w:jc w:val="both"/>
      </w:pPr>
      <w:r w:rsidRPr="00B77561">
        <w:t>Republika Hrvatska zastupana po Ministarstvu financija je 1. veljače 2022. godine donijela odluku o izdanju obveznica uz plasman na domaćem tržištu kapitala u iznosu 1 milijarde eura, uz valutnu klauzulu. Obveznice su izdane po cijeni 99,943% nominalnog iznosa uz nepromjenjivi kamatni kupon od 1,25%</w:t>
      </w:r>
      <w:r w:rsidRPr="00B77561">
        <w:rPr>
          <w:b/>
        </w:rPr>
        <w:t xml:space="preserve"> </w:t>
      </w:r>
      <w:r w:rsidRPr="00B77561">
        <w:t xml:space="preserve">godišnje, što čini prinos do dospijeća od 1,39% godišnje. Kamatni kupon isplaćivat će se polugodišnje. Datum izdanja, odnosno uvrštenja obveznica u usluge </w:t>
      </w:r>
      <w:proofErr w:type="spellStart"/>
      <w:r w:rsidRPr="00B77561">
        <w:t>depozitorija</w:t>
      </w:r>
      <w:proofErr w:type="spellEnd"/>
      <w:r w:rsidRPr="00B77561">
        <w:t>, poravnanja i namire Središnjeg klirinškog depozitarnog društva d.d. je 4. veljače 2022., a dospijeće obveznica je 4. veljače 2030. godine. Sredstva prikupljena ovim izdanjem upotrijebljena su primarno za otplatu obveznica iznosa 500 milijuna eura uz valutnu klauzulu, dospijeća 5. veljače 2022. i obveznica u nominalnom iznosu 3 milijarde kuna dospijeća 7. veljače 2022. te za financiranje općih potreba državnog proračuna.</w:t>
      </w:r>
    </w:p>
    <w:p w:rsidR="0044209C" w:rsidRPr="00B77561" w:rsidRDefault="0044209C" w:rsidP="00B77561">
      <w:pPr>
        <w:jc w:val="both"/>
      </w:pPr>
    </w:p>
    <w:p w:rsidR="0044209C" w:rsidRPr="00B77561" w:rsidRDefault="0044209C" w:rsidP="00B77561">
      <w:pPr>
        <w:keepNext/>
        <w:spacing w:after="120"/>
        <w:jc w:val="both"/>
        <w:rPr>
          <w:i/>
        </w:rPr>
      </w:pPr>
      <w:r w:rsidRPr="00B77561">
        <w:rPr>
          <w:i/>
        </w:rPr>
        <w:t>Tablica 1. Pregled aktivnih domaćih obveznica Republike Hrvatske, 30. lipnja 2022.</w:t>
      </w:r>
    </w:p>
    <w:p w:rsidR="0044209C" w:rsidRPr="00B77561" w:rsidRDefault="0044209C" w:rsidP="00B77561">
      <w:pPr>
        <w:keepNext/>
        <w:jc w:val="both"/>
        <w:rPr>
          <w:i/>
        </w:rPr>
      </w:pPr>
      <w:r w:rsidRPr="00B77561">
        <w:rPr>
          <w:noProof/>
        </w:rPr>
        <w:drawing>
          <wp:inline distT="0" distB="0" distL="0" distR="0" wp14:anchorId="325200C9" wp14:editId="0EF4FF3B">
            <wp:extent cx="5581650" cy="3917950"/>
            <wp:effectExtent l="0" t="0" r="0" b="635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0" cy="3917950"/>
                    </a:xfrm>
                    <a:prstGeom prst="rect">
                      <a:avLst/>
                    </a:prstGeom>
                    <a:noFill/>
                    <a:ln>
                      <a:noFill/>
                    </a:ln>
                  </pic:spPr>
                </pic:pic>
              </a:graphicData>
            </a:graphic>
          </wp:inline>
        </w:drawing>
      </w:r>
    </w:p>
    <w:p w:rsidR="0044209C" w:rsidRPr="00B77561" w:rsidRDefault="0044209C" w:rsidP="00B77561">
      <w:pPr>
        <w:jc w:val="both"/>
        <w:rPr>
          <w:i/>
        </w:rPr>
      </w:pPr>
      <w:r w:rsidRPr="00B77561">
        <w:rPr>
          <w:i/>
        </w:rPr>
        <w:t>Izvor: Ministarstvo financija</w:t>
      </w:r>
    </w:p>
    <w:p w:rsidR="0044209C" w:rsidRPr="00B77561" w:rsidRDefault="0044209C" w:rsidP="00B77561">
      <w:pPr>
        <w:jc w:val="both"/>
        <w:rPr>
          <w:i/>
        </w:rPr>
      </w:pPr>
    </w:p>
    <w:p w:rsidR="002A7CF3" w:rsidRPr="00B77561" w:rsidRDefault="0044209C" w:rsidP="00B77561">
      <w:pPr>
        <w:jc w:val="both"/>
      </w:pPr>
      <w:r w:rsidRPr="00B77561">
        <w:t>U tablici 1. dan je prikaz aktivnih obveznica na dan 30. lipnja 2022. godine izdanih na domaćem tržištu kapitala. Uz svaku pojedinačnu seriju obveznice naznačen je datum izdanja, valuta i iznos izdanja te godišnja kuponska kamatna stopa i datum dospijeća otplate izdanja.</w:t>
      </w:r>
    </w:p>
    <w:p w:rsidR="0044209C" w:rsidRPr="00B77561" w:rsidRDefault="0044209C" w:rsidP="00B77561">
      <w:pPr>
        <w:pStyle w:val="Odlomakpopisa"/>
        <w:numPr>
          <w:ilvl w:val="0"/>
          <w:numId w:val="1"/>
        </w:numPr>
        <w:spacing w:after="200"/>
        <w:jc w:val="both"/>
        <w:rPr>
          <w:b/>
          <w:i/>
        </w:rPr>
      </w:pPr>
      <w:proofErr w:type="spellStart"/>
      <w:r w:rsidRPr="00B77561">
        <w:rPr>
          <w:b/>
          <w:i/>
        </w:rPr>
        <w:lastRenderedPageBreak/>
        <w:t>Euroobveznice</w:t>
      </w:r>
      <w:proofErr w:type="spellEnd"/>
      <w:r w:rsidRPr="00B77561">
        <w:rPr>
          <w:b/>
          <w:i/>
        </w:rPr>
        <w:t xml:space="preserve"> na međunarodnom tržištu</w:t>
      </w:r>
    </w:p>
    <w:p w:rsidR="0044209C" w:rsidRPr="00B77561" w:rsidRDefault="0044209C" w:rsidP="00B77561">
      <w:pPr>
        <w:jc w:val="both"/>
      </w:pPr>
      <w:r w:rsidRPr="00B77561">
        <w:t xml:space="preserve">Republika Hrvatska je u travnju uspješno realizirala izdanje </w:t>
      </w:r>
      <w:proofErr w:type="spellStart"/>
      <w:r w:rsidRPr="00B77561">
        <w:t>euroobveznice</w:t>
      </w:r>
      <w:proofErr w:type="spellEnd"/>
      <w:r w:rsidRPr="00B77561">
        <w:t xml:space="preserve"> na međunarodnom financijskom tržištu u iznosu 1,25 milijarde eura. Obveznice su izdane po cijeni od 99,146% nominalnog iznosa uz nepromjenjivi kamatni kupon od 2,875%</w:t>
      </w:r>
      <w:r w:rsidRPr="00B77561">
        <w:rPr>
          <w:b/>
        </w:rPr>
        <w:t xml:space="preserve"> </w:t>
      </w:r>
      <w:r w:rsidRPr="00B77561">
        <w:t xml:space="preserve">godišnje, što čini prinos do dospijeća od 2,975%. Kamatni kupon isplaćivat će se jednom godišnje. Obveznice su uplaćene 22. travnja 2022., a datum dospijeća obveznica je 22. travnja 2032. </w:t>
      </w:r>
    </w:p>
    <w:p w:rsidR="0044209C" w:rsidRPr="00B77561" w:rsidRDefault="0044209C" w:rsidP="00B77561">
      <w:pPr>
        <w:jc w:val="both"/>
      </w:pPr>
    </w:p>
    <w:p w:rsidR="0044209C" w:rsidRPr="00B77561" w:rsidRDefault="0044209C" w:rsidP="00B77561">
      <w:pPr>
        <w:jc w:val="both"/>
      </w:pPr>
      <w:r w:rsidRPr="00B77561">
        <w:t xml:space="preserve">Sredstva prikupljena ovim izdanjem iskoristila su se za financiranje općih potreba državnog proračuna, koje uključuju refinanciranje </w:t>
      </w:r>
      <w:proofErr w:type="spellStart"/>
      <w:r w:rsidRPr="00B77561">
        <w:t>euroobveznica</w:t>
      </w:r>
      <w:proofErr w:type="spellEnd"/>
      <w:r w:rsidRPr="00B77561">
        <w:t xml:space="preserve"> Republike Hrvatske dospijeća 30. svibnja 2022. godine nominalnog iznosa 1,25 milijardi eura, a koje su nosile kamatu od 3,875%.</w:t>
      </w:r>
    </w:p>
    <w:p w:rsidR="0044209C" w:rsidRPr="00B77561" w:rsidRDefault="0044209C" w:rsidP="00B77561">
      <w:pPr>
        <w:jc w:val="both"/>
      </w:pPr>
    </w:p>
    <w:p w:rsidR="0044209C" w:rsidRPr="00B77561" w:rsidRDefault="0044209C" w:rsidP="00B77561">
      <w:pPr>
        <w:jc w:val="both"/>
      </w:pPr>
      <w:r w:rsidRPr="00B77561">
        <w:t xml:space="preserve">U tablici 2. dan je prikaz aktivnih obveznica na dan 30. lipnja 2022. izdanih na međunarodnom tržištu s naznačenim datumom izdanja, valutom i iznosom izdanja te godišnjom kuponskom kamatom i datumom dospijeća otplate izdanja. Zbog potrebe otklanjanja valutnog rizika izdane su dvije valutne </w:t>
      </w:r>
      <w:proofErr w:type="spellStart"/>
      <w:r w:rsidRPr="00B77561">
        <w:t>swap</w:t>
      </w:r>
      <w:proofErr w:type="spellEnd"/>
      <w:r w:rsidRPr="00B77561">
        <w:t xml:space="preserve"> transakcije dolarskih obveznica, čime se izdane dolarske obveznice i pripadajuće kamate po unaprijed fiksiranom omjeru USD/EUR prebacuju u </w:t>
      </w:r>
      <w:proofErr w:type="spellStart"/>
      <w:r w:rsidRPr="00B77561">
        <w:t>eurske</w:t>
      </w:r>
      <w:proofErr w:type="spellEnd"/>
      <w:r w:rsidRPr="00B77561">
        <w:t xml:space="preserve"> obveze.</w:t>
      </w:r>
    </w:p>
    <w:p w:rsidR="0044209C" w:rsidRPr="00B77561" w:rsidRDefault="0044209C" w:rsidP="00B77561">
      <w:pPr>
        <w:jc w:val="both"/>
        <w:rPr>
          <w:i/>
        </w:rPr>
      </w:pPr>
    </w:p>
    <w:p w:rsidR="0044209C" w:rsidRPr="00B77561" w:rsidRDefault="0044209C" w:rsidP="00B77561">
      <w:pPr>
        <w:keepNext/>
        <w:spacing w:after="240"/>
        <w:jc w:val="both"/>
        <w:rPr>
          <w:i/>
        </w:rPr>
      </w:pPr>
      <w:r w:rsidRPr="00B77561">
        <w:rPr>
          <w:i/>
        </w:rPr>
        <w:t>Tablica 2. Pregled aktivnih međunarodnih obveznica Republike Hrvatske, 30. lipnja 2022.</w:t>
      </w:r>
    </w:p>
    <w:p w:rsidR="0044209C" w:rsidRPr="00B77561" w:rsidRDefault="0044209C" w:rsidP="00B77561">
      <w:pPr>
        <w:keepNext/>
        <w:jc w:val="both"/>
        <w:rPr>
          <w:i/>
        </w:rPr>
      </w:pPr>
      <w:r w:rsidRPr="00B77561">
        <w:rPr>
          <w:noProof/>
        </w:rPr>
        <w:drawing>
          <wp:inline distT="0" distB="0" distL="0" distR="0" wp14:anchorId="67F03699" wp14:editId="056B8652">
            <wp:extent cx="5760720" cy="3379296"/>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379296"/>
                    </a:xfrm>
                    <a:prstGeom prst="rect">
                      <a:avLst/>
                    </a:prstGeom>
                    <a:noFill/>
                    <a:ln>
                      <a:noFill/>
                    </a:ln>
                  </pic:spPr>
                </pic:pic>
              </a:graphicData>
            </a:graphic>
          </wp:inline>
        </w:drawing>
      </w:r>
    </w:p>
    <w:p w:rsidR="0044209C" w:rsidRPr="00B77561" w:rsidRDefault="0044209C" w:rsidP="00B77561">
      <w:pPr>
        <w:jc w:val="both"/>
        <w:rPr>
          <w:i/>
        </w:rPr>
      </w:pPr>
      <w:r w:rsidRPr="00B77561">
        <w:rPr>
          <w:i/>
        </w:rPr>
        <w:t>Izvor: Ministarstvo financija</w:t>
      </w:r>
    </w:p>
    <w:p w:rsidR="0044209C" w:rsidRPr="00B77561" w:rsidRDefault="0044209C" w:rsidP="00B77561">
      <w:pPr>
        <w:jc w:val="both"/>
      </w:pPr>
    </w:p>
    <w:p w:rsidR="0044209C" w:rsidRPr="00B77561" w:rsidRDefault="0044209C" w:rsidP="00B77561">
      <w:pPr>
        <w:jc w:val="both"/>
      </w:pPr>
    </w:p>
    <w:p w:rsidR="0044209C" w:rsidRPr="00B77561" w:rsidRDefault="0044209C" w:rsidP="00B77561">
      <w:pPr>
        <w:pStyle w:val="Odlomakpopisa"/>
        <w:numPr>
          <w:ilvl w:val="0"/>
          <w:numId w:val="1"/>
        </w:numPr>
        <w:tabs>
          <w:tab w:val="left" w:pos="360"/>
        </w:tabs>
        <w:jc w:val="both"/>
        <w:rPr>
          <w:b/>
          <w:i/>
        </w:rPr>
      </w:pPr>
      <w:r w:rsidRPr="00B77561">
        <w:rPr>
          <w:b/>
          <w:i/>
        </w:rPr>
        <w:t xml:space="preserve">Zaduživanje na domaćem tržištu putem dugoročnih kredita </w:t>
      </w:r>
    </w:p>
    <w:p w:rsidR="0044209C" w:rsidRPr="00B77561" w:rsidRDefault="0044209C" w:rsidP="00B77561">
      <w:pPr>
        <w:tabs>
          <w:tab w:val="left" w:pos="360"/>
        </w:tabs>
        <w:jc w:val="both"/>
        <w:rPr>
          <w:b/>
          <w:i/>
        </w:rPr>
      </w:pPr>
    </w:p>
    <w:p w:rsidR="0044209C" w:rsidRPr="00B77561" w:rsidRDefault="0044209C" w:rsidP="00B77561">
      <w:pPr>
        <w:pStyle w:val="Odlomakpopisa"/>
        <w:numPr>
          <w:ilvl w:val="0"/>
          <w:numId w:val="2"/>
        </w:numPr>
        <w:tabs>
          <w:tab w:val="left" w:pos="360"/>
        </w:tabs>
        <w:jc w:val="both"/>
      </w:pPr>
      <w:r w:rsidRPr="00B77561">
        <w:t xml:space="preserve">Kredit u iznosu od 360.000.000,00 eura uz valutnu klauzulu  </w:t>
      </w:r>
    </w:p>
    <w:p w:rsidR="0044209C" w:rsidRPr="00B77561" w:rsidRDefault="0044209C" w:rsidP="00B77561">
      <w:pPr>
        <w:tabs>
          <w:tab w:val="left" w:pos="360"/>
        </w:tabs>
        <w:jc w:val="both"/>
      </w:pPr>
    </w:p>
    <w:p w:rsidR="0044209C" w:rsidRPr="00B77561" w:rsidRDefault="0044209C" w:rsidP="00B77561">
      <w:pPr>
        <w:tabs>
          <w:tab w:val="left" w:pos="360"/>
        </w:tabs>
        <w:jc w:val="both"/>
      </w:pPr>
      <w:r w:rsidRPr="00B77561">
        <w:t xml:space="preserve">Radi izvršenja izdataka utvrđenih Zakonom o izvršavanju Državnog proračuna, Republika Hrvatska se u ožujku zadužila na domaćem financijskom tržištu u iznosu 360 milijuna eura uz valutnu klauzulu. Kamatna stopa je promjenjiva, jednaka zbroju šestomjesečnog EURIBOR-a </w:t>
      </w:r>
      <w:r w:rsidRPr="00B77561">
        <w:lastRenderedPageBreak/>
        <w:t>i marže u iznosu od 0,45% godišnje. Glavnica će se otplaćivati u deset jednakih polugodišnjih rata od kojih prva dos</w:t>
      </w:r>
      <w:r w:rsidR="00780E5C">
        <w:t xml:space="preserve">pijeva na naplatu 31. listopada </w:t>
      </w:r>
      <w:r w:rsidRPr="00B77561">
        <w:t xml:space="preserve">2022., a zadnja 30. travnja 2027. godine. </w:t>
      </w:r>
    </w:p>
    <w:p w:rsidR="0044209C" w:rsidRPr="00B77561" w:rsidRDefault="0044209C" w:rsidP="00B77561">
      <w:pPr>
        <w:tabs>
          <w:tab w:val="left" w:pos="360"/>
        </w:tabs>
        <w:jc w:val="both"/>
      </w:pPr>
    </w:p>
    <w:p w:rsidR="0044209C" w:rsidRPr="00B77561" w:rsidRDefault="0044209C" w:rsidP="00B77561">
      <w:pPr>
        <w:pStyle w:val="Odlomakpopisa"/>
        <w:numPr>
          <w:ilvl w:val="0"/>
          <w:numId w:val="2"/>
        </w:numPr>
        <w:tabs>
          <w:tab w:val="left" w:pos="360"/>
        </w:tabs>
        <w:jc w:val="both"/>
      </w:pPr>
      <w:r w:rsidRPr="00B77561">
        <w:t xml:space="preserve">Kredit u iznosu od 200.000.000,00 eura uz valutnu klauzulu  </w:t>
      </w:r>
    </w:p>
    <w:p w:rsidR="0044209C" w:rsidRPr="00B77561" w:rsidRDefault="0044209C" w:rsidP="00B77561">
      <w:pPr>
        <w:tabs>
          <w:tab w:val="left" w:pos="360"/>
        </w:tabs>
        <w:jc w:val="both"/>
      </w:pPr>
    </w:p>
    <w:p w:rsidR="0044209C" w:rsidRPr="00B77561" w:rsidRDefault="0044209C" w:rsidP="00B77561">
      <w:pPr>
        <w:tabs>
          <w:tab w:val="left" w:pos="360"/>
        </w:tabs>
        <w:jc w:val="both"/>
      </w:pPr>
      <w:r w:rsidRPr="00B77561">
        <w:t>U ožujku 2022. Republika Hrvatska se zadužila na domaćem financijskom tržištu u iznosu 200 milijuna eura uz valutnu klauzulu. Kamatna stopa je promjenjiva, jednaka zbroju šestomjesečnog EURIBOR-a i marže u iznosu od 0,27% godišnje. Glavnica će se otplaćivati u osam jednakih polugodišnjih rata od kojih prva dospijeva na napla</w:t>
      </w:r>
      <w:r w:rsidR="003A1E04">
        <w:t xml:space="preserve">tu 30. rujna 2022., a posljednja 31. ožujka </w:t>
      </w:r>
      <w:r w:rsidRPr="00B77561">
        <w:t xml:space="preserve">2026. godine. </w:t>
      </w:r>
    </w:p>
    <w:p w:rsidR="0044209C" w:rsidRPr="00B77561" w:rsidRDefault="0044209C" w:rsidP="00B77561">
      <w:pPr>
        <w:tabs>
          <w:tab w:val="left" w:pos="360"/>
        </w:tabs>
        <w:jc w:val="both"/>
      </w:pPr>
    </w:p>
    <w:p w:rsidR="0044209C" w:rsidRPr="00B77561" w:rsidRDefault="0044209C" w:rsidP="00B77561">
      <w:pPr>
        <w:pStyle w:val="Odlomakpopisa"/>
        <w:numPr>
          <w:ilvl w:val="0"/>
          <w:numId w:val="2"/>
        </w:numPr>
        <w:tabs>
          <w:tab w:val="left" w:pos="360"/>
        </w:tabs>
        <w:jc w:val="both"/>
      </w:pPr>
      <w:r w:rsidRPr="00B77561">
        <w:t xml:space="preserve">Kredit u iznosu od 120.000.000,00 eura uz valutnu klauzulu  </w:t>
      </w:r>
    </w:p>
    <w:p w:rsidR="0044209C" w:rsidRPr="00B77561" w:rsidRDefault="0044209C" w:rsidP="00B77561">
      <w:pPr>
        <w:tabs>
          <w:tab w:val="left" w:pos="360"/>
        </w:tabs>
        <w:jc w:val="both"/>
      </w:pPr>
    </w:p>
    <w:p w:rsidR="0044209C" w:rsidRPr="00B77561" w:rsidRDefault="0044209C" w:rsidP="00B77561">
      <w:pPr>
        <w:tabs>
          <w:tab w:val="left" w:pos="360"/>
        </w:tabs>
        <w:jc w:val="both"/>
      </w:pPr>
      <w:r w:rsidRPr="00B77561">
        <w:t xml:space="preserve">U travnju 2022. godine Republika Hrvatska se zadužila na domaćem financijskom tržištu u iznosu 120 milijuna eura uz valutnu klauzulu. Kamatna stopa je fiksna, 0,50% godišnje, uz polugodišnji obračun i plaćanje. Glavnica će se otplaćivati u osam jednakih polugodišnjih rata od kojih prva dospijeva na naplatu 7. listopada 2022., a posljednja 7. travnja 2026. godine. </w:t>
      </w:r>
    </w:p>
    <w:p w:rsidR="0044209C" w:rsidRPr="00B77561" w:rsidRDefault="0044209C" w:rsidP="00B77561">
      <w:pPr>
        <w:tabs>
          <w:tab w:val="left" w:pos="360"/>
        </w:tabs>
        <w:jc w:val="both"/>
      </w:pPr>
    </w:p>
    <w:p w:rsidR="0044209C" w:rsidRPr="00B77561" w:rsidRDefault="00FB2DD4" w:rsidP="00FB2DD4">
      <w:pPr>
        <w:pStyle w:val="Odlomakpopisa"/>
        <w:numPr>
          <w:ilvl w:val="0"/>
          <w:numId w:val="2"/>
        </w:numPr>
        <w:tabs>
          <w:tab w:val="left" w:pos="360"/>
        </w:tabs>
        <w:jc w:val="both"/>
      </w:pPr>
      <w:r w:rsidRPr="00B77561">
        <w:t>Kredit u iznosu od 1</w:t>
      </w:r>
      <w:r>
        <w:t>36</w:t>
      </w:r>
      <w:r w:rsidRPr="00B77561">
        <w:t xml:space="preserve">.000.000,00 </w:t>
      </w:r>
      <w:r>
        <w:t>kuna</w:t>
      </w:r>
    </w:p>
    <w:p w:rsidR="0044209C" w:rsidRPr="00B77561" w:rsidRDefault="0044209C" w:rsidP="00B77561">
      <w:pPr>
        <w:pStyle w:val="Uvuenotijeloteksta"/>
        <w:ind w:firstLine="0"/>
      </w:pPr>
    </w:p>
    <w:p w:rsidR="0044209C" w:rsidRPr="00B77561" w:rsidRDefault="0044209C" w:rsidP="00B77561">
      <w:pPr>
        <w:pStyle w:val="Uvuenotijeloteksta"/>
        <w:ind w:firstLine="0"/>
      </w:pPr>
      <w:r w:rsidRPr="00B77561">
        <w:t>U svrhu otkupa</w:t>
      </w:r>
      <w:r w:rsidR="006528C0">
        <w:t xml:space="preserve"> dijela potraživanja HBOR-a po ugovorima o kredima, </w:t>
      </w:r>
      <w:bookmarkStart w:id="0" w:name="_GoBack"/>
      <w:bookmarkEnd w:id="0"/>
      <w:r w:rsidRPr="00B77561">
        <w:t>Ministarstvo financija je 26. svibnja 2022. godine sklopilo Ugovor o kreditu s Hrvatskom bankom za obnovu i razvitak u iznosu od 136 milijuna kuna. Kamatna stopa je fiksna, 0,36% godišnje, uz kvartalni obračun i plaćanje. Glavnica će se otplaćivati u šesnaest jednakih tromjesečnih rata od kojih prva dospijeva na naplatu 30. rujna 2022. godine, a posljednja 30. lipnja 2026. godine.</w:t>
      </w:r>
    </w:p>
    <w:p w:rsidR="00B10705" w:rsidRDefault="00B10705" w:rsidP="00B10705">
      <w:pPr>
        <w:tabs>
          <w:tab w:val="left" w:pos="0"/>
        </w:tabs>
        <w:ind w:left="360"/>
        <w:jc w:val="both"/>
        <w:rPr>
          <w:b/>
          <w:i/>
        </w:rPr>
      </w:pPr>
    </w:p>
    <w:p w:rsidR="00B10705" w:rsidRPr="00B10705" w:rsidRDefault="00B10705" w:rsidP="00B10705">
      <w:pPr>
        <w:pStyle w:val="Odlomakpopisa"/>
        <w:numPr>
          <w:ilvl w:val="0"/>
          <w:numId w:val="1"/>
        </w:numPr>
        <w:tabs>
          <w:tab w:val="left" w:pos="360"/>
        </w:tabs>
        <w:jc w:val="both"/>
        <w:rPr>
          <w:b/>
          <w:i/>
        </w:rPr>
      </w:pPr>
      <w:r w:rsidRPr="00B10705">
        <w:rPr>
          <w:b/>
          <w:i/>
        </w:rPr>
        <w:t>Zaduživanje putem kratkoročnih kredita</w:t>
      </w:r>
    </w:p>
    <w:p w:rsidR="00B10705" w:rsidRPr="00B77561" w:rsidRDefault="00B10705" w:rsidP="00B10705">
      <w:pPr>
        <w:tabs>
          <w:tab w:val="left" w:pos="0"/>
        </w:tabs>
        <w:jc w:val="both"/>
        <w:rPr>
          <w:b/>
        </w:rPr>
      </w:pPr>
    </w:p>
    <w:p w:rsidR="00B10705" w:rsidRDefault="00B10705" w:rsidP="00B10705">
      <w:pPr>
        <w:jc w:val="both"/>
      </w:pPr>
      <w:r w:rsidRPr="00B77561">
        <w:t>U prvoj polovici 2022. godine nije bilo potrebe za zaduživanjem putem kratkoročnih kredita.</w:t>
      </w:r>
    </w:p>
    <w:p w:rsidR="00B10705" w:rsidRDefault="00B10705" w:rsidP="00B10705">
      <w:pPr>
        <w:jc w:val="both"/>
      </w:pPr>
    </w:p>
    <w:p w:rsidR="000E78CB" w:rsidRDefault="00B10705" w:rsidP="000E78CB">
      <w:pPr>
        <w:pStyle w:val="Odlomakpopisa"/>
        <w:numPr>
          <w:ilvl w:val="0"/>
          <w:numId w:val="1"/>
        </w:numPr>
        <w:tabs>
          <w:tab w:val="left" w:pos="360"/>
        </w:tabs>
        <w:jc w:val="both"/>
        <w:rPr>
          <w:b/>
          <w:i/>
        </w:rPr>
      </w:pPr>
      <w:r w:rsidRPr="000E78CB">
        <w:rPr>
          <w:b/>
          <w:i/>
        </w:rPr>
        <w:t xml:space="preserve">Zaduživanje </w:t>
      </w:r>
      <w:r w:rsidR="000E78CB" w:rsidRPr="000E78CB">
        <w:rPr>
          <w:b/>
          <w:i/>
        </w:rPr>
        <w:t xml:space="preserve">kod međunarodnih financijskih institucija </w:t>
      </w:r>
    </w:p>
    <w:p w:rsidR="000E78CB" w:rsidRDefault="000E78CB" w:rsidP="000E78CB">
      <w:pPr>
        <w:tabs>
          <w:tab w:val="left" w:pos="360"/>
        </w:tabs>
        <w:jc w:val="both"/>
        <w:rPr>
          <w:b/>
          <w:i/>
        </w:rPr>
      </w:pPr>
    </w:p>
    <w:p w:rsidR="0034795F" w:rsidRDefault="0034795F" w:rsidP="0034795F">
      <w:pPr>
        <w:jc w:val="both"/>
      </w:pPr>
      <w:r w:rsidRPr="000E78CB">
        <w:t xml:space="preserve">U prvoj polovici 2022. godine </w:t>
      </w:r>
      <w:r>
        <w:t xml:space="preserve">Ministarstvo financija u ime Republike Hrvatske nije ugovorilo nove zajmove s međunarodnim financijskim institucijama. </w:t>
      </w:r>
    </w:p>
    <w:p w:rsidR="0034795F" w:rsidRDefault="0034795F" w:rsidP="0034795F">
      <w:pPr>
        <w:jc w:val="both"/>
      </w:pPr>
    </w:p>
    <w:p w:rsidR="0034795F" w:rsidRDefault="0034795F" w:rsidP="0034795F">
      <w:pPr>
        <w:jc w:val="both"/>
      </w:pPr>
      <w:r>
        <w:t>U prvoj polovici 2022. godine primici od zaduživanja koje je u ime Republike Hrvatske ugovorilo ili preuzelo Ministarstvo financija ostvareni su u iznosu od 422,9 milijuna kuna od čega:</w:t>
      </w:r>
    </w:p>
    <w:p w:rsidR="0034795F" w:rsidRDefault="0034795F" w:rsidP="00170C52">
      <w:pPr>
        <w:pStyle w:val="Odlomakpopisa"/>
        <w:numPr>
          <w:ilvl w:val="0"/>
          <w:numId w:val="2"/>
        </w:numPr>
        <w:jc w:val="both"/>
      </w:pPr>
      <w:r>
        <w:t xml:space="preserve">377,7 milijuna kuna za II. tranšu zajma (LD 2056-002-000) Razvojne banke Vijeća Europe (CEB) za projekt </w:t>
      </w:r>
      <w:r w:rsidRPr="000E78CB">
        <w:t>Podršk</w:t>
      </w:r>
      <w:r>
        <w:t>e</w:t>
      </w:r>
      <w:r w:rsidRPr="000E78CB">
        <w:t xml:space="preserve"> mjerama u Republici Hrvatskoj, povezanih s </w:t>
      </w:r>
      <w:proofErr w:type="spellStart"/>
      <w:r w:rsidRPr="000E78CB">
        <w:t>pandemijom</w:t>
      </w:r>
      <w:proofErr w:type="spellEnd"/>
      <w:r w:rsidRPr="000E78CB">
        <w:t xml:space="preserve"> bolesti COVID-19 – instrument financiranja javnog sektora</w:t>
      </w:r>
      <w:r>
        <w:t>. Navedeni zajam ugovoren je u iznosu od 200,0 milijuna eura, a sredstva II. tranše povučena su uz kamatnu stopu 1,75%, datum posljednje otplate 27. travnja 2034. i</w:t>
      </w:r>
    </w:p>
    <w:p w:rsidR="0034795F" w:rsidRDefault="0034795F" w:rsidP="00170C52">
      <w:pPr>
        <w:pStyle w:val="Odlomakpopisa"/>
        <w:numPr>
          <w:ilvl w:val="0"/>
          <w:numId w:val="2"/>
        </w:numPr>
        <w:jc w:val="both"/>
      </w:pPr>
      <w:r>
        <w:t xml:space="preserve">45,2 milijuna kuna za zajam Međunarodne banke za obnovu i razvoj (IBRD) za </w:t>
      </w:r>
      <w:r w:rsidRPr="00FA1249">
        <w:t>Projekt učinkovitog pravosuđa za bolje poslovno okruženje</w:t>
      </w:r>
      <w:r>
        <w:t>, br. 90570-HR. Navedeni zajam ugovoren je u iznosu od 100,0 milijuna eura uz kamatnu stupu 6–</w:t>
      </w:r>
      <w:proofErr w:type="spellStart"/>
      <w:r>
        <w:t>mj</w:t>
      </w:r>
      <w:proofErr w:type="spellEnd"/>
      <w:r>
        <w:t xml:space="preserve"> EURIBOR + 0,55%, datum posljednje otplate 15. studenoga 2029.</w:t>
      </w:r>
    </w:p>
    <w:p w:rsidR="0034795F" w:rsidRDefault="0034795F" w:rsidP="0034795F">
      <w:pPr>
        <w:tabs>
          <w:tab w:val="left" w:pos="360"/>
        </w:tabs>
        <w:jc w:val="both"/>
      </w:pPr>
      <w:r>
        <w:t xml:space="preserve"> </w:t>
      </w:r>
    </w:p>
    <w:p w:rsidR="009D32B3" w:rsidRPr="00B77561" w:rsidRDefault="009D32B3" w:rsidP="00B77561">
      <w:pPr>
        <w:tabs>
          <w:tab w:val="left" w:pos="360"/>
        </w:tabs>
        <w:jc w:val="both"/>
      </w:pPr>
    </w:p>
    <w:p w:rsidR="0044209C" w:rsidRPr="007B0DF2" w:rsidRDefault="0044209C" w:rsidP="007B0DF2">
      <w:pPr>
        <w:pStyle w:val="Odlomakpopisa"/>
        <w:numPr>
          <w:ilvl w:val="0"/>
          <w:numId w:val="1"/>
        </w:numPr>
        <w:tabs>
          <w:tab w:val="left" w:pos="360"/>
        </w:tabs>
        <w:jc w:val="both"/>
        <w:rPr>
          <w:b/>
          <w:i/>
        </w:rPr>
      </w:pPr>
      <w:r w:rsidRPr="007B0DF2">
        <w:rPr>
          <w:b/>
          <w:i/>
        </w:rPr>
        <w:lastRenderedPageBreak/>
        <w:t xml:space="preserve">Zaduživanje putem izdavanja trezorskih zapisa </w:t>
      </w:r>
    </w:p>
    <w:p w:rsidR="0044209C" w:rsidRPr="00B77561" w:rsidRDefault="0044209C" w:rsidP="00B77561">
      <w:pPr>
        <w:jc w:val="both"/>
        <w:rPr>
          <w:snapToGrid w:val="0"/>
          <w:lang w:eastAsia="en-US"/>
        </w:rPr>
      </w:pPr>
    </w:p>
    <w:p w:rsidR="0044209C" w:rsidRPr="00B77561" w:rsidRDefault="0044209C" w:rsidP="00B77561">
      <w:pPr>
        <w:jc w:val="both"/>
        <w:rPr>
          <w:snapToGrid w:val="0"/>
          <w:lang w:eastAsia="en-US"/>
        </w:rPr>
      </w:pPr>
      <w:r w:rsidRPr="00B77561">
        <w:rPr>
          <w:snapToGrid w:val="0"/>
          <w:lang w:eastAsia="en-US"/>
        </w:rPr>
        <w:t xml:space="preserve">Ministarstvo financija provodi aukcije trezorskih zapisa u skladu s </w:t>
      </w:r>
      <w:r w:rsidRPr="00B77561">
        <w:rPr>
          <w:i/>
          <w:iCs/>
          <w:snapToGrid w:val="0"/>
          <w:lang w:eastAsia="en-US"/>
        </w:rPr>
        <w:t>Pravilima i uvjetima aukcija trezorskih zapisa</w:t>
      </w:r>
      <w:r w:rsidRPr="00B77561">
        <w:rPr>
          <w:snapToGrid w:val="0"/>
          <w:lang w:eastAsia="en-US"/>
        </w:rPr>
        <w:t xml:space="preserve">, koristeći se elektroničkim aukcijskim sustavom </w:t>
      </w:r>
      <w:proofErr w:type="spellStart"/>
      <w:r w:rsidRPr="00B77561">
        <w:rPr>
          <w:snapToGrid w:val="0"/>
          <w:lang w:eastAsia="en-US"/>
        </w:rPr>
        <w:t>Bloomberg</w:t>
      </w:r>
      <w:proofErr w:type="spellEnd"/>
      <w:r w:rsidRPr="00B77561">
        <w:rPr>
          <w:snapToGrid w:val="0"/>
          <w:lang w:eastAsia="en-US"/>
        </w:rPr>
        <w:t xml:space="preserve"> (BAS). </w:t>
      </w:r>
    </w:p>
    <w:p w:rsidR="0044209C" w:rsidRPr="00B77561" w:rsidRDefault="0044209C" w:rsidP="00B77561">
      <w:pPr>
        <w:jc w:val="both"/>
        <w:rPr>
          <w:snapToGrid w:val="0"/>
          <w:lang w:eastAsia="en-US"/>
        </w:rPr>
      </w:pPr>
    </w:p>
    <w:p w:rsidR="001C617C" w:rsidRDefault="0044209C" w:rsidP="001C617C">
      <w:pPr>
        <w:jc w:val="both"/>
      </w:pPr>
      <w:r w:rsidRPr="00B77561">
        <w:t xml:space="preserve">U prvoj polovici 2022. godine održano je 12 aukcija trezorskih zapisa na kojima je bilo ukupno 14 izdanja, od čega 11 kunskih izdanja, 2 izdanja trezorskih zapisa izraženih u eurima, a plativih u kunama te 1 izdanje FX trezorskih zapisa (plativi u eurima). Kod kunskih izdanja trezorskih zapisa 1 izdanje je bilo s rokom dospijeća od 91 dan, 1 izdanje s rokom od 182 dana te </w:t>
      </w:r>
      <w:r w:rsidR="001C617C">
        <w:t xml:space="preserve">9 izdanja s rokom od 364 dana. </w:t>
      </w:r>
      <w:r w:rsidRPr="00B77561">
        <w:t>Struktura i iznos upisanih trezorskih zapisa, u nominalnom iznosu, na dan 30. lipnja 2022. prikazani su u tablici 3.</w:t>
      </w:r>
    </w:p>
    <w:p w:rsidR="001C617C" w:rsidRDefault="001C617C" w:rsidP="001C617C">
      <w:pPr>
        <w:jc w:val="both"/>
      </w:pPr>
    </w:p>
    <w:p w:rsidR="0044209C" w:rsidRDefault="0044209C" w:rsidP="001C617C">
      <w:pPr>
        <w:jc w:val="both"/>
        <w:rPr>
          <w:i/>
        </w:rPr>
      </w:pPr>
      <w:r w:rsidRPr="00B77561">
        <w:rPr>
          <w:i/>
        </w:rPr>
        <w:t>Tablica 3. Struktura trezorskih zapisa u nominalnom iznosu, 30. lipnja 2022.</w:t>
      </w:r>
    </w:p>
    <w:p w:rsidR="000B4F37" w:rsidRPr="001C617C" w:rsidRDefault="000B4F37" w:rsidP="001C617C">
      <w:pPr>
        <w:jc w:val="both"/>
      </w:pPr>
    </w:p>
    <w:p w:rsidR="0044209C" w:rsidRPr="00B77561" w:rsidRDefault="0044209C" w:rsidP="00B77561">
      <w:pPr>
        <w:jc w:val="both"/>
        <w:rPr>
          <w:bCs/>
          <w:i/>
        </w:rPr>
      </w:pPr>
      <w:r w:rsidRPr="00B77561">
        <w:rPr>
          <w:noProof/>
        </w:rPr>
        <w:drawing>
          <wp:inline distT="0" distB="0" distL="0" distR="0" wp14:anchorId="090C9923" wp14:editId="435B80AC">
            <wp:extent cx="4299455" cy="1728000"/>
            <wp:effectExtent l="0" t="0" r="6350" b="571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9455" cy="1728000"/>
                    </a:xfrm>
                    <a:prstGeom prst="rect">
                      <a:avLst/>
                    </a:prstGeom>
                    <a:noFill/>
                    <a:ln>
                      <a:noFill/>
                    </a:ln>
                  </pic:spPr>
                </pic:pic>
              </a:graphicData>
            </a:graphic>
          </wp:inline>
        </w:drawing>
      </w:r>
    </w:p>
    <w:p w:rsidR="0044209C" w:rsidRDefault="0044209C" w:rsidP="000B4F37">
      <w:pPr>
        <w:jc w:val="both"/>
        <w:rPr>
          <w:i/>
        </w:rPr>
      </w:pPr>
      <w:r w:rsidRPr="00B77561">
        <w:rPr>
          <w:i/>
        </w:rPr>
        <w:t>Izvor: Ministarstvo financija</w:t>
      </w:r>
    </w:p>
    <w:p w:rsidR="009D32B3" w:rsidRPr="000B4F37" w:rsidRDefault="009D32B3" w:rsidP="000B4F37">
      <w:pPr>
        <w:jc w:val="both"/>
        <w:rPr>
          <w:i/>
        </w:rPr>
      </w:pPr>
    </w:p>
    <w:p w:rsidR="0044209C" w:rsidRPr="00B77561" w:rsidRDefault="0044209C" w:rsidP="00B77561">
      <w:pPr>
        <w:jc w:val="both"/>
      </w:pPr>
      <w:r w:rsidRPr="00B77561">
        <w:t>Kamatne stope na trezorske zapise u kunama potkraj lipnja 2022. godine s rokom dospijeća od 364 dana iznosile su 0,20%, s rokom dospijeća od 182 dana iznosile su 0,05%, dok su  s rokom dospijeća od 91 dan bile 0,10%. Kamatne stope na trezorske zapise s valutnom klauzulom s rokom dospijeća od 364 dana iznosile su -0,05%, a kamatna stopa na euro FX trezorske zapise s rokom dospijeća od 364 dana je bila 0,10%.</w:t>
      </w:r>
    </w:p>
    <w:p w:rsidR="0044209C" w:rsidRPr="00B77561" w:rsidRDefault="0044209C" w:rsidP="00B77561">
      <w:pPr>
        <w:jc w:val="both"/>
      </w:pPr>
    </w:p>
    <w:p w:rsidR="0044209C" w:rsidRPr="00B77561" w:rsidRDefault="0044209C" w:rsidP="00B77561">
      <w:pPr>
        <w:tabs>
          <w:tab w:val="left" w:pos="360"/>
        </w:tabs>
        <w:jc w:val="both"/>
      </w:pPr>
      <w:r w:rsidRPr="00B77561">
        <w:t>U 2022. godini na aukcijama trezorskih zapisa izdano je ukupno 9,264 milijardi kuna, 17,5 milijuna eura (plativih u kunama) te 1,035 milijardi eura FX trezorskih zapisa (plativo u eurima). Istodobno je iskupljeno 10,475 milijardi kuna, 11 milijuna eura (plativih u kunama) te 1,2 milijardi eura FX trezorskih zapisa (plativo u eurima). Stanje ukupno upisanih trezorskih zapisa u nominalnom iznosu smanjilo se s 23,99 milijardi kuna koliko je iznosilo potkraj 2021. godine na 21,6 milijardi kuna, koliko je iznosilo potkraj lipnja 2022. godine. U tablici 4. prikazani su primici i izdaci po svakoj aukciji trezorskih zapisa tijekom prvih šest mjeseci 2022. godine.</w:t>
      </w:r>
    </w:p>
    <w:p w:rsidR="0044209C" w:rsidRPr="00B77561" w:rsidRDefault="0044209C" w:rsidP="00B77561">
      <w:pPr>
        <w:pStyle w:val="Opisslike"/>
        <w:keepNext/>
        <w:jc w:val="both"/>
        <w:rPr>
          <w:bCs w:val="0"/>
          <w:i/>
          <w:sz w:val="24"/>
          <w:szCs w:val="24"/>
        </w:rPr>
      </w:pPr>
      <w:r w:rsidRPr="00B77561">
        <w:rPr>
          <w:b w:val="0"/>
          <w:i/>
          <w:color w:val="auto"/>
          <w:sz w:val="24"/>
          <w:szCs w:val="24"/>
        </w:rPr>
        <w:lastRenderedPageBreak/>
        <w:t>Tablica 4.  Primici i izdaci po trezorskim zapisima do 30. lipnja 2022.</w:t>
      </w:r>
      <w:r w:rsidRPr="00B77561">
        <w:rPr>
          <w:bCs w:val="0"/>
          <w:i/>
          <w:sz w:val="24"/>
          <w:szCs w:val="24"/>
        </w:rPr>
        <w:t xml:space="preserve"> </w:t>
      </w:r>
    </w:p>
    <w:p w:rsidR="0044209C" w:rsidRPr="00B77561" w:rsidRDefault="0044209C" w:rsidP="00B77561">
      <w:pPr>
        <w:jc w:val="both"/>
      </w:pPr>
      <w:r w:rsidRPr="00B77561">
        <w:rPr>
          <w:noProof/>
        </w:rPr>
        <w:drawing>
          <wp:inline distT="0" distB="0" distL="0" distR="0" wp14:anchorId="28641FBA" wp14:editId="2421E2DC">
            <wp:extent cx="5760720" cy="2246638"/>
            <wp:effectExtent l="0" t="0" r="0" b="127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246638"/>
                    </a:xfrm>
                    <a:prstGeom prst="rect">
                      <a:avLst/>
                    </a:prstGeom>
                    <a:noFill/>
                    <a:ln>
                      <a:noFill/>
                    </a:ln>
                  </pic:spPr>
                </pic:pic>
              </a:graphicData>
            </a:graphic>
          </wp:inline>
        </w:drawing>
      </w:r>
    </w:p>
    <w:p w:rsidR="00AE452B" w:rsidRDefault="0044209C" w:rsidP="004A7596">
      <w:pPr>
        <w:spacing w:after="200"/>
        <w:jc w:val="both"/>
        <w:rPr>
          <w:i/>
        </w:rPr>
      </w:pPr>
      <w:r w:rsidRPr="00B77561">
        <w:rPr>
          <w:i/>
        </w:rPr>
        <w:t>Izvor: Ministarstvo financija</w:t>
      </w:r>
    </w:p>
    <w:p w:rsidR="004A7596" w:rsidRDefault="004A7596" w:rsidP="004A7596">
      <w:pPr>
        <w:spacing w:after="200"/>
        <w:jc w:val="both"/>
        <w:rPr>
          <w:i/>
        </w:rPr>
      </w:pPr>
    </w:p>
    <w:p w:rsidR="00AE452B" w:rsidRPr="007936F7" w:rsidRDefault="00AE452B" w:rsidP="00AE452B">
      <w:pPr>
        <w:pStyle w:val="Odlomakpopisa"/>
        <w:tabs>
          <w:tab w:val="left" w:pos="0"/>
        </w:tabs>
        <w:ind w:hanging="360"/>
        <w:jc w:val="both"/>
        <w:rPr>
          <w:b/>
          <w:i/>
        </w:rPr>
      </w:pPr>
      <w:r>
        <w:rPr>
          <w:b/>
          <w:i/>
        </w:rPr>
        <w:t>7. Zaduživanja</w:t>
      </w:r>
      <w:r w:rsidRPr="007936F7">
        <w:rPr>
          <w:b/>
          <w:i/>
        </w:rPr>
        <w:t xml:space="preserve"> proračunskih korisnika državnog proračuna </w:t>
      </w:r>
    </w:p>
    <w:p w:rsidR="00AE452B" w:rsidRDefault="00AE452B" w:rsidP="00AE452B">
      <w:pPr>
        <w:jc w:val="both"/>
      </w:pPr>
    </w:p>
    <w:p w:rsidR="00AE452B" w:rsidRDefault="00AE452B" w:rsidP="00AE452B">
      <w:pPr>
        <w:jc w:val="both"/>
      </w:pPr>
      <w:r>
        <w:t>Proračunski korisnici državnog proračuna u izvještajnom razdoblju ostvarili su primitke od zaduživanja u iznosu od 47,3 milijuna kuna. Pregled zaduživanja proračunskih korisnika državnog proračuna u izvještajnom r</w:t>
      </w:r>
      <w:r w:rsidR="00F66F60">
        <w:t>azdoblju prikazan je u tablici 5</w:t>
      </w:r>
      <w:r>
        <w:t>.</w:t>
      </w:r>
    </w:p>
    <w:p w:rsidR="00AE452B" w:rsidRDefault="00AE452B" w:rsidP="00AE452B">
      <w:pPr>
        <w:jc w:val="both"/>
      </w:pPr>
    </w:p>
    <w:p w:rsidR="00AE452B" w:rsidRDefault="00F66F60" w:rsidP="00AE452B">
      <w:pPr>
        <w:jc w:val="both"/>
        <w:rPr>
          <w:i/>
        </w:rPr>
      </w:pPr>
      <w:r>
        <w:rPr>
          <w:i/>
        </w:rPr>
        <w:t>Tablica 5</w:t>
      </w:r>
      <w:r w:rsidR="00AE452B" w:rsidRPr="007936F7">
        <w:rPr>
          <w:i/>
        </w:rPr>
        <w:t>.</w:t>
      </w:r>
      <w:r w:rsidR="00AE452B">
        <w:rPr>
          <w:i/>
        </w:rPr>
        <w:t xml:space="preserve">: </w:t>
      </w:r>
      <w:r w:rsidR="00AE452B" w:rsidRPr="007936F7">
        <w:rPr>
          <w:i/>
        </w:rPr>
        <w:t>Pregled zaduživanja proračunskih korisnika državnog proračuna po vrsti instrumenta, valutnoj, kamatnoj i ročnoj strukturi u izvještajnom razdoblju</w:t>
      </w:r>
    </w:p>
    <w:p w:rsidR="00AE452B" w:rsidRPr="007936F7" w:rsidRDefault="00AE452B" w:rsidP="00AE452B">
      <w:pPr>
        <w:jc w:val="both"/>
        <w:rPr>
          <w:i/>
        </w:rPr>
      </w:pPr>
    </w:p>
    <w:p w:rsidR="00AE452B" w:rsidRDefault="00AE452B" w:rsidP="00AE452B">
      <w:pPr>
        <w:jc w:val="both"/>
        <w:rPr>
          <w:b/>
        </w:rPr>
      </w:pPr>
      <w:r w:rsidRPr="003277C7">
        <w:rPr>
          <w:noProof/>
        </w:rPr>
        <w:drawing>
          <wp:inline distT="0" distB="0" distL="0" distR="0" wp14:anchorId="5F43D278" wp14:editId="47EE21AE">
            <wp:extent cx="5759450" cy="2143043"/>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143043"/>
                    </a:xfrm>
                    <a:prstGeom prst="rect">
                      <a:avLst/>
                    </a:prstGeom>
                    <a:noFill/>
                    <a:ln>
                      <a:noFill/>
                    </a:ln>
                  </pic:spPr>
                </pic:pic>
              </a:graphicData>
            </a:graphic>
          </wp:inline>
        </w:drawing>
      </w: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Default="00AE452B" w:rsidP="00AE452B">
      <w:pPr>
        <w:rPr>
          <w:b/>
        </w:rPr>
      </w:pPr>
    </w:p>
    <w:p w:rsidR="00AE452B" w:rsidRDefault="00AE452B" w:rsidP="00AE452B">
      <w:pPr>
        <w:rPr>
          <w:b/>
        </w:rPr>
      </w:pPr>
    </w:p>
    <w:p w:rsidR="00AE452B" w:rsidRPr="002653EE" w:rsidRDefault="00AE452B" w:rsidP="00AE452B">
      <w:pPr>
        <w:rPr>
          <w:b/>
        </w:rPr>
      </w:pPr>
      <w:r w:rsidRPr="002653EE">
        <w:rPr>
          <w:b/>
        </w:rPr>
        <w:t xml:space="preserve">PREGLED DANIH ZAJMOVA U IZVJEŠTAJNOM RAZDOBLJU </w:t>
      </w:r>
    </w:p>
    <w:p w:rsidR="00AE452B" w:rsidRDefault="00AE452B" w:rsidP="00AE452B"/>
    <w:p w:rsidR="00592EA5" w:rsidRDefault="00592EA5" w:rsidP="00AE452B">
      <w:pPr>
        <w:jc w:val="both"/>
      </w:pPr>
      <w:r>
        <w:t xml:space="preserve">Izdaci za dane zajmove u prvom polugodištu 2022. godine izvršeni su u iznosu od 289,6 milijuna kuna. </w:t>
      </w:r>
    </w:p>
    <w:p w:rsidR="00592EA5" w:rsidRDefault="00592EA5" w:rsidP="00AE452B">
      <w:pPr>
        <w:jc w:val="both"/>
      </w:pPr>
    </w:p>
    <w:p w:rsidR="00AE452B" w:rsidRDefault="00592EA5" w:rsidP="00AE452B">
      <w:pPr>
        <w:jc w:val="both"/>
      </w:pPr>
      <w:r>
        <w:t>S pozicija Ministarstva financija – ostali izdaci države isplaćeno je 46,0 milijuna kuna od čega se 30,0 milijuna kuna odnosi na dane beskamatne zajmove</w:t>
      </w:r>
      <w:r w:rsidR="00AE452B" w:rsidRPr="007768F8">
        <w:t xml:space="preserve"> gradskim odnosno općinskim proračunima temeljem Od</w:t>
      </w:r>
      <w:r>
        <w:t>luke Vlade Republike Hrvatske o</w:t>
      </w:r>
      <w:r w:rsidR="00AE452B" w:rsidRPr="007768F8">
        <w:t xml:space="preserve"> dodijeli beskamatnog zajma jedinicama lokalne i područne (regionalne) samouprave koje su pogođene posljedicama razornih potresa na području Grada Zagreba, Zagrebačke županije, Krapinsko – zagorske županije, Sisačko – moslavačke županije i Karlovačke županij</w:t>
      </w:r>
      <w:r>
        <w:t xml:space="preserve">e za sanaciju šteta od potresa te 16,0 milijuna kuna iz </w:t>
      </w:r>
      <w:r w:rsidR="00AE452B" w:rsidRPr="007768F8">
        <w:t xml:space="preserve">Mehanizma za oporavak i otpornost za izravne kredite Hrvatskoj banci za obnovu i razvitak za mikro, male i srednje poslovne subjekte. </w:t>
      </w:r>
    </w:p>
    <w:p w:rsidR="00AE452B" w:rsidRDefault="00AE452B" w:rsidP="00AE452B">
      <w:pPr>
        <w:jc w:val="both"/>
      </w:pPr>
    </w:p>
    <w:p w:rsidR="00592EA5" w:rsidRPr="007768F8" w:rsidRDefault="00592EA5" w:rsidP="00AE452B">
      <w:pPr>
        <w:jc w:val="both"/>
      </w:pPr>
      <w:r>
        <w:t>S pozicija proračunskih korisnika isplaćeno je 243,6 milijuna kuna čiji se pregled daje u tablici 6.</w:t>
      </w:r>
    </w:p>
    <w:p w:rsidR="00AE452B" w:rsidRPr="007768F8" w:rsidRDefault="00AE452B" w:rsidP="00AE452B">
      <w:pPr>
        <w:jc w:val="both"/>
      </w:pPr>
    </w:p>
    <w:p w:rsidR="00AE452B" w:rsidRDefault="00592EA5" w:rsidP="00AE452B">
      <w:pPr>
        <w:jc w:val="both"/>
        <w:rPr>
          <w:i/>
        </w:rPr>
      </w:pPr>
      <w:r>
        <w:rPr>
          <w:i/>
        </w:rPr>
        <w:t>Tablica 6</w:t>
      </w:r>
      <w:r w:rsidR="00AE452B" w:rsidRPr="007768F8">
        <w:rPr>
          <w:i/>
        </w:rPr>
        <w:t>.</w:t>
      </w:r>
      <w:r w:rsidR="00AE452B">
        <w:rPr>
          <w:i/>
        </w:rPr>
        <w:t>:</w:t>
      </w:r>
      <w:r w:rsidR="00AE452B" w:rsidRPr="007768F8">
        <w:rPr>
          <w:i/>
        </w:rPr>
        <w:t xml:space="preserve"> Pregled izdataka za dane zajmove u izvještajnom razdoblju koje su ugovorili proračunski korisnici državnog proračuna </w:t>
      </w:r>
    </w:p>
    <w:p w:rsidR="00AE452B" w:rsidRPr="007768F8" w:rsidRDefault="00AE452B" w:rsidP="00AE452B">
      <w:pPr>
        <w:jc w:val="both"/>
        <w:rPr>
          <w:i/>
        </w:rPr>
      </w:pPr>
    </w:p>
    <w:p w:rsidR="00AE452B" w:rsidRPr="007768F8" w:rsidRDefault="00AE452B" w:rsidP="00AE452B">
      <w:pPr>
        <w:jc w:val="both"/>
        <w:rPr>
          <w:i/>
        </w:rPr>
      </w:pPr>
      <w:r w:rsidRPr="007768F8">
        <w:rPr>
          <w:noProof/>
        </w:rPr>
        <w:drawing>
          <wp:inline distT="0" distB="0" distL="0" distR="0" wp14:anchorId="158EF31F" wp14:editId="281196BF">
            <wp:extent cx="5760720" cy="2102986"/>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102986"/>
                    </a:xfrm>
                    <a:prstGeom prst="rect">
                      <a:avLst/>
                    </a:prstGeom>
                    <a:noFill/>
                    <a:ln>
                      <a:noFill/>
                    </a:ln>
                  </pic:spPr>
                </pic:pic>
              </a:graphicData>
            </a:graphic>
          </wp:inline>
        </w:drawing>
      </w:r>
    </w:p>
    <w:p w:rsidR="00AE452B" w:rsidRDefault="00AE452B" w:rsidP="00AE452B">
      <w:pPr>
        <w:jc w:val="both"/>
        <w:rPr>
          <w:b/>
        </w:rPr>
      </w:pPr>
    </w:p>
    <w:p w:rsidR="00AE452B" w:rsidRDefault="00AE452B" w:rsidP="00AE452B">
      <w:pPr>
        <w:jc w:val="both"/>
        <w:rPr>
          <w:b/>
        </w:rPr>
      </w:pPr>
    </w:p>
    <w:p w:rsidR="00AE452B" w:rsidRPr="00EF1170" w:rsidRDefault="00AE452B" w:rsidP="00AE452B">
      <w:pPr>
        <w:jc w:val="both"/>
        <w:rPr>
          <w:b/>
        </w:rPr>
      </w:pPr>
      <w:r w:rsidRPr="00EF1170">
        <w:rPr>
          <w:b/>
        </w:rPr>
        <w:t>POTRAŽIVANJA PO DANIM ZAJMOVIMA TEMELJEM UGOVORA O PRIJENOSU SREDSTAVA</w:t>
      </w:r>
    </w:p>
    <w:p w:rsidR="00AE452B" w:rsidRPr="00EF1170" w:rsidRDefault="00AE452B" w:rsidP="00AE452B">
      <w:pPr>
        <w:jc w:val="both"/>
      </w:pPr>
    </w:p>
    <w:p w:rsidR="00AE452B" w:rsidRPr="00EF1170" w:rsidRDefault="00AE452B" w:rsidP="00AE452B">
      <w:pPr>
        <w:jc w:val="both"/>
      </w:pPr>
      <w:r w:rsidRPr="00EF1170">
        <w:t xml:space="preserve">Vlada Republike Hrvatske je 23. studenog 2017. donijela Odluku o izdavanju </w:t>
      </w:r>
      <w:proofErr w:type="spellStart"/>
      <w:r w:rsidRPr="00EF1170">
        <w:t>euroobveznica</w:t>
      </w:r>
      <w:proofErr w:type="spellEnd"/>
      <w:r>
        <w:t xml:space="preserve"> Republike Hrvatske</w:t>
      </w:r>
      <w:r w:rsidRPr="00EF1170">
        <w:t xml:space="preserve"> u iznosu od 1,275 milijarde eura</w:t>
      </w:r>
      <w:r w:rsidRPr="00EF1170">
        <w:rPr>
          <w:b/>
        </w:rPr>
        <w:t>.</w:t>
      </w:r>
      <w:r w:rsidRPr="00EF1170">
        <w:t xml:space="preserve"> Obveznice su izdane po cijeni od 97,883% nominalnog iznosa. Kamatni kupon je nepromjenjiv i iznosi 2,75% godišnje. Kamata po obveznicama isplaćuje se jednom godišnje počevši od 27. siječnja 2019., a glavnica će se u cijelosti  isplatiti po dospijeću 27. siječnja 2030. </w:t>
      </w:r>
    </w:p>
    <w:p w:rsidR="00AE452B" w:rsidRPr="00EF1170" w:rsidRDefault="00AE452B" w:rsidP="00AE452B">
      <w:pPr>
        <w:jc w:val="both"/>
      </w:pPr>
    </w:p>
    <w:p w:rsidR="00AE452B" w:rsidRPr="00EF1170" w:rsidRDefault="00AE452B" w:rsidP="00AE452B">
      <w:pPr>
        <w:jc w:val="both"/>
        <w:rPr>
          <w:bCs/>
        </w:rPr>
      </w:pPr>
      <w:r w:rsidRPr="00EF1170">
        <w:rPr>
          <w:bCs/>
        </w:rPr>
        <w:t>Sredstva ostvarena zaduženjem doznačila su se društvima Hrvatske ceste d.o.o., Hrvatske autoceste d.o.o. i Autocesta Rijeka-Zagreb d.d. u svrhu otplata i refinanciranja postojećih obveza društava osiguranih državnim jamstvima te kratkoročnih kreditnih obveza. Ministarstvo financija ugovorima s društvima utvrdilo je korištenje sredstava i međusobna prava i obveze.</w:t>
      </w:r>
    </w:p>
    <w:p w:rsidR="00AE452B" w:rsidRPr="00EF1170" w:rsidRDefault="00AE452B" w:rsidP="00AE452B">
      <w:pPr>
        <w:jc w:val="both"/>
        <w:rPr>
          <w:bCs/>
        </w:rPr>
      </w:pPr>
    </w:p>
    <w:p w:rsidR="00AE452B" w:rsidRPr="00EF1170" w:rsidRDefault="003833A9" w:rsidP="00AE452B">
      <w:pPr>
        <w:pStyle w:val="Opisslike"/>
        <w:keepNext/>
        <w:jc w:val="both"/>
        <w:rPr>
          <w:bCs w:val="0"/>
          <w:i/>
          <w:sz w:val="24"/>
          <w:szCs w:val="24"/>
        </w:rPr>
      </w:pPr>
      <w:r>
        <w:rPr>
          <w:b w:val="0"/>
          <w:i/>
          <w:color w:val="auto"/>
          <w:sz w:val="24"/>
          <w:szCs w:val="24"/>
        </w:rPr>
        <w:lastRenderedPageBreak/>
        <w:t>Tablica 7</w:t>
      </w:r>
      <w:r w:rsidR="00AE452B" w:rsidRPr="00EF1170">
        <w:rPr>
          <w:b w:val="0"/>
          <w:i/>
          <w:color w:val="auto"/>
          <w:sz w:val="24"/>
          <w:szCs w:val="24"/>
        </w:rPr>
        <w:t>.</w:t>
      </w:r>
      <w:r w:rsidR="00AE452B">
        <w:rPr>
          <w:b w:val="0"/>
          <w:i/>
          <w:color w:val="auto"/>
          <w:sz w:val="24"/>
          <w:szCs w:val="24"/>
        </w:rPr>
        <w:t>:</w:t>
      </w:r>
      <w:r w:rsidR="00AE452B" w:rsidRPr="00EF1170">
        <w:rPr>
          <w:b w:val="0"/>
          <w:i/>
          <w:color w:val="auto"/>
          <w:sz w:val="24"/>
          <w:szCs w:val="24"/>
        </w:rPr>
        <w:t xml:space="preserve"> Potraživanja po zajmovima danim HC, HAC, ARZ, temeljem ugovora o prijenosu sredstava, stanje 30. lipnja 2022.</w:t>
      </w:r>
      <w:r w:rsidR="00AE452B" w:rsidRPr="00EF1170">
        <w:rPr>
          <w:bCs w:val="0"/>
          <w:i/>
          <w:sz w:val="24"/>
          <w:szCs w:val="24"/>
        </w:rPr>
        <w:t xml:space="preserve"> </w:t>
      </w:r>
    </w:p>
    <w:p w:rsidR="00AE452B" w:rsidRPr="00EF1170" w:rsidRDefault="00AE452B" w:rsidP="00AE452B">
      <w:pPr>
        <w:jc w:val="both"/>
      </w:pPr>
      <w:r w:rsidRPr="00EF1170">
        <w:rPr>
          <w:noProof/>
        </w:rPr>
        <w:drawing>
          <wp:inline distT="0" distB="0" distL="0" distR="0" wp14:anchorId="45D0F6DA" wp14:editId="7C9ADE63">
            <wp:extent cx="5560398" cy="4433373"/>
            <wp:effectExtent l="0" t="0" r="254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8356" cy="4439718"/>
                    </a:xfrm>
                    <a:prstGeom prst="rect">
                      <a:avLst/>
                    </a:prstGeom>
                    <a:noFill/>
                    <a:ln>
                      <a:noFill/>
                    </a:ln>
                  </pic:spPr>
                </pic:pic>
              </a:graphicData>
            </a:graphic>
          </wp:inline>
        </w:drawing>
      </w:r>
    </w:p>
    <w:p w:rsidR="00AE452B" w:rsidRPr="00EF1170" w:rsidRDefault="00AE452B" w:rsidP="00AE452B">
      <w:pPr>
        <w:jc w:val="both"/>
        <w:rPr>
          <w:i/>
        </w:rPr>
      </w:pPr>
      <w:r w:rsidRPr="00EF1170">
        <w:rPr>
          <w:i/>
        </w:rPr>
        <w:t>Izvor: Ministarstvo financija</w:t>
      </w:r>
    </w:p>
    <w:p w:rsidR="00AE452B" w:rsidRPr="00EF1170" w:rsidRDefault="00AE452B" w:rsidP="00AE452B">
      <w:pPr>
        <w:jc w:val="both"/>
        <w:rPr>
          <w:i/>
        </w:rPr>
      </w:pPr>
    </w:p>
    <w:p w:rsidR="00AE452B" w:rsidRDefault="00AE452B" w:rsidP="00AE452B">
      <w:pPr>
        <w:jc w:val="both"/>
        <w:rPr>
          <w:b/>
        </w:rPr>
      </w:pPr>
    </w:p>
    <w:p w:rsidR="00AE452B" w:rsidRPr="00EF1170" w:rsidRDefault="00AE452B" w:rsidP="00AE452B">
      <w:pPr>
        <w:jc w:val="both"/>
        <w:rPr>
          <w:b/>
        </w:rPr>
      </w:pPr>
      <w:r w:rsidRPr="00EF1170">
        <w:rPr>
          <w:b/>
        </w:rPr>
        <w:t>POTRAŽIVANJA PO KREDITIMA BIVŠEG FONDA ZA RAZVOJ I ZAPOŠLJAVANJE</w:t>
      </w:r>
    </w:p>
    <w:p w:rsidR="00AE452B" w:rsidRPr="00EF1170" w:rsidRDefault="00AE452B" w:rsidP="00AE452B">
      <w:pPr>
        <w:jc w:val="both"/>
        <w:rPr>
          <w:lang w:eastAsia="en-US"/>
        </w:rPr>
      </w:pPr>
    </w:p>
    <w:p w:rsidR="00AE452B" w:rsidRPr="00FC4BB5" w:rsidRDefault="00AE452B" w:rsidP="00AE452B">
      <w:pPr>
        <w:jc w:val="both"/>
      </w:pPr>
      <w:r w:rsidRPr="00FC4BB5">
        <w:t>Fond za razvoj i zapošljavanje osnovan je Zakonom o Fondu za razvoj i zapošljavanje (Narodne novine, broj 107/01), koji se primjenjivao od 1. siječnja 2002. do 9. studenog 2010. godine.</w:t>
      </w:r>
    </w:p>
    <w:p w:rsidR="00AE452B" w:rsidRPr="00FC4BB5" w:rsidRDefault="00AE452B" w:rsidP="00AE452B">
      <w:pPr>
        <w:jc w:val="both"/>
      </w:pPr>
    </w:p>
    <w:p w:rsidR="00AE452B" w:rsidRPr="00FC4BB5" w:rsidRDefault="00AE452B" w:rsidP="00AE452B">
      <w:pPr>
        <w:jc w:val="both"/>
      </w:pPr>
      <w:r w:rsidRPr="00FC4BB5">
        <w:t xml:space="preserve">Zakonom o prestanku važenja Zakona o Fondu za razvoj i zapošljavanje (Narodne novine, broj 124/10), poslove bivšeg Fonda za razvoj i zapošljavanje preuzelo je Ministarstvo gospodarstva, rada i poduzetništva, a 2012. godine poslove nadzora i naplate odobrenih kredita preuzelo je Ministarstvo financija. </w:t>
      </w:r>
    </w:p>
    <w:p w:rsidR="00AE452B" w:rsidRPr="00EE6DDA" w:rsidRDefault="00AE452B" w:rsidP="00AE452B">
      <w:pPr>
        <w:jc w:val="both"/>
      </w:pPr>
    </w:p>
    <w:p w:rsidR="00AE452B" w:rsidRPr="007711AE" w:rsidRDefault="00AE452B" w:rsidP="00AE452B">
      <w:pPr>
        <w:jc w:val="both"/>
      </w:pPr>
      <w:r w:rsidRPr="00EE6DDA">
        <w:t xml:space="preserve">Ministarstvo financija preuzelo je 210 kreditnih partija koje se odnose na 192 korisnika kredita (napomena: broj korisnika kredita i broj kreditnih partija nije identičan, jer neki korisnici kredita imaju više kreditnih partija). </w:t>
      </w:r>
      <w:r>
        <w:t>Na dan 30</w:t>
      </w:r>
      <w:r w:rsidRPr="00EE6DDA">
        <w:t xml:space="preserve">. </w:t>
      </w:r>
      <w:r>
        <w:t>lipnja 2022</w:t>
      </w:r>
      <w:r w:rsidRPr="00EE6DDA">
        <w:t xml:space="preserve">. godine ukupan broj korisnika kredita je 191, budući da je jedan korisnik kredita temeljem Ugovora o preuzimanju duga, preuzeo dug </w:t>
      </w:r>
      <w:r w:rsidRPr="007711AE">
        <w:t>povezanog društva, drugog korisnika kredita.</w:t>
      </w:r>
    </w:p>
    <w:p w:rsidR="00AE452B" w:rsidRPr="007711AE" w:rsidRDefault="00AE452B" w:rsidP="00AE452B">
      <w:pPr>
        <w:jc w:val="both"/>
      </w:pPr>
    </w:p>
    <w:p w:rsidR="00AE452B" w:rsidRDefault="00AE452B" w:rsidP="00AE452B">
      <w:pPr>
        <w:jc w:val="both"/>
        <w:rPr>
          <w:i/>
        </w:rPr>
      </w:pPr>
    </w:p>
    <w:p w:rsidR="00AE452B" w:rsidRDefault="00AE452B" w:rsidP="00AE452B">
      <w:pPr>
        <w:jc w:val="both"/>
        <w:rPr>
          <w:i/>
        </w:rPr>
      </w:pPr>
      <w:r w:rsidRPr="00E836F8">
        <w:rPr>
          <w:i/>
        </w:rPr>
        <w:lastRenderedPageBreak/>
        <w:t>Tablica</w:t>
      </w:r>
      <w:r w:rsidR="003833A9">
        <w:rPr>
          <w:i/>
        </w:rPr>
        <w:t xml:space="preserve"> 8</w:t>
      </w:r>
      <w:r>
        <w:rPr>
          <w:i/>
        </w:rPr>
        <w:t>.</w:t>
      </w:r>
      <w:r w:rsidRPr="00E836F8">
        <w:rPr>
          <w:i/>
        </w:rPr>
        <w:t xml:space="preserve">: </w:t>
      </w:r>
      <w:r>
        <w:rPr>
          <w:i/>
        </w:rPr>
        <w:t>S</w:t>
      </w:r>
      <w:r w:rsidRPr="00E836F8">
        <w:rPr>
          <w:i/>
        </w:rPr>
        <w:t xml:space="preserve">tanje </w:t>
      </w:r>
      <w:r>
        <w:rPr>
          <w:i/>
        </w:rPr>
        <w:t>potraživanja po kreditima bivšeg Fonda za razvoj i zapošljavanje</w:t>
      </w:r>
      <w:r w:rsidRPr="00E836F8">
        <w:rPr>
          <w:i/>
        </w:rPr>
        <w:t xml:space="preserve"> na dan 30.06.2022. u HRK</w:t>
      </w:r>
    </w:p>
    <w:p w:rsidR="00AE452B" w:rsidRDefault="00AE452B" w:rsidP="00AE452B">
      <w:pPr>
        <w:jc w:val="both"/>
        <w:rPr>
          <w:i/>
        </w:rPr>
      </w:pPr>
    </w:p>
    <w:p w:rsidR="00AE452B" w:rsidRDefault="00AE452B" w:rsidP="00AE452B">
      <w:pPr>
        <w:jc w:val="both"/>
        <w:rPr>
          <w:i/>
        </w:rPr>
      </w:pPr>
      <w:r w:rsidRPr="00B24E41">
        <w:rPr>
          <w:noProof/>
        </w:rPr>
        <w:drawing>
          <wp:inline distT="0" distB="0" distL="0" distR="0" wp14:anchorId="5C5269F5" wp14:editId="60B7CEB8">
            <wp:extent cx="5760720" cy="2544533"/>
            <wp:effectExtent l="0" t="0" r="0" b="825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544533"/>
                    </a:xfrm>
                    <a:prstGeom prst="rect">
                      <a:avLst/>
                    </a:prstGeom>
                    <a:noFill/>
                    <a:ln>
                      <a:noFill/>
                    </a:ln>
                  </pic:spPr>
                </pic:pic>
              </a:graphicData>
            </a:graphic>
          </wp:inline>
        </w:drawing>
      </w:r>
    </w:p>
    <w:p w:rsidR="00AE452B" w:rsidRDefault="00AE452B" w:rsidP="00AE452B">
      <w:pPr>
        <w:jc w:val="both"/>
        <w:rPr>
          <w:i/>
        </w:rPr>
      </w:pPr>
    </w:p>
    <w:p w:rsidR="00AE452B" w:rsidRDefault="00AE452B" w:rsidP="00AE452B">
      <w:pPr>
        <w:jc w:val="both"/>
        <w:rPr>
          <w:i/>
        </w:rPr>
      </w:pPr>
    </w:p>
    <w:p w:rsidR="00AE452B" w:rsidRPr="00E836F8" w:rsidRDefault="00AE452B" w:rsidP="00AE452B">
      <w:pPr>
        <w:jc w:val="both"/>
      </w:pPr>
      <w:r w:rsidRPr="00E836F8">
        <w:t xml:space="preserve">Na dan 30. lipnja 2022. godine u Glavnoj knjizi Državnog proračuna evidentirano ukupno stanje potraživanja temeljem kredita bivšeg Fonda za razvoj i zapošljavanje iznosi 819.846.269,66 kuna. Od navedenog iznosa na dospjelu glavnicu odnosi se iznos od 605.119.249,36 kuna, na nedospjelu glavnicu iznos od 13.199.250,79 kuna, odnosno stanje potraživanja na ime ukupne glavnice iznosi 618.318.500,15 kuna te na ime ukupno obračunatih kamata 201.527.769,51 kuna od čega redovna kamata iznosi 68.592.112,69 kuna, a zatezna kamata 132.935.656,82 kuna. Potraživanja na ime glavnice duga za korisnike kredita u stečajnom postupku iznose 128.680.552,72 kuna. Ministarstvo financija pokrenulo je ovršne postupke protiv korisnika kredita radi naplate glavnice u iznosu 7.252.889,89 kuna te postupke prisilne naplate protiv jamaca i založnih dužnika temeljem raspoloživih instrumenata osiguranja radi naplate tražbine na ime glavnice, za korisnike kredita koji su brisani iz sudskog i obrtnog registra u iznosu od 375.738.916,90 kuna. </w:t>
      </w:r>
    </w:p>
    <w:p w:rsidR="00AE452B" w:rsidRDefault="00AE452B" w:rsidP="00AE452B">
      <w:pPr>
        <w:jc w:val="both"/>
      </w:pPr>
    </w:p>
    <w:p w:rsidR="00AE452B" w:rsidRPr="00EF1170" w:rsidRDefault="00AE452B" w:rsidP="00AE452B">
      <w:pPr>
        <w:jc w:val="both"/>
      </w:pPr>
    </w:p>
    <w:p w:rsidR="00AE452B" w:rsidRPr="00EF1170" w:rsidRDefault="00AE452B" w:rsidP="00AE452B">
      <w:pPr>
        <w:jc w:val="both"/>
        <w:rPr>
          <w:b/>
        </w:rPr>
      </w:pPr>
      <w:r w:rsidRPr="00EF1170">
        <w:rPr>
          <w:b/>
        </w:rPr>
        <w:t>POTRAŽIVANJA ZA DANE ZAJMOVE IZ SREDSTAVA ZAJMOVA MEĐUNARODNIH FINANCIJSKIH INSTITUCIJA</w:t>
      </w:r>
    </w:p>
    <w:p w:rsidR="00AE452B" w:rsidRDefault="00AE452B" w:rsidP="00AE452B">
      <w:pPr>
        <w:jc w:val="both"/>
        <w:rPr>
          <w:lang w:val="hr-BA"/>
        </w:rPr>
      </w:pPr>
    </w:p>
    <w:p w:rsidR="00AE452B" w:rsidRPr="001C1A3A" w:rsidRDefault="00AE452B" w:rsidP="00AE452B">
      <w:pPr>
        <w:jc w:val="both"/>
      </w:pPr>
      <w:r w:rsidRPr="001C1A3A">
        <w:rPr>
          <w:lang w:val="hr-BA"/>
        </w:rPr>
        <w:t xml:space="preserve">Ukupna potraživanja </w:t>
      </w:r>
      <w:r w:rsidRPr="00EF1170">
        <w:rPr>
          <w:lang w:val="hr-BA"/>
        </w:rPr>
        <w:t xml:space="preserve">Republike Hrvatske </w:t>
      </w:r>
      <w:r w:rsidRPr="001C1A3A">
        <w:t>za dane zajmove iz sredstava zajmova međunarodnih financijskih institucija</w:t>
      </w:r>
      <w:r>
        <w:t xml:space="preserve"> </w:t>
      </w:r>
      <w:r w:rsidRPr="00EF1170">
        <w:rPr>
          <w:lang w:val="hr-BA"/>
        </w:rPr>
        <w:t xml:space="preserve">na </w:t>
      </w:r>
      <w:r>
        <w:rPr>
          <w:lang w:val="hr-BA"/>
        </w:rPr>
        <w:t xml:space="preserve">dan </w:t>
      </w:r>
      <w:r w:rsidRPr="00EF1170">
        <w:rPr>
          <w:lang w:val="hr-BA"/>
        </w:rPr>
        <w:t>30.06.2022. godine iznose 42.547.586,16 HRK od čega:</w:t>
      </w:r>
    </w:p>
    <w:p w:rsidR="00AE452B" w:rsidRPr="00EF1170" w:rsidRDefault="00AE452B" w:rsidP="00AE452B">
      <w:pPr>
        <w:numPr>
          <w:ilvl w:val="0"/>
          <w:numId w:val="3"/>
        </w:numPr>
        <w:ind w:left="426" w:hanging="426"/>
        <w:jc w:val="both"/>
        <w:rPr>
          <w:lang w:val="hr-BA"/>
        </w:rPr>
      </w:pPr>
      <w:r w:rsidRPr="00EF1170">
        <w:rPr>
          <w:lang w:val="hr-BA"/>
        </w:rPr>
        <w:t>potraživanja prema Brodarskom institutu iznose 7.767.785,74 HRK vezano uz Hrvatski projekt tehnologijskog razvoja,</w:t>
      </w:r>
    </w:p>
    <w:p w:rsidR="00AE452B" w:rsidRDefault="00AE452B" w:rsidP="00AE452B">
      <w:pPr>
        <w:numPr>
          <w:ilvl w:val="0"/>
          <w:numId w:val="3"/>
        </w:numPr>
        <w:ind w:left="426" w:hanging="426"/>
        <w:jc w:val="both"/>
        <w:rPr>
          <w:lang w:val="hr-BA"/>
        </w:rPr>
      </w:pPr>
      <w:r w:rsidRPr="00EF1170">
        <w:rPr>
          <w:lang w:val="hr-BA"/>
        </w:rPr>
        <w:t>potraživanja prema Nacionalnoj veletržnici iznose 34.779.800,42 (potraživanja za glavnicu: 24.116.676,56 HRK; potraživanja za kamatu: 10.663.123,86 HRK) vezano uz Projekt veletržnica.</w:t>
      </w:r>
    </w:p>
    <w:p w:rsidR="00AE452B" w:rsidRPr="00093143" w:rsidRDefault="00AE452B" w:rsidP="00AE452B">
      <w:pPr>
        <w:ind w:left="426"/>
        <w:jc w:val="both"/>
        <w:rPr>
          <w:lang w:val="hr-BA"/>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3833A9" w:rsidP="00AE452B">
      <w:pPr>
        <w:jc w:val="both"/>
        <w:rPr>
          <w:i/>
        </w:rPr>
      </w:pPr>
      <w:r>
        <w:rPr>
          <w:i/>
        </w:rPr>
        <w:lastRenderedPageBreak/>
        <w:t>Tablica 9</w:t>
      </w:r>
      <w:r w:rsidR="00AE452B" w:rsidRPr="00EF1170">
        <w:rPr>
          <w:i/>
        </w:rPr>
        <w:t>.</w:t>
      </w:r>
      <w:r w:rsidR="00AE452B">
        <w:rPr>
          <w:i/>
        </w:rPr>
        <w:t>:</w:t>
      </w:r>
      <w:r w:rsidR="00AE452B" w:rsidRPr="00EF1170">
        <w:rPr>
          <w:i/>
        </w:rPr>
        <w:t xml:space="preserve"> Potraživanja za dane zajmove trgovačkim društvima u javnom sektoru, 30. lipnja 2022.</w:t>
      </w:r>
    </w:p>
    <w:p w:rsidR="00AE452B" w:rsidRPr="00EF1170" w:rsidRDefault="00AE452B" w:rsidP="00AE452B">
      <w:pPr>
        <w:jc w:val="both"/>
        <w:rPr>
          <w:i/>
        </w:rPr>
      </w:pPr>
    </w:p>
    <w:p w:rsidR="00AE452B" w:rsidRPr="00EF1170" w:rsidRDefault="00AE452B" w:rsidP="00AE452B">
      <w:pPr>
        <w:jc w:val="both"/>
        <w:rPr>
          <w:b/>
        </w:rPr>
      </w:pPr>
      <w:r w:rsidRPr="00EF1170">
        <w:rPr>
          <w:noProof/>
        </w:rPr>
        <w:drawing>
          <wp:inline distT="0" distB="0" distL="0" distR="0" wp14:anchorId="06824635" wp14:editId="4ECC1F2B">
            <wp:extent cx="5759450" cy="2547786"/>
            <wp:effectExtent l="0" t="0" r="0" b="508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2547786"/>
                    </a:xfrm>
                    <a:prstGeom prst="rect">
                      <a:avLst/>
                    </a:prstGeom>
                    <a:noFill/>
                    <a:ln>
                      <a:noFill/>
                    </a:ln>
                  </pic:spPr>
                </pic:pic>
              </a:graphicData>
            </a:graphic>
          </wp:inline>
        </w:drawing>
      </w:r>
    </w:p>
    <w:p w:rsidR="00AE452B" w:rsidRPr="00EF1170" w:rsidRDefault="00AE452B" w:rsidP="00AE452B">
      <w:pPr>
        <w:jc w:val="both"/>
        <w:rPr>
          <w:b/>
        </w:rPr>
      </w:pPr>
    </w:p>
    <w:p w:rsidR="00AE452B" w:rsidRDefault="00AE452B" w:rsidP="00AE452B">
      <w:pPr>
        <w:jc w:val="both"/>
        <w:rPr>
          <w:b/>
        </w:rPr>
      </w:pPr>
    </w:p>
    <w:p w:rsidR="00AE452B" w:rsidRDefault="00AE452B" w:rsidP="00AE452B">
      <w:pPr>
        <w:jc w:val="both"/>
        <w:rPr>
          <w:b/>
        </w:rPr>
      </w:pPr>
    </w:p>
    <w:p w:rsidR="00AE452B" w:rsidRPr="00EF1170" w:rsidRDefault="00AE452B" w:rsidP="00AE452B">
      <w:pPr>
        <w:jc w:val="both"/>
        <w:rPr>
          <w:b/>
        </w:rPr>
      </w:pPr>
      <w:r w:rsidRPr="00EF1170">
        <w:rPr>
          <w:b/>
        </w:rPr>
        <w:t>POTRAŽIVANJA ZA DANE ZAJMOVE IZ SREDSTAVA EUROPSKE INVESTICIJSKE BANKE</w:t>
      </w:r>
    </w:p>
    <w:p w:rsidR="00AE452B" w:rsidRPr="00EF1170" w:rsidRDefault="00AE452B" w:rsidP="00AE452B">
      <w:pPr>
        <w:jc w:val="both"/>
        <w:rPr>
          <w:b/>
          <w:lang w:val="hr-BA"/>
        </w:rPr>
      </w:pPr>
    </w:p>
    <w:p w:rsidR="00AE452B" w:rsidRPr="00EF1170" w:rsidRDefault="00AE452B" w:rsidP="00AE452B">
      <w:pPr>
        <w:jc w:val="both"/>
      </w:pPr>
      <w:r w:rsidRPr="00EF1170">
        <w:t>Republika Hrvatska je zaključila s Europskom investicijskom bankom (EIB) ugovor o financiranju IPA/ISPA 2007-2011 projekata u iznosu 200.000.000,00 eura kroz koji se osiguravaju sredstva za nacionalno sufinanciranje IPA i ISPA projekata s nacionalne, regionalne i lokalne razine.</w:t>
      </w:r>
    </w:p>
    <w:p w:rsidR="00AE452B" w:rsidRPr="00EF1170" w:rsidRDefault="00AE452B" w:rsidP="00AE452B">
      <w:pPr>
        <w:jc w:val="both"/>
      </w:pPr>
    </w:p>
    <w:p w:rsidR="00AE452B" w:rsidRPr="00EF1170" w:rsidRDefault="00AE452B" w:rsidP="00AE452B">
      <w:pPr>
        <w:jc w:val="both"/>
      </w:pPr>
      <w:r w:rsidRPr="00EF1170">
        <w:t xml:space="preserve">Ministarstvo financija u razdoblju od 2012. do 2015. odobrilo je zajmove jedinicama lokalne i područne (regionalne) samouprave te trgovačkom društvu u javnom sektoru za financiranje njihovog udjela u sufinanciranju izgradnje regionalnih centara za gospodarenje otpadom </w:t>
      </w:r>
      <w:proofErr w:type="spellStart"/>
      <w:r w:rsidRPr="00EF1170">
        <w:t>Kaštijun</w:t>
      </w:r>
      <w:proofErr w:type="spellEnd"/>
      <w:r w:rsidRPr="00EF1170">
        <w:t xml:space="preserve">, </w:t>
      </w:r>
      <w:proofErr w:type="spellStart"/>
      <w:r w:rsidRPr="00EF1170">
        <w:t>Marišćina</w:t>
      </w:r>
      <w:proofErr w:type="spellEnd"/>
      <w:r w:rsidRPr="00EF1170">
        <w:t xml:space="preserve">, </w:t>
      </w:r>
      <w:proofErr w:type="spellStart"/>
      <w:r w:rsidRPr="00EF1170">
        <w:t>Bikarac</w:t>
      </w:r>
      <w:proofErr w:type="spellEnd"/>
      <w:r w:rsidRPr="00EF1170">
        <w:t xml:space="preserve"> faza 1 i faza 2. Zajmovi su odobreni uz kamatnu stopu od 1,328-3,987%, ovisno o datumu sklapanja ugovora, uz poček od 5 godina i otplatu 20 godina. Sredstva zajma korisnici povlače u skladu s dinamikom provedbe projekata. S obzirom da je u provedbi samo još projekt </w:t>
      </w:r>
      <w:proofErr w:type="spellStart"/>
      <w:r w:rsidRPr="00EF1170">
        <w:t>Bikarac</w:t>
      </w:r>
      <w:proofErr w:type="spellEnd"/>
      <w:r w:rsidRPr="00EF1170">
        <w:t xml:space="preserve"> faza II, za koji su povučena sva ugovorena sredstva, ne očekuju se daljnja povlačenja temeljem ugovorenih zajmova. </w:t>
      </w:r>
    </w:p>
    <w:p w:rsidR="00AE452B" w:rsidRPr="00EF1170" w:rsidRDefault="00AE452B" w:rsidP="00AE452B">
      <w:pPr>
        <w:jc w:val="both"/>
      </w:pPr>
    </w:p>
    <w:p w:rsidR="00AE452B" w:rsidRPr="00EF1170"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AE452B" w:rsidP="00AE452B">
      <w:pPr>
        <w:jc w:val="both"/>
        <w:rPr>
          <w:i/>
        </w:rPr>
      </w:pPr>
    </w:p>
    <w:p w:rsidR="00AE452B" w:rsidRDefault="003833A9" w:rsidP="00AE452B">
      <w:pPr>
        <w:jc w:val="both"/>
        <w:rPr>
          <w:i/>
        </w:rPr>
      </w:pPr>
      <w:r>
        <w:rPr>
          <w:i/>
        </w:rPr>
        <w:t>Tablica 10</w:t>
      </w:r>
      <w:r w:rsidR="00AE452B" w:rsidRPr="00EF1170">
        <w:rPr>
          <w:i/>
        </w:rPr>
        <w:t>.</w:t>
      </w:r>
      <w:r w:rsidR="00AE452B">
        <w:rPr>
          <w:i/>
        </w:rPr>
        <w:t>:</w:t>
      </w:r>
      <w:r w:rsidR="00AE452B" w:rsidRPr="00EF1170">
        <w:rPr>
          <w:i/>
        </w:rPr>
        <w:t xml:space="preserve"> Potraživanja za dane zajmove za sufinanciranje IPA i ISPA projekata do 30. lipnja 2022. (u HRK)</w:t>
      </w:r>
    </w:p>
    <w:p w:rsidR="00AE452B" w:rsidRPr="00EF1170" w:rsidRDefault="00AE452B" w:rsidP="00AE452B">
      <w:pPr>
        <w:jc w:val="both"/>
        <w:rPr>
          <w:i/>
        </w:rPr>
      </w:pPr>
    </w:p>
    <w:p w:rsidR="00AE452B" w:rsidRPr="00EF1170" w:rsidRDefault="00AE452B" w:rsidP="00AE452B">
      <w:pPr>
        <w:jc w:val="both"/>
      </w:pPr>
      <w:r w:rsidRPr="00F208DF">
        <w:rPr>
          <w:noProof/>
        </w:rPr>
        <w:drawing>
          <wp:inline distT="0" distB="0" distL="0" distR="0" wp14:anchorId="07D48C24" wp14:editId="0010FA8D">
            <wp:extent cx="5759450" cy="3345835"/>
            <wp:effectExtent l="0" t="0" r="0" b="698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3345835"/>
                    </a:xfrm>
                    <a:prstGeom prst="rect">
                      <a:avLst/>
                    </a:prstGeom>
                    <a:noFill/>
                    <a:ln>
                      <a:noFill/>
                    </a:ln>
                  </pic:spPr>
                </pic:pic>
              </a:graphicData>
            </a:graphic>
          </wp:inline>
        </w:drawing>
      </w:r>
    </w:p>
    <w:p w:rsidR="00AE452B" w:rsidRPr="00EF1170" w:rsidRDefault="00AE452B" w:rsidP="00AE452B">
      <w:pPr>
        <w:jc w:val="both"/>
      </w:pPr>
    </w:p>
    <w:p w:rsidR="00AE452B" w:rsidRDefault="00AE452B" w:rsidP="00AE452B">
      <w:pPr>
        <w:jc w:val="both"/>
        <w:rPr>
          <w:b/>
        </w:rPr>
      </w:pPr>
    </w:p>
    <w:p w:rsidR="00AE452B" w:rsidRPr="00EF1170" w:rsidRDefault="00AE452B" w:rsidP="00AE452B">
      <w:pPr>
        <w:jc w:val="both"/>
        <w:rPr>
          <w:b/>
        </w:rPr>
      </w:pPr>
      <w:r w:rsidRPr="00EF1170">
        <w:rPr>
          <w:b/>
        </w:rPr>
        <w:t xml:space="preserve">POTRAŽIVANJA ZA DANE ZAJMOVE KREDITNIM INSTITUCIJAMA U JAVNOM SEKTORU </w:t>
      </w:r>
    </w:p>
    <w:p w:rsidR="00AE452B" w:rsidRPr="00EF1170" w:rsidRDefault="00AE452B" w:rsidP="00AE452B">
      <w:pPr>
        <w:jc w:val="both"/>
      </w:pPr>
    </w:p>
    <w:p w:rsidR="00AE452B" w:rsidRPr="00EF1170" w:rsidRDefault="00AE452B" w:rsidP="00AE452B">
      <w:pPr>
        <w:jc w:val="both"/>
      </w:pPr>
      <w:r w:rsidRPr="00EF1170">
        <w:t xml:space="preserve">Ministarstvo financija i Hrvatska banka za obnovu i razvitak zaključili su dana 26. lipnja 2020. Ugovor o zajmu broj: 1/2020 na iznos od 3.000.000.000,00 kuna s rokovima isplate do 1.7.2020. godine u iznosu od 1.500.000.000,00 kuna i do 15.12.2020. godine u iznosu od 1.500.000.000,00 kuna radi ublažavanja negativnih posljedica epidemije </w:t>
      </w:r>
      <w:proofErr w:type="spellStart"/>
      <w:r w:rsidRPr="00EF1170">
        <w:t>koronavirusa</w:t>
      </w:r>
      <w:proofErr w:type="spellEnd"/>
      <w:r w:rsidRPr="00EF1170">
        <w:t>, provođenja mjera za očuvanje razine gospodarske aktivnosti, likvidnosti gospodarskih subjekata te očuvanja radnih mjesta. Ugovoreni rok otplate je 15.12.2023. Ovaj Ugovor je realiziran djelomično, naime 1.7.2020. realizirana je prva isplata zajma u iznosu od 1.500.000.000,00 kuna s obzirom da Hrvatska banka za obnovu i razvitak tijekom 2020. godine nije imala potrebu za dodatnim sredstvima za osiguranje likvidnosti.</w:t>
      </w:r>
    </w:p>
    <w:p w:rsidR="00AE452B" w:rsidRPr="00EF1170" w:rsidRDefault="00AE452B" w:rsidP="00AE452B">
      <w:pPr>
        <w:jc w:val="both"/>
      </w:pPr>
      <w:r w:rsidRPr="00EF1170">
        <w:t xml:space="preserve">Dodatkom I. Ugovoru o zajmu broj 1/2020 od 04. veljače 2021. ugovoreni iznos zajma umanjuje se na 1.500.000.000,00 kuna. </w:t>
      </w:r>
    </w:p>
    <w:p w:rsidR="00AE452B" w:rsidRPr="00EF1170" w:rsidRDefault="00AE452B" w:rsidP="00AE452B">
      <w:pPr>
        <w:jc w:val="both"/>
      </w:pPr>
    </w:p>
    <w:p w:rsidR="00AE452B" w:rsidRDefault="003833A9" w:rsidP="00AE452B">
      <w:pPr>
        <w:jc w:val="both"/>
        <w:rPr>
          <w:i/>
        </w:rPr>
      </w:pPr>
      <w:r>
        <w:rPr>
          <w:i/>
        </w:rPr>
        <w:t>Tablica 11</w:t>
      </w:r>
      <w:r w:rsidR="00AE452B">
        <w:rPr>
          <w:i/>
        </w:rPr>
        <w:t>.:</w:t>
      </w:r>
      <w:r w:rsidR="00AE452B" w:rsidRPr="00EF1170">
        <w:rPr>
          <w:i/>
        </w:rPr>
        <w:t xml:space="preserve"> Potraživanja za dane zajmove kreditnim institucijama u javnom sektoru, stanje 30. lipnja 2022. </w:t>
      </w:r>
    </w:p>
    <w:p w:rsidR="00AE452B" w:rsidRPr="00EF1170" w:rsidRDefault="00AE452B" w:rsidP="00AE452B">
      <w:pPr>
        <w:jc w:val="both"/>
        <w:rPr>
          <w:i/>
        </w:rPr>
      </w:pPr>
    </w:p>
    <w:p w:rsidR="00AE452B" w:rsidRPr="00EF1170" w:rsidRDefault="00AE452B" w:rsidP="00AE452B">
      <w:pPr>
        <w:jc w:val="both"/>
      </w:pPr>
      <w:r w:rsidRPr="00936E22">
        <w:rPr>
          <w:noProof/>
        </w:rPr>
        <w:drawing>
          <wp:inline distT="0" distB="0" distL="0" distR="0" wp14:anchorId="2668B2EA" wp14:editId="19A47DA0">
            <wp:extent cx="5759450" cy="1150303"/>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1150303"/>
                    </a:xfrm>
                    <a:prstGeom prst="rect">
                      <a:avLst/>
                    </a:prstGeom>
                    <a:noFill/>
                    <a:ln>
                      <a:noFill/>
                    </a:ln>
                  </pic:spPr>
                </pic:pic>
              </a:graphicData>
            </a:graphic>
          </wp:inline>
        </w:drawing>
      </w:r>
    </w:p>
    <w:p w:rsidR="00AE452B" w:rsidRPr="00EF1170" w:rsidRDefault="00AE452B" w:rsidP="00AE452B">
      <w:pPr>
        <w:jc w:val="both"/>
        <w:rPr>
          <w:b/>
        </w:rPr>
      </w:pPr>
      <w:r w:rsidRPr="00EF1170">
        <w:rPr>
          <w:b/>
        </w:rPr>
        <w:lastRenderedPageBreak/>
        <w:t xml:space="preserve">POTRAŽIVANJA ZA DANE ZAJMOVE TRGOVAČKIM DRUŠTVIMA U JAVNOM SEKTORU </w:t>
      </w:r>
    </w:p>
    <w:p w:rsidR="00AE452B" w:rsidRPr="00EF1170" w:rsidRDefault="00AE452B" w:rsidP="00AE452B">
      <w:pPr>
        <w:jc w:val="both"/>
      </w:pPr>
    </w:p>
    <w:p w:rsidR="00AE452B" w:rsidRPr="00EF1170" w:rsidRDefault="00AE452B" w:rsidP="00AE452B">
      <w:pPr>
        <w:tabs>
          <w:tab w:val="left" w:pos="180"/>
          <w:tab w:val="left" w:pos="540"/>
        </w:tabs>
        <w:jc w:val="both"/>
      </w:pPr>
      <w:r w:rsidRPr="00EF1170">
        <w:t xml:space="preserve">Potraživanje u iznosu od 250.000.000,00 kuna odnosi se na zajam društvu Croatia Airlines </w:t>
      </w:r>
      <w:proofErr w:type="spellStart"/>
      <w:r w:rsidRPr="00EF1170">
        <w:t>d.d</w:t>
      </w:r>
      <w:proofErr w:type="spellEnd"/>
      <w:r w:rsidRPr="00EF1170">
        <w:t xml:space="preserve"> koji je isplaćen u 2020. godini temeljem Odluke Vlade Republike Hrvatske o odobrenju državne potpore društvu Croatia Airlines d.d. sukladno privremenom okviru Europske komisije kojim se državama članicama omogućuje dodatna pomoć gospodarstvu zbog </w:t>
      </w:r>
      <w:proofErr w:type="spellStart"/>
      <w:r w:rsidRPr="00EF1170">
        <w:t>pandemije</w:t>
      </w:r>
      <w:proofErr w:type="spellEnd"/>
      <w:r w:rsidRPr="00EF1170">
        <w:t xml:space="preserve"> COVID – 19 od 14. prosinca 2020. godine.</w:t>
      </w:r>
    </w:p>
    <w:p w:rsidR="00AE452B" w:rsidRPr="00EF1170" w:rsidRDefault="00AE452B" w:rsidP="00AE452B">
      <w:pPr>
        <w:tabs>
          <w:tab w:val="left" w:pos="180"/>
          <w:tab w:val="left" w:pos="540"/>
        </w:tabs>
        <w:jc w:val="both"/>
      </w:pPr>
    </w:p>
    <w:p w:rsidR="00AE452B" w:rsidRPr="00EF1170" w:rsidRDefault="00AE452B" w:rsidP="00AE452B">
      <w:pPr>
        <w:tabs>
          <w:tab w:val="left" w:pos="180"/>
          <w:tab w:val="left" w:pos="540"/>
        </w:tabs>
        <w:jc w:val="both"/>
      </w:pPr>
      <w:r w:rsidRPr="00EF1170">
        <w:t xml:space="preserve">Nadalje, potraživanje u iznosu od 50.000.000,00 kuna odnosi se na zajam isplaćen u 2020. godini društvu HŽ </w:t>
      </w:r>
      <w:proofErr w:type="spellStart"/>
      <w:r w:rsidRPr="00EF1170">
        <w:t>Cargo</w:t>
      </w:r>
      <w:proofErr w:type="spellEnd"/>
      <w:r w:rsidRPr="00EF1170">
        <w:t xml:space="preserve"> d.o.o. temeljem Odluke Vlade Republike Hrvatske o odobrenju državne potpore za sanaciju društva HŽ </w:t>
      </w:r>
      <w:proofErr w:type="spellStart"/>
      <w:r w:rsidRPr="00EF1170">
        <w:t>Cargo</w:t>
      </w:r>
      <w:proofErr w:type="spellEnd"/>
      <w:r w:rsidRPr="00EF1170">
        <w:t xml:space="preserve"> d.o.o. od 17. prosinca 2020. za osiguranje likvidnosti zbog teškoća u poslovanju društva, a sukladno Smjernicama Europske komisije o državnim potporama za sanaciju i restrukturiranje nefinancijskih poduzetnika u teškoćama.</w:t>
      </w:r>
    </w:p>
    <w:p w:rsidR="00AE452B" w:rsidRPr="00EF1170" w:rsidRDefault="00AE452B" w:rsidP="00AE452B">
      <w:pPr>
        <w:jc w:val="both"/>
      </w:pPr>
    </w:p>
    <w:p w:rsidR="00AE452B" w:rsidRDefault="003833A9" w:rsidP="00AE452B">
      <w:pPr>
        <w:jc w:val="both"/>
        <w:rPr>
          <w:i/>
        </w:rPr>
      </w:pPr>
      <w:r>
        <w:rPr>
          <w:i/>
        </w:rPr>
        <w:t>Tablica 12</w:t>
      </w:r>
      <w:r w:rsidR="00AE452B">
        <w:rPr>
          <w:i/>
        </w:rPr>
        <w:t>.:</w:t>
      </w:r>
      <w:r w:rsidR="00AE452B" w:rsidRPr="00EF1170">
        <w:rPr>
          <w:i/>
        </w:rPr>
        <w:t xml:space="preserve"> Potraživanja za dane zajmove trgovačkim društvima u javnom sektoru, stanje 30. lipnja 2022. </w:t>
      </w:r>
    </w:p>
    <w:p w:rsidR="00AE452B" w:rsidRPr="00EF1170" w:rsidRDefault="00AE452B" w:rsidP="00AE452B">
      <w:pPr>
        <w:jc w:val="both"/>
        <w:rPr>
          <w:i/>
        </w:rPr>
      </w:pPr>
    </w:p>
    <w:p w:rsidR="00AE452B" w:rsidRPr="00EF1170" w:rsidRDefault="00AE452B" w:rsidP="00AE452B">
      <w:pPr>
        <w:jc w:val="both"/>
      </w:pPr>
      <w:r w:rsidRPr="00936E22">
        <w:rPr>
          <w:noProof/>
        </w:rPr>
        <w:drawing>
          <wp:inline distT="0" distB="0" distL="0" distR="0" wp14:anchorId="5674103B" wp14:editId="3D9F8E9C">
            <wp:extent cx="5759450" cy="1324832"/>
            <wp:effectExtent l="0" t="0" r="0" b="889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1324832"/>
                    </a:xfrm>
                    <a:prstGeom prst="rect">
                      <a:avLst/>
                    </a:prstGeom>
                    <a:noFill/>
                    <a:ln>
                      <a:noFill/>
                    </a:ln>
                  </pic:spPr>
                </pic:pic>
              </a:graphicData>
            </a:graphic>
          </wp:inline>
        </w:drawing>
      </w:r>
    </w:p>
    <w:p w:rsidR="00AE452B" w:rsidRPr="00EF1170" w:rsidRDefault="00AE452B" w:rsidP="00AE452B">
      <w:pPr>
        <w:jc w:val="both"/>
      </w:pPr>
    </w:p>
    <w:p w:rsidR="00AE452B" w:rsidRPr="00EF1170" w:rsidRDefault="00AE452B" w:rsidP="00AE452B">
      <w:pPr>
        <w:jc w:val="both"/>
        <w:rPr>
          <w:b/>
        </w:rPr>
      </w:pPr>
      <w:r w:rsidRPr="00EF1170">
        <w:rPr>
          <w:b/>
        </w:rPr>
        <w:t>POTRAŽIVANJA ZA DANE ZAJMOVE ŽUPANIJSKIM, GRADSKIM I OPĆINSKIM PRORAČUNIMA I HRVATSKOM ZAVODU ZA ZDRAVSTVENO OSIGURANJE</w:t>
      </w:r>
    </w:p>
    <w:p w:rsidR="00AE452B" w:rsidRPr="00EF1170" w:rsidRDefault="00AE452B" w:rsidP="00AE452B">
      <w:pPr>
        <w:jc w:val="both"/>
        <w:rPr>
          <w:b/>
        </w:rPr>
      </w:pPr>
    </w:p>
    <w:p w:rsidR="00AE452B" w:rsidRPr="00EF1170" w:rsidRDefault="00AE452B" w:rsidP="00AE452B">
      <w:pPr>
        <w:jc w:val="both"/>
      </w:pPr>
      <w:r w:rsidRPr="00EF1170">
        <w:t>Potraživanja za dane zajmove županijskim, gradskim i općinskim proračunima u ukupnom iznosu od 826.263.432,82 kn odnose se na potraživanja za:</w:t>
      </w:r>
    </w:p>
    <w:p w:rsidR="00AE452B" w:rsidRPr="00EF1170" w:rsidRDefault="00AE452B" w:rsidP="00AE452B">
      <w:pPr>
        <w:jc w:val="both"/>
      </w:pPr>
    </w:p>
    <w:p w:rsidR="00AE452B" w:rsidRPr="00EF1170" w:rsidRDefault="00AE452B" w:rsidP="00AE452B">
      <w:pPr>
        <w:numPr>
          <w:ilvl w:val="0"/>
          <w:numId w:val="4"/>
        </w:numPr>
        <w:jc w:val="both"/>
      </w:pPr>
      <w:r w:rsidRPr="00EF1170">
        <w:t xml:space="preserve">dane beskamatne zajmove s osnove odgode i/ili obročne otplate odnosno oslobođenja od plaćanja poreza na dohodak i prireza porezu na dohodak, izvršenog povrata preplaćenog poreza na dohodak i prireza porezu na dohodak po godišnjem obračunu za 2019. isplaćenih u 2020. godini temeljem Naputka o načinu isplate sredstava beskamatnog zajma jedinicama lokalne i područne (regionalne) samouprave, Hrvatskom zavodu za mirovinsko osiguranje i Hrvatskom zavodu za zdravstveno osiguranje (Narodne novine, br. 46/20, 5/21 i 73/21), </w:t>
      </w:r>
    </w:p>
    <w:p w:rsidR="00AE452B" w:rsidRPr="00EF1170" w:rsidRDefault="00AE452B" w:rsidP="00AE452B">
      <w:pPr>
        <w:numPr>
          <w:ilvl w:val="0"/>
          <w:numId w:val="4"/>
        </w:numPr>
        <w:jc w:val="both"/>
      </w:pPr>
      <w:r w:rsidRPr="00EF1170">
        <w:t>dane beskamatne zajmove uslijed pada prihoda isplaćene u 2020. i 2021. godini temeljem Naputka o isplati sredstava beskamatnog zajma jedinicama lokalne i područne (regionalne) samouprave uslijed pada prihoda (Narodne novine, br. 130/20) i Odluke o dodjeli beskamatnog zajma jedinicama lokalne i područne (regionalne) samouprave uslijed pada prihoda (Narodne novine, br. 136/21),</w:t>
      </w:r>
    </w:p>
    <w:p w:rsidR="00AE452B" w:rsidRPr="00EF1170" w:rsidRDefault="00AE452B" w:rsidP="00AE452B">
      <w:pPr>
        <w:numPr>
          <w:ilvl w:val="0"/>
          <w:numId w:val="4"/>
        </w:numPr>
        <w:jc w:val="both"/>
      </w:pPr>
      <w:r w:rsidRPr="00EF1170">
        <w:t>dane beskamatne zajmove isplaćene u 2021. godini temeljem Odluke o dodjeli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(Narodne novine, br. 101/21) te</w:t>
      </w:r>
    </w:p>
    <w:p w:rsidR="00AE452B" w:rsidRPr="00093143" w:rsidRDefault="00AE452B" w:rsidP="00AE452B">
      <w:pPr>
        <w:numPr>
          <w:ilvl w:val="0"/>
          <w:numId w:val="4"/>
        </w:numPr>
        <w:jc w:val="both"/>
      </w:pPr>
      <w:r w:rsidRPr="00EF1170">
        <w:lastRenderedPageBreak/>
        <w:t xml:space="preserve">namirena nedostajuća sredstva po računu poreza na dohodak i prireza porezu na dohodak u 2021. godini korištena za povrat poreza na dohodak i prireza porezu na dohodak po godišnjoj prijavi za 2020. godinu. </w:t>
      </w:r>
    </w:p>
    <w:p w:rsidR="00AE452B" w:rsidRPr="00EF1170" w:rsidRDefault="00AE452B" w:rsidP="00AE452B">
      <w:pPr>
        <w:jc w:val="both"/>
      </w:pPr>
      <w:r w:rsidRPr="00EF1170">
        <w:t xml:space="preserve">Potraživanja za dane zajmove Hrvatskom zavodu za zdravstveno osiguranje na dan 31. prosinca 2021. iznose 1.061.070.706,83 kn. Navedena potraživanja odnose se na beskamatni zajam isplaćen u 2020. godini Hrvatskom zavodu za zdravstveno osiguranje temeljem odgode/obročne otplate te oslobođenja od plaćanja doprinosa u skladu s Naputkom o načinu isplate sredstava beskamatnog zajma jedinicama lokalne i područne (regionalne) samouprave, Hrvatskom zavodu za mirovinsko osiguranje i Hrvatskom zavodu za zdravstveno osiguranje (Narodne novine, br. 46/20, 5/21 i 73/21). </w:t>
      </w:r>
    </w:p>
    <w:p w:rsidR="00AE452B" w:rsidRPr="00EF1170" w:rsidRDefault="00AE452B" w:rsidP="00AE452B">
      <w:pPr>
        <w:tabs>
          <w:tab w:val="left" w:pos="180"/>
          <w:tab w:val="left" w:pos="540"/>
        </w:tabs>
        <w:jc w:val="both"/>
        <w:rPr>
          <w:i/>
        </w:rPr>
      </w:pPr>
    </w:p>
    <w:p w:rsidR="00AE452B" w:rsidRDefault="003833A9" w:rsidP="00AE452B">
      <w:pPr>
        <w:tabs>
          <w:tab w:val="left" w:pos="180"/>
          <w:tab w:val="left" w:pos="540"/>
        </w:tabs>
        <w:jc w:val="both"/>
        <w:rPr>
          <w:i/>
        </w:rPr>
      </w:pPr>
      <w:r>
        <w:rPr>
          <w:i/>
        </w:rPr>
        <w:t>Tablica 13</w:t>
      </w:r>
      <w:r w:rsidR="00AE452B" w:rsidRPr="00EF1170">
        <w:rPr>
          <w:i/>
        </w:rPr>
        <w:t>.</w:t>
      </w:r>
      <w:r w:rsidR="00AE452B">
        <w:rPr>
          <w:i/>
        </w:rPr>
        <w:t>:</w:t>
      </w:r>
      <w:r w:rsidR="00AE452B" w:rsidRPr="00EF1170">
        <w:rPr>
          <w:i/>
        </w:rPr>
        <w:t xml:space="preserve"> Potraživanja za dane zajmove županijskim, gradskim i općinskim proračunima i Hrvatskom zavodu za zdravstveno osiguranje, stanje 30. lipnja 2022 . </w:t>
      </w:r>
    </w:p>
    <w:p w:rsidR="00AE452B" w:rsidRPr="00EF1170" w:rsidRDefault="00AE452B" w:rsidP="00AE452B">
      <w:pPr>
        <w:tabs>
          <w:tab w:val="left" w:pos="180"/>
          <w:tab w:val="left" w:pos="540"/>
        </w:tabs>
        <w:jc w:val="both"/>
        <w:rPr>
          <w:i/>
        </w:rPr>
      </w:pPr>
    </w:p>
    <w:p w:rsidR="00AE452B" w:rsidRPr="00EF1170" w:rsidRDefault="00AE452B" w:rsidP="00AE452B">
      <w:pPr>
        <w:jc w:val="both"/>
      </w:pPr>
      <w:r w:rsidRPr="00936E22">
        <w:rPr>
          <w:noProof/>
        </w:rPr>
        <w:drawing>
          <wp:inline distT="0" distB="0" distL="0" distR="0" wp14:anchorId="2D2ED515" wp14:editId="78B15B5F">
            <wp:extent cx="5759450" cy="1626291"/>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1626291"/>
                    </a:xfrm>
                    <a:prstGeom prst="rect">
                      <a:avLst/>
                    </a:prstGeom>
                    <a:noFill/>
                    <a:ln>
                      <a:noFill/>
                    </a:ln>
                  </pic:spPr>
                </pic:pic>
              </a:graphicData>
            </a:graphic>
          </wp:inline>
        </w:drawing>
      </w:r>
    </w:p>
    <w:p w:rsidR="00AE452B" w:rsidRPr="00EF1170" w:rsidRDefault="00AE452B" w:rsidP="00AE452B">
      <w:pPr>
        <w:spacing w:after="200"/>
        <w:contextualSpacing/>
        <w:jc w:val="both"/>
        <w:rPr>
          <w:lang w:val="hr-BA"/>
        </w:rPr>
      </w:pPr>
      <w:r w:rsidRPr="00EF1170">
        <w:rPr>
          <w:lang w:val="hr-BA"/>
        </w:rPr>
        <w:t>* uključuje Grad Zagreb</w:t>
      </w:r>
    </w:p>
    <w:p w:rsidR="00AE452B" w:rsidRPr="00EF1170" w:rsidRDefault="00AE452B" w:rsidP="00AE452B">
      <w:pPr>
        <w:jc w:val="both"/>
        <w:rPr>
          <w:b/>
        </w:rPr>
      </w:pPr>
    </w:p>
    <w:p w:rsidR="00AE452B" w:rsidRDefault="00AE452B" w:rsidP="00AE452B">
      <w:pPr>
        <w:jc w:val="both"/>
        <w:rPr>
          <w:b/>
        </w:rPr>
      </w:pPr>
    </w:p>
    <w:p w:rsidR="00AE452B" w:rsidRDefault="00AE452B" w:rsidP="00AE452B">
      <w:pPr>
        <w:jc w:val="both"/>
      </w:pPr>
    </w:p>
    <w:p w:rsidR="00AE452B" w:rsidRDefault="00AE452B" w:rsidP="00AE452B">
      <w:pPr>
        <w:jc w:val="both"/>
      </w:pPr>
    </w:p>
    <w:p w:rsidR="00AE452B" w:rsidRPr="00EF1170" w:rsidRDefault="00AE452B" w:rsidP="00AE452B">
      <w:pPr>
        <w:jc w:val="both"/>
      </w:pPr>
    </w:p>
    <w:p w:rsidR="00AE452B" w:rsidRPr="00B77561" w:rsidRDefault="00AE452B">
      <w:pPr>
        <w:jc w:val="both"/>
      </w:pPr>
    </w:p>
    <w:sectPr w:rsidR="00AE452B" w:rsidRPr="00B77561" w:rsidSect="00FB021F">
      <w:footerReference w:type="default" r:id="rId21"/>
      <w:pgSz w:w="11906" w:h="16838"/>
      <w:pgMar w:top="1417" w:right="1417" w:bottom="1417" w:left="1417" w:header="709" w:footer="709" w:gutter="0"/>
      <w:pgNumType w:start="6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21F" w:rsidRDefault="00FB021F" w:rsidP="00FB021F">
      <w:r>
        <w:separator/>
      </w:r>
    </w:p>
  </w:endnote>
  <w:endnote w:type="continuationSeparator" w:id="0">
    <w:p w:rsidR="00FB021F" w:rsidRDefault="00FB021F" w:rsidP="00FB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57493"/>
      <w:docPartObj>
        <w:docPartGallery w:val="Page Numbers (Bottom of Page)"/>
        <w:docPartUnique/>
      </w:docPartObj>
    </w:sdtPr>
    <w:sdtEndPr/>
    <w:sdtContent>
      <w:p w:rsidR="00FB021F" w:rsidRDefault="00FB021F">
        <w:pPr>
          <w:pStyle w:val="Podnoje"/>
          <w:jc w:val="center"/>
        </w:pPr>
        <w:r>
          <w:fldChar w:fldCharType="begin"/>
        </w:r>
        <w:r>
          <w:instrText>PAGE   \* MERGEFORMAT</w:instrText>
        </w:r>
        <w:r>
          <w:fldChar w:fldCharType="separate"/>
        </w:r>
        <w:r w:rsidR="006528C0">
          <w:rPr>
            <w:noProof/>
          </w:rPr>
          <w:t>626</w:t>
        </w:r>
        <w:r>
          <w:fldChar w:fldCharType="end"/>
        </w:r>
      </w:p>
    </w:sdtContent>
  </w:sdt>
  <w:p w:rsidR="00FB021F" w:rsidRDefault="00FB021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21F" w:rsidRDefault="00FB021F" w:rsidP="00FB021F">
      <w:r>
        <w:separator/>
      </w:r>
    </w:p>
  </w:footnote>
  <w:footnote w:type="continuationSeparator" w:id="0">
    <w:p w:rsidR="00FB021F" w:rsidRDefault="00FB021F" w:rsidP="00FB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0FE1"/>
    <w:multiLevelType w:val="hybridMultilevel"/>
    <w:tmpl w:val="5616171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2B675C7D"/>
    <w:multiLevelType w:val="hybridMultilevel"/>
    <w:tmpl w:val="E692F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F503A34"/>
    <w:multiLevelType w:val="hybridMultilevel"/>
    <w:tmpl w:val="705AC800"/>
    <w:lvl w:ilvl="0" w:tplc="ED9036D8">
      <w:start w:val="4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5DD27C1"/>
    <w:multiLevelType w:val="hybridMultilevel"/>
    <w:tmpl w:val="45D45B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E9C7C19"/>
    <w:multiLevelType w:val="hybridMultilevel"/>
    <w:tmpl w:val="E692F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D1E"/>
    <w:rsid w:val="00075B62"/>
    <w:rsid w:val="000B4F37"/>
    <w:rsid w:val="000E78CB"/>
    <w:rsid w:val="0011633E"/>
    <w:rsid w:val="00130B90"/>
    <w:rsid w:val="00170C52"/>
    <w:rsid w:val="001C617C"/>
    <w:rsid w:val="002A7CF3"/>
    <w:rsid w:val="003342A1"/>
    <w:rsid w:val="0034795F"/>
    <w:rsid w:val="003833A9"/>
    <w:rsid w:val="003A1E04"/>
    <w:rsid w:val="0044209C"/>
    <w:rsid w:val="004A7596"/>
    <w:rsid w:val="00533604"/>
    <w:rsid w:val="00592EA5"/>
    <w:rsid w:val="006528C0"/>
    <w:rsid w:val="00780E5C"/>
    <w:rsid w:val="007B0DF2"/>
    <w:rsid w:val="00866896"/>
    <w:rsid w:val="009D32B3"/>
    <w:rsid w:val="009E773D"/>
    <w:rsid w:val="00A00D1E"/>
    <w:rsid w:val="00A96401"/>
    <w:rsid w:val="00AB45DB"/>
    <w:rsid w:val="00AE452B"/>
    <w:rsid w:val="00B10705"/>
    <w:rsid w:val="00B77561"/>
    <w:rsid w:val="00BE6172"/>
    <w:rsid w:val="00ED1202"/>
    <w:rsid w:val="00F52DAF"/>
    <w:rsid w:val="00F66F60"/>
    <w:rsid w:val="00F92917"/>
    <w:rsid w:val="00FA1249"/>
    <w:rsid w:val="00FB021F"/>
    <w:rsid w:val="00FB2DD4"/>
    <w:rsid w:val="00FF45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6354EA"/>
  <w15:chartTrackingRefBased/>
  <w15:docId w15:val="{225B929E-A098-4F01-B160-291D6310D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D1E"/>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Uvuenotijeloteksta">
    <w:name w:val="Body Text Indent"/>
    <w:basedOn w:val="Normal"/>
    <w:link w:val="UvuenotijelotekstaChar"/>
    <w:rsid w:val="00A00D1E"/>
    <w:pPr>
      <w:ind w:firstLine="1496"/>
      <w:jc w:val="both"/>
    </w:pPr>
  </w:style>
  <w:style w:type="character" w:customStyle="1" w:styleId="UvuenotijelotekstaChar">
    <w:name w:val="Uvučeno tijelo teksta Char"/>
    <w:basedOn w:val="Zadanifontodlomka"/>
    <w:link w:val="Uvuenotijeloteksta"/>
    <w:rsid w:val="00A00D1E"/>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A00D1E"/>
    <w:pPr>
      <w:ind w:left="720"/>
      <w:contextualSpacing/>
    </w:pPr>
  </w:style>
  <w:style w:type="paragraph" w:styleId="Opisslike">
    <w:name w:val="caption"/>
    <w:basedOn w:val="Normal"/>
    <w:next w:val="Normal"/>
    <w:uiPriority w:val="35"/>
    <w:unhideWhenUsed/>
    <w:qFormat/>
    <w:rsid w:val="00A00D1E"/>
    <w:pPr>
      <w:spacing w:after="200"/>
    </w:pPr>
    <w:rPr>
      <w:b/>
      <w:bCs/>
      <w:color w:val="5B9BD5" w:themeColor="accent1"/>
      <w:sz w:val="18"/>
      <w:szCs w:val="18"/>
    </w:rPr>
  </w:style>
  <w:style w:type="paragraph" w:styleId="Zaglavlje">
    <w:name w:val="header"/>
    <w:basedOn w:val="Normal"/>
    <w:link w:val="ZaglavljeChar"/>
    <w:uiPriority w:val="99"/>
    <w:unhideWhenUsed/>
    <w:rsid w:val="00FB021F"/>
    <w:pPr>
      <w:tabs>
        <w:tab w:val="center" w:pos="4536"/>
        <w:tab w:val="right" w:pos="9072"/>
      </w:tabs>
    </w:pPr>
  </w:style>
  <w:style w:type="character" w:customStyle="1" w:styleId="ZaglavljeChar">
    <w:name w:val="Zaglavlje Char"/>
    <w:basedOn w:val="Zadanifontodlomka"/>
    <w:link w:val="Zaglavlje"/>
    <w:uiPriority w:val="99"/>
    <w:rsid w:val="00FB021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FB021F"/>
    <w:pPr>
      <w:tabs>
        <w:tab w:val="center" w:pos="4536"/>
        <w:tab w:val="right" w:pos="9072"/>
      </w:tabs>
    </w:pPr>
  </w:style>
  <w:style w:type="character" w:customStyle="1" w:styleId="PodnojeChar">
    <w:name w:val="Podnožje Char"/>
    <w:basedOn w:val="Zadanifontodlomka"/>
    <w:link w:val="Podnoje"/>
    <w:uiPriority w:val="99"/>
    <w:rsid w:val="00FB021F"/>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FB021F"/>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B021F"/>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83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38BB-2786-40C5-9882-08727FE6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2900</Words>
  <Characters>16533</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Mirta Hukman</dc:creator>
  <cp:keywords/>
  <dc:description/>
  <cp:lastModifiedBy>Mirta Hukman</cp:lastModifiedBy>
  <cp:revision>34</cp:revision>
  <cp:lastPrinted>2022-09-14T15:03:00Z</cp:lastPrinted>
  <dcterms:created xsi:type="dcterms:W3CDTF">2022-09-12T06:46:00Z</dcterms:created>
  <dcterms:modified xsi:type="dcterms:W3CDTF">2022-09-15T07:18:00Z</dcterms:modified>
</cp:coreProperties>
</file>