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A61" w:rsidRDefault="00233A61" w:rsidP="00233A61">
      <w:pPr>
        <w:spacing w:before="100" w:beforeAutospacing="1" w:after="100" w:afterAutospacing="1" w:line="240" w:lineRule="auto"/>
        <w:jc w:val="center"/>
        <w:divId w:val="2099523453"/>
        <w:rPr>
          <w:rFonts w:ascii="Times New Roman" w:hAnsi="Times New Roman" w:cs="Times New Roman"/>
          <w:b/>
          <w:bCs/>
          <w:sz w:val="24"/>
          <w:szCs w:val="24"/>
        </w:rPr>
      </w:pPr>
      <w:r w:rsidRPr="00233A61">
        <w:rPr>
          <w:rFonts w:ascii="Times New Roman" w:hAnsi="Times New Roman" w:cs="Times New Roman"/>
          <w:b/>
          <w:bCs/>
          <w:sz w:val="24"/>
          <w:szCs w:val="24"/>
        </w:rPr>
        <w:t>OBRAZLOŽENJE IZVRŠENJA FINANCIJSKOG PLANA HŽ INFRASTRUKTURE ZA PRVO POLUGODIŠTE 2022. GODINE</w:t>
      </w:r>
    </w:p>
    <w:p w:rsidR="00233A61" w:rsidRDefault="00233A61" w:rsidP="00233A61">
      <w:pPr>
        <w:spacing w:before="100" w:beforeAutospacing="1" w:after="100" w:afterAutospacing="1" w:line="240" w:lineRule="auto"/>
        <w:jc w:val="center"/>
        <w:divId w:val="2099523453"/>
        <w:rPr>
          <w:rFonts w:ascii="Times New Roman" w:hAnsi="Times New Roman" w:cs="Times New Roman"/>
          <w:b/>
          <w:bCs/>
          <w:sz w:val="24"/>
          <w:szCs w:val="24"/>
        </w:rPr>
      </w:pPr>
    </w:p>
    <w:p w:rsidR="00D97D1B" w:rsidRPr="004C5A79" w:rsidRDefault="00D97D1B" w:rsidP="00D97D1B">
      <w:pPr>
        <w:spacing w:before="100" w:beforeAutospacing="1"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b/>
          <w:bCs/>
          <w:sz w:val="24"/>
          <w:szCs w:val="24"/>
        </w:rPr>
        <w:t>RAČUN PRIHODA I RASHODA</w:t>
      </w:r>
    </w:p>
    <w:p w:rsidR="00D97D1B" w:rsidRPr="004C5A79" w:rsidRDefault="00D97D1B" w:rsidP="00D97D1B">
      <w:pPr>
        <w:spacing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U prvom polugodištu 2022. godine HŽ Infrastruktura ostvarila je ukupne prihode u iznosu od 954,91 milijun kuna ili 42,10% planiranih, odnosno ukupne rashode u iznosu od 1.070,88 milijuna kuna što je na razini od 34,30% planiranih sredstava. Ukupni manjak iznosi 115,97 milijuna kuna odnosno 13,50% plana za 2022. godinu</w:t>
      </w:r>
    </w:p>
    <w:p w:rsidR="00D97D1B" w:rsidRPr="004C5A79" w:rsidRDefault="00D97D1B" w:rsidP="00D97D1B">
      <w:pPr>
        <w:spacing w:before="100" w:beforeAutospacing="1"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U odnosu na isto razdoblje prethodne godine, ukupni prihodi su za 20,02% veći, odnosno  ukupni rashodi</w:t>
      </w:r>
      <w:r w:rsidR="00D36CFB">
        <w:rPr>
          <w:rFonts w:ascii="Times New Roman" w:hAnsi="Times New Roman" w:cs="Times New Roman"/>
          <w:sz w:val="24"/>
          <w:szCs w:val="24"/>
        </w:rPr>
        <w:t xml:space="preserve"> su veći</w:t>
      </w:r>
      <w:r w:rsidRPr="004C5A79">
        <w:rPr>
          <w:rFonts w:ascii="Times New Roman" w:hAnsi="Times New Roman" w:cs="Times New Roman"/>
          <w:sz w:val="24"/>
          <w:szCs w:val="24"/>
        </w:rPr>
        <w:t xml:space="preserve"> za 9,72% odnosno za 94,84 milijuna kuna.</w:t>
      </w:r>
    </w:p>
    <w:p w:rsidR="00D97D1B" w:rsidRPr="004C5A79" w:rsidRDefault="00D97D1B" w:rsidP="00D36CFB">
      <w:pPr>
        <w:spacing w:before="100" w:beforeAutospacing="1"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Najveći dio ostvarenih prihoda odnosi se na prihode iz državnog proračuna, a ostvareni ukupni rashodi su 51,76% rezultat redovnih odnosno 48,24% investicijskih aktivnosti.</w:t>
      </w:r>
    </w:p>
    <w:p w:rsidR="00D97D1B" w:rsidRDefault="00D97D1B">
      <w:pPr>
        <w:pStyle w:val="Naslov2"/>
        <w:divId w:val="2099523453"/>
        <w:rPr>
          <w:rFonts w:eastAsia="Times New Roman"/>
        </w:rPr>
      </w:pPr>
    </w:p>
    <w:p w:rsidR="00E362EC" w:rsidRPr="004C5A79" w:rsidRDefault="00D97D1B">
      <w:pPr>
        <w:pStyle w:val="Naslov2"/>
        <w:divId w:val="2099523453"/>
        <w:rPr>
          <w:rFonts w:eastAsia="Times New Roman"/>
        </w:rPr>
      </w:pPr>
      <w:r w:rsidRPr="004C5A79">
        <w:rPr>
          <w:rFonts w:eastAsia="Times New Roman"/>
        </w:rPr>
        <w:t>PRIHODI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1622"/>
        <w:gridCol w:w="1302"/>
        <w:gridCol w:w="1622"/>
        <w:gridCol w:w="995"/>
        <w:gridCol w:w="995"/>
      </w:tblGrid>
      <w:tr w:rsidR="00E362EC" w:rsidRPr="004C5A79" w:rsidTr="004C5A79">
        <w:trPr>
          <w:divId w:val="2099523453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E362EC" w:rsidRPr="004C5A79" w:rsidTr="004C5A79">
        <w:trPr>
          <w:divId w:val="2099523453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E362EC" w:rsidRPr="004C5A79" w:rsidTr="004C5A79">
        <w:trPr>
          <w:divId w:val="2099523453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 w:rsidP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795.612.615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2.268.243.500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954.905.678,00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E362EC" w:rsidRPr="004C5A79" w:rsidTr="004C5A79">
        <w:trPr>
          <w:divId w:val="2099523453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E362E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E362E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E362E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E362E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E362E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62EC" w:rsidRPr="004C5A79" w:rsidTr="004C5A79">
        <w:trPr>
          <w:divId w:val="2099523453"/>
        </w:trPr>
        <w:tc>
          <w:tcPr>
            <w:tcW w:w="1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 w:rsidP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795.612.615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2.268.243.500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954.905.678,00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42,1</w:t>
            </w:r>
          </w:p>
        </w:tc>
      </w:tr>
    </w:tbl>
    <w:p w:rsidR="00E362EC" w:rsidRPr="004C5A79" w:rsidRDefault="00E362EC">
      <w:pPr>
        <w:divId w:val="2099523453"/>
        <w:rPr>
          <w:rFonts w:ascii="Times New Roman" w:eastAsia="Times New Roman" w:hAnsi="Times New Roman" w:cs="Times New Roman"/>
          <w:sz w:val="24"/>
          <w:szCs w:val="24"/>
        </w:rPr>
      </w:pPr>
    </w:p>
    <w:p w:rsidR="00E362EC" w:rsidRPr="00D97D1B" w:rsidRDefault="00D97D1B" w:rsidP="004C5A79">
      <w:pPr>
        <w:spacing w:before="100" w:beforeAutospacing="1"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D97D1B">
        <w:rPr>
          <w:rFonts w:ascii="Times New Roman" w:hAnsi="Times New Roman" w:cs="Times New Roman"/>
          <w:bCs/>
          <w:sz w:val="24"/>
          <w:szCs w:val="24"/>
        </w:rPr>
        <w:t xml:space="preserve">PRIHODI POSLOVANJA </w:t>
      </w:r>
    </w:p>
    <w:p w:rsidR="00E362EC" w:rsidRPr="004C5A79" w:rsidRDefault="00D97D1B" w:rsidP="004C5A79">
      <w:pPr>
        <w:spacing w:before="100" w:beforeAutospacing="1"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 xml:space="preserve">Od ukupno ostvarenih prihoda, 90,90% odnosi se na prihode evidentirane u skupini Pomoći iz inozemstva i od subjekata unutar općeg proračuna (867,99 milijuna kuna) od čega se na poziciju Pomoći proračunu iz drugih proračuna </w:t>
      </w:r>
      <w:r w:rsidR="00D36CFB">
        <w:rPr>
          <w:rFonts w:ascii="Times New Roman" w:hAnsi="Times New Roman" w:cs="Times New Roman"/>
          <w:sz w:val="24"/>
          <w:szCs w:val="24"/>
        </w:rPr>
        <w:t xml:space="preserve">i izvanproračunskim korisnicima </w:t>
      </w:r>
      <w:r w:rsidRPr="004C5A79">
        <w:rPr>
          <w:rFonts w:ascii="Times New Roman" w:hAnsi="Times New Roman" w:cs="Times New Roman"/>
          <w:sz w:val="24"/>
          <w:szCs w:val="24"/>
        </w:rPr>
        <w:t>odnosi 79,81% odnosno 692,74 milijuna kuna. Predmetna sredstva najvećim dijelom odnose se na sredstva za upravljanje, organizaciju i regulaciju željezničkog prometa (242,53 milijun kuna) i naknada u cijeni goriva (352,89 milijuna kuna). Osim navedenog, predmetna grupa obuhvaća i potpore u provedbi CEF projekata i potpore za pripremu projekata planiranih za sufinanciranje iz EU fondova.</w:t>
      </w:r>
    </w:p>
    <w:p w:rsidR="00E362EC" w:rsidRPr="004C5A79" w:rsidRDefault="00D97D1B" w:rsidP="00D36CFB">
      <w:pPr>
        <w:spacing w:before="100" w:beforeAutospacing="1"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Pomoći unutar općeg proračuna temeljem protestiranih jamstava odnos</w:t>
      </w:r>
      <w:r w:rsidR="00D36CFB">
        <w:rPr>
          <w:rFonts w:ascii="Times New Roman" w:hAnsi="Times New Roman" w:cs="Times New Roman"/>
          <w:sz w:val="24"/>
          <w:szCs w:val="24"/>
        </w:rPr>
        <w:t>e</w:t>
      </w:r>
      <w:r w:rsidRPr="004C5A79">
        <w:rPr>
          <w:rFonts w:ascii="Times New Roman" w:hAnsi="Times New Roman" w:cs="Times New Roman"/>
          <w:sz w:val="24"/>
          <w:szCs w:val="24"/>
        </w:rPr>
        <w:t xml:space="preserve"> se na pomoći iz državnog proračuna za podmirenje obveza otplate investicijskih kredita namijenjenih za financiranje ulaganja u željezničku infrastrukturu, a za koje je izdano državno jamstvo. U prvom polugodištu 2022. godine iznose 38,92 milijuna kuna što čini 51,72% plana za 2022. godinu.</w:t>
      </w:r>
      <w:bookmarkStart w:id="0" w:name="_GoBack"/>
      <w:bookmarkEnd w:id="0"/>
    </w:p>
    <w:p w:rsidR="00E362EC" w:rsidRPr="004C5A79" w:rsidRDefault="00D97D1B" w:rsidP="004C5A79">
      <w:pPr>
        <w:spacing w:before="100" w:beforeAutospacing="1"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lastRenderedPageBreak/>
        <w:t>U prvom polugodištu 2022. godine pozicija Pomoći temeljem prijenosa EU sredstava iznosi 58,29 milijuna kuna, a odnose se na povlačenje sredstava za projekte iz OP Konkurentnost i kohezija, prioritetna os 7. Povezanost i mobilnost i to po projektima kako slijedi:</w:t>
      </w:r>
    </w:p>
    <w:p w:rsidR="00E362EC" w:rsidRPr="004C5A79" w:rsidRDefault="00D97D1B" w:rsidP="00BF29A3">
      <w:pPr>
        <w:pStyle w:val="Odlomakpopisa"/>
        <w:tabs>
          <w:tab w:val="right" w:leader="dot" w:pos="9070"/>
        </w:tabs>
        <w:ind w:left="142" w:hanging="142"/>
        <w:contextualSpacing/>
        <w:jc w:val="both"/>
        <w:divId w:val="2099523453"/>
      </w:pPr>
      <w:r w:rsidRPr="004C5A79">
        <w:t>-  Rekonstrukcija i elektrifika</w:t>
      </w:r>
      <w:r>
        <w:t xml:space="preserve">cija željezničke pruge Vinkovci </w:t>
      </w:r>
      <w:r w:rsidRPr="004C5A79">
        <w:t>–</w:t>
      </w:r>
      <w:r>
        <w:t xml:space="preserve"> </w:t>
      </w:r>
      <w:r w:rsidRPr="004C5A79">
        <w:t>Vukovar...31,27 milijuna kuna</w:t>
      </w:r>
    </w:p>
    <w:p w:rsidR="00E362EC" w:rsidRPr="004C5A79" w:rsidRDefault="00D97D1B" w:rsidP="00BF29A3">
      <w:pPr>
        <w:pStyle w:val="Odlomakpopisa"/>
        <w:tabs>
          <w:tab w:val="right" w:leader="dot" w:pos="9070"/>
        </w:tabs>
        <w:ind w:left="142" w:hanging="142"/>
        <w:contextualSpacing/>
        <w:jc w:val="both"/>
        <w:divId w:val="2099523453"/>
      </w:pPr>
      <w:r w:rsidRPr="004C5A79">
        <w:t>-  Modernizacija, obnova i elektrifikacija dionice Zaprešić – Zabok.......... 12,43 milijuna kuna</w:t>
      </w:r>
    </w:p>
    <w:p w:rsidR="00E362EC" w:rsidRPr="004C5A79" w:rsidRDefault="00D97D1B" w:rsidP="00BF29A3">
      <w:pPr>
        <w:pStyle w:val="Odlomakpopisa"/>
        <w:tabs>
          <w:tab w:val="right" w:leader="dot" w:pos="9070"/>
        </w:tabs>
        <w:ind w:left="142" w:hanging="142"/>
        <w:contextualSpacing/>
        <w:jc w:val="both"/>
        <w:divId w:val="2099523453"/>
      </w:pPr>
      <w:r w:rsidRPr="004C5A79">
        <w:t>-  Rekonstrukcija postojećeg i izgradnja drugog kolosijeka željezničke</w:t>
      </w:r>
    </w:p>
    <w:p w:rsidR="00E362EC" w:rsidRPr="004C5A79" w:rsidRDefault="00D97D1B" w:rsidP="00BF29A3">
      <w:pPr>
        <w:pStyle w:val="Odlomakpopisa"/>
        <w:tabs>
          <w:tab w:val="right" w:leader="dot" w:pos="9070"/>
        </w:tabs>
        <w:ind w:left="142"/>
        <w:contextualSpacing/>
        <w:jc w:val="both"/>
        <w:divId w:val="2099523453"/>
      </w:pPr>
      <w:r w:rsidRPr="004C5A79">
        <w:t>pruge na dionici pruge Dugo Selo-Križevci................................................ 9,19 milijuna kuna</w:t>
      </w:r>
    </w:p>
    <w:p w:rsidR="00E362EC" w:rsidRPr="004C5A79" w:rsidRDefault="00D97D1B" w:rsidP="00BF29A3">
      <w:pPr>
        <w:pStyle w:val="Odlomakpopisa"/>
        <w:tabs>
          <w:tab w:val="right" w:leader="dot" w:pos="9070"/>
        </w:tabs>
        <w:spacing w:before="120" w:beforeAutospacing="0" w:after="0" w:afterAutospacing="0"/>
        <w:ind w:left="142" w:hanging="142"/>
        <w:contextualSpacing/>
        <w:jc w:val="both"/>
        <w:divId w:val="2099523453"/>
      </w:pPr>
      <w:r w:rsidRPr="004C5A79">
        <w:t xml:space="preserve">-  Rekonstrukcija postojećeg i izgradnja drugog kolosijeka na </w:t>
      </w:r>
    </w:p>
    <w:p w:rsidR="00E362EC" w:rsidRPr="004C5A79" w:rsidRDefault="00D97D1B" w:rsidP="00BF29A3">
      <w:pPr>
        <w:pStyle w:val="Odlomakpopisa"/>
        <w:tabs>
          <w:tab w:val="right" w:leader="dot" w:pos="9070"/>
        </w:tabs>
        <w:spacing w:before="0" w:beforeAutospacing="0" w:after="0" w:afterAutospacing="0"/>
        <w:ind w:left="142"/>
        <w:contextualSpacing/>
        <w:jc w:val="both"/>
        <w:divId w:val="2099523453"/>
      </w:pPr>
      <w:r w:rsidRPr="004C5A79">
        <w:t xml:space="preserve">dionici Hrvatski Leskovac – Karlovac na željezničkoj pruzi </w:t>
      </w:r>
    </w:p>
    <w:p w:rsidR="00E362EC" w:rsidRPr="004C5A79" w:rsidRDefault="00D97D1B" w:rsidP="00BF29A3">
      <w:pPr>
        <w:pStyle w:val="Odlomakpopisa"/>
        <w:tabs>
          <w:tab w:val="right" w:leader="dot" w:pos="9070"/>
        </w:tabs>
        <w:ind w:left="142"/>
        <w:contextualSpacing/>
        <w:jc w:val="both"/>
        <w:divId w:val="2099523453"/>
      </w:pPr>
      <w:r w:rsidRPr="004C5A79">
        <w:t xml:space="preserve">M202 Zagreb Gk – Rijeka........................................................................... 1,70 milijuna kuna </w:t>
      </w:r>
    </w:p>
    <w:p w:rsidR="00E362EC" w:rsidRPr="004C5A79" w:rsidRDefault="00D97D1B" w:rsidP="00BF29A3">
      <w:pPr>
        <w:pStyle w:val="Odlomakpopisa"/>
        <w:tabs>
          <w:tab w:val="right" w:leader="dot" w:pos="9070"/>
        </w:tabs>
        <w:ind w:left="142" w:hanging="142"/>
        <w:contextualSpacing/>
        <w:jc w:val="both"/>
        <w:divId w:val="2099523453"/>
      </w:pPr>
      <w:r w:rsidRPr="004C5A79">
        <w:t>-  Studijska i projektna dokumentacija ......................................................... 3,70 milijuna kuna</w:t>
      </w:r>
    </w:p>
    <w:p w:rsidR="00E362EC" w:rsidRPr="004C5A79" w:rsidRDefault="00D97D1B" w:rsidP="00D97D1B">
      <w:pPr>
        <w:pStyle w:val="Odlomakpopisa"/>
        <w:tabs>
          <w:tab w:val="right" w:leader="dot" w:pos="9070"/>
        </w:tabs>
        <w:spacing w:after="0" w:afterAutospacing="0"/>
        <w:ind w:left="142"/>
        <w:contextualSpacing/>
        <w:jc w:val="both"/>
        <w:divId w:val="2099523453"/>
      </w:pPr>
      <w:r w:rsidRPr="004C5A79">
        <w:t> </w:t>
      </w:r>
    </w:p>
    <w:p w:rsidR="00E362EC" w:rsidRPr="004C5A79" w:rsidRDefault="00D97D1B" w:rsidP="00D97D1B">
      <w:pPr>
        <w:tabs>
          <w:tab w:val="left" w:pos="8505"/>
          <w:tab w:val="right" w:leader="dot" w:pos="8789"/>
        </w:tabs>
        <w:spacing w:before="100" w:beforeAutospacing="1" w:after="0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Pozicija Pomoći od međunarodnih organizacija, te institucija i tijela EU iznosi 78,04 milijuna kuna, te obuhvaća kapitalne pomoći za provedbu CEF projekata, a ostvareni iznos odnosi se na sljedeće projekte:</w:t>
      </w:r>
    </w:p>
    <w:p w:rsidR="00E362EC" w:rsidRPr="004C5A79" w:rsidRDefault="00D97D1B" w:rsidP="00D97D1B">
      <w:pPr>
        <w:pStyle w:val="Odlomakpopisa"/>
        <w:tabs>
          <w:tab w:val="right" w:leader="dot" w:pos="9070"/>
        </w:tabs>
        <w:ind w:left="142" w:hanging="142"/>
        <w:contextualSpacing/>
        <w:jc w:val="both"/>
        <w:divId w:val="2099523453"/>
      </w:pPr>
      <w:r w:rsidRPr="004C5A79">
        <w:t>-  Rekonstrukcija kolodvora Rijeka Brajdica............................................... 43,26 milijuna kuna</w:t>
      </w:r>
    </w:p>
    <w:p w:rsidR="00E362EC" w:rsidRPr="004C5A79" w:rsidRDefault="00D97D1B" w:rsidP="004C5A79">
      <w:pPr>
        <w:pStyle w:val="Odlomakpopisa"/>
        <w:tabs>
          <w:tab w:val="right" w:leader="dot" w:pos="9070"/>
        </w:tabs>
        <w:ind w:left="142" w:hanging="142"/>
        <w:contextualSpacing/>
        <w:jc w:val="both"/>
        <w:divId w:val="2099523453"/>
      </w:pPr>
      <w:r w:rsidRPr="004C5A79">
        <w:t>-  Rekonstrukcija postojećeg i izgradnja drugog kolosijeka na dionici</w:t>
      </w:r>
    </w:p>
    <w:p w:rsidR="00E362EC" w:rsidRPr="004C5A79" w:rsidRDefault="00D97D1B" w:rsidP="00D97D1B">
      <w:pPr>
        <w:pStyle w:val="Odlomakpopisa"/>
        <w:tabs>
          <w:tab w:val="right" w:leader="dot" w:pos="9070"/>
        </w:tabs>
        <w:ind w:left="142"/>
        <w:contextualSpacing/>
        <w:jc w:val="both"/>
        <w:divId w:val="2099523453"/>
      </w:pPr>
      <w:r w:rsidRPr="004C5A79">
        <w:t>Križevci-Koprivnica-DG...........................................................................</w:t>
      </w:r>
      <w:r>
        <w:t>.</w:t>
      </w:r>
      <w:r w:rsidRPr="004C5A79">
        <w:t>29,87 milijuna kuna</w:t>
      </w:r>
    </w:p>
    <w:p w:rsidR="00E362EC" w:rsidRPr="004C5A79" w:rsidRDefault="00D97D1B" w:rsidP="004C5A79">
      <w:pPr>
        <w:pStyle w:val="Odlomakpopisa"/>
        <w:tabs>
          <w:tab w:val="right" w:leader="dot" w:pos="9070"/>
        </w:tabs>
        <w:ind w:left="142" w:hanging="142"/>
        <w:contextualSpacing/>
        <w:jc w:val="both"/>
        <w:divId w:val="2099523453"/>
      </w:pPr>
      <w:r w:rsidRPr="004C5A79">
        <w:t>-  Izgradnja drugog kolosijeka, modernizacija i obnova na pružnoj</w:t>
      </w:r>
    </w:p>
    <w:p w:rsidR="00E362EC" w:rsidRPr="004C5A79" w:rsidRDefault="00D97D1B" w:rsidP="00D97D1B">
      <w:pPr>
        <w:pStyle w:val="Odlomakpopisa"/>
        <w:tabs>
          <w:tab w:val="right" w:leader="dot" w:pos="9070"/>
        </w:tabs>
        <w:ind w:left="142"/>
        <w:contextualSpacing/>
        <w:jc w:val="both"/>
        <w:divId w:val="2099523453"/>
      </w:pPr>
      <w:r w:rsidRPr="004C5A79">
        <w:t>dionici Škrljevo – Rijeka – Jurdani, pruge Zagreb Gk – Rijeka................. 1,07 milijuna kuna</w:t>
      </w:r>
    </w:p>
    <w:p w:rsidR="00E362EC" w:rsidRPr="004C5A79" w:rsidRDefault="00D97D1B" w:rsidP="004C5A79">
      <w:pPr>
        <w:pStyle w:val="Odlomakpopisa"/>
        <w:tabs>
          <w:tab w:val="right" w:leader="dot" w:pos="9070"/>
        </w:tabs>
        <w:ind w:left="142" w:hanging="142"/>
        <w:contextualSpacing/>
        <w:jc w:val="both"/>
        <w:divId w:val="2099523453"/>
      </w:pPr>
      <w:r w:rsidRPr="004C5A79">
        <w:t>-  Izrada projektne dokumentacije rekonstrukcije željezničke pruge</w:t>
      </w:r>
    </w:p>
    <w:p w:rsidR="00E362EC" w:rsidRPr="004C5A79" w:rsidRDefault="00D97D1B" w:rsidP="00D97D1B">
      <w:pPr>
        <w:pStyle w:val="Odlomakpopisa"/>
        <w:tabs>
          <w:tab w:val="right" w:leader="dot" w:pos="9070"/>
        </w:tabs>
        <w:ind w:left="142"/>
        <w:contextualSpacing/>
        <w:jc w:val="both"/>
        <w:divId w:val="2099523453"/>
      </w:pPr>
      <w:r w:rsidRPr="004C5A79">
        <w:t>M104 Novska - Tovarnik - Dg na dionici Okučani – Vinkovci.................. 3,84 milijuna kuna</w:t>
      </w:r>
    </w:p>
    <w:p w:rsidR="00E362EC" w:rsidRPr="004C5A79" w:rsidRDefault="00D97D1B" w:rsidP="004C5A79">
      <w:pPr>
        <w:tabs>
          <w:tab w:val="left" w:pos="8505"/>
          <w:tab w:val="right" w:leader="dot" w:pos="8789"/>
        </w:tabs>
        <w:spacing w:before="100" w:beforeAutospacing="1"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 xml:space="preserve"> U prvom polugodištu 2022. godine izvršenje skupine Pomoći iz inozemstva i od subjekata unutar općeg proračuna veće je za 22,84% od ostvarenja istog razdoblja prethodne godine. U odnosu na plan za 2022. godinu ostvareno je 43,17%. </w:t>
      </w:r>
    </w:p>
    <w:p w:rsidR="00E362EC" w:rsidRPr="004C5A79" w:rsidRDefault="00D97D1B" w:rsidP="004C5A79">
      <w:pPr>
        <w:tabs>
          <w:tab w:val="left" w:pos="8505"/>
          <w:tab w:val="right" w:leader="dot" w:pos="8789"/>
        </w:tabs>
        <w:spacing w:before="100" w:beforeAutospacing="1"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Prihodi od imovine iznose 11,20 milijuna kuna, a najvećim dijelom odnose na ostvarene prihode od zakupa i iznajmljivanja imovine (10,21 milijun kuna) i prihoda od zateznih kamata (0,28 milijuna kuna). U odnosu na isto razdoblje prethodne godine ukupni Prihodi od imovine manji su za 20,38% što je rezultat smanjenja prihoda od zakupa i iznajmljivanja imovine za 20,36% u odnosu na prethodnu godinu. Prihodi od imovine ostvareni su na razini od 39,32% plana za 2022. godinu.</w:t>
      </w:r>
    </w:p>
    <w:p w:rsidR="00E362EC" w:rsidRPr="004C5A79" w:rsidRDefault="00D97D1B" w:rsidP="004C5A79">
      <w:pPr>
        <w:spacing w:before="100" w:beforeAutospacing="1" w:after="100" w:afterAutospacing="1" w:line="240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Prihodi od prodaje proizvoda, robe i usluga iznose 75,71 milijun</w:t>
      </w:r>
      <w:r w:rsidR="00D36CFB">
        <w:rPr>
          <w:rFonts w:ascii="Times New Roman" w:hAnsi="Times New Roman" w:cs="Times New Roman"/>
          <w:sz w:val="24"/>
          <w:szCs w:val="24"/>
        </w:rPr>
        <w:t>a</w:t>
      </w:r>
      <w:r w:rsidRPr="004C5A79">
        <w:rPr>
          <w:rFonts w:ascii="Times New Roman" w:hAnsi="Times New Roman" w:cs="Times New Roman"/>
          <w:sz w:val="24"/>
          <w:szCs w:val="24"/>
        </w:rPr>
        <w:t xml:space="preserve"> kuna i u odnosu isto razdoblje prethodne godine veći su za 1,05% odnosno ostvareni su na razini od 33,06% plana za 2022. godinu. Najvećim dijelom ostvareni su od pružanja željezničkih usluga (72,66 milijuna kuna).</w:t>
      </w:r>
    </w:p>
    <w:p w:rsidR="00E362EC" w:rsidRDefault="00E362EC">
      <w:pPr>
        <w:divId w:val="2099523453"/>
        <w:rPr>
          <w:rFonts w:ascii="Times New Roman" w:eastAsia="Times New Roman" w:hAnsi="Times New Roman" w:cs="Times New Roman"/>
        </w:rPr>
      </w:pPr>
    </w:p>
    <w:p w:rsidR="00233A61" w:rsidRDefault="00233A61">
      <w:pPr>
        <w:divId w:val="2099523453"/>
        <w:rPr>
          <w:rFonts w:ascii="Times New Roman" w:eastAsia="Times New Roman" w:hAnsi="Times New Roman" w:cs="Times New Roman"/>
        </w:rPr>
      </w:pPr>
    </w:p>
    <w:p w:rsidR="00233A61" w:rsidRDefault="00233A61">
      <w:pPr>
        <w:divId w:val="2099523453"/>
        <w:rPr>
          <w:rFonts w:ascii="Times New Roman" w:eastAsia="Times New Roman" w:hAnsi="Times New Roman" w:cs="Times New Roman"/>
        </w:rPr>
      </w:pPr>
    </w:p>
    <w:p w:rsidR="00233A61" w:rsidRDefault="00233A61">
      <w:pPr>
        <w:divId w:val="2099523453"/>
        <w:rPr>
          <w:rFonts w:ascii="Times New Roman" w:eastAsia="Times New Roman" w:hAnsi="Times New Roman" w:cs="Times New Roman"/>
        </w:rPr>
      </w:pPr>
    </w:p>
    <w:p w:rsidR="00233A61" w:rsidRPr="004C5A79" w:rsidRDefault="00233A61">
      <w:pPr>
        <w:divId w:val="2099523453"/>
        <w:rPr>
          <w:rFonts w:ascii="Times New Roman" w:eastAsia="Times New Roman" w:hAnsi="Times New Roman" w:cs="Times New Roman"/>
        </w:rPr>
      </w:pPr>
    </w:p>
    <w:p w:rsidR="00E362EC" w:rsidRPr="004C5A79" w:rsidRDefault="00D97D1B">
      <w:pPr>
        <w:pStyle w:val="Naslov2"/>
        <w:divId w:val="2099523453"/>
        <w:rPr>
          <w:rFonts w:eastAsia="Times New Roman"/>
        </w:rPr>
      </w:pPr>
      <w:r w:rsidRPr="004C5A79">
        <w:rPr>
          <w:rFonts w:eastAsia="Times New Roman"/>
        </w:rPr>
        <w:lastRenderedPageBreak/>
        <w:t>RASHODI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1"/>
        <w:gridCol w:w="1612"/>
        <w:gridCol w:w="1317"/>
        <w:gridCol w:w="1612"/>
        <w:gridCol w:w="995"/>
        <w:gridCol w:w="995"/>
      </w:tblGrid>
      <w:tr w:rsidR="00E362EC" w:rsidRPr="004C5A79" w:rsidTr="00D97D1B">
        <w:trPr>
          <w:divId w:val="2099523453"/>
        </w:trPr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E362EC" w:rsidRPr="004C5A79" w:rsidTr="00D97D1B">
        <w:trPr>
          <w:divId w:val="2099523453"/>
        </w:trPr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E362EC" w:rsidRPr="004C5A79" w:rsidTr="00D97D1B">
        <w:trPr>
          <w:divId w:val="2099523453"/>
        </w:trPr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 w:rsidP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573.335.240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1.175.850.000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554.299.626,00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96,7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47,1</w:t>
            </w:r>
          </w:p>
        </w:tc>
      </w:tr>
      <w:tr w:rsidR="00E362EC" w:rsidRPr="004C5A79" w:rsidTr="00D97D1B">
        <w:trPr>
          <w:divId w:val="2099523453"/>
        </w:trPr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 w:rsidP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402.694.955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1.949.171.000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516.575.390,00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128,3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26,5</w:t>
            </w:r>
          </w:p>
        </w:tc>
      </w:tr>
      <w:tr w:rsidR="00E362EC" w:rsidRPr="004C5A79" w:rsidTr="00D97D1B">
        <w:trPr>
          <w:divId w:val="2099523453"/>
        </w:trPr>
        <w:tc>
          <w:tcPr>
            <w:tcW w:w="1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 w:rsidP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976.030.195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3.125.021.000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1.070.875.016,00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109,7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34,3</w:t>
            </w:r>
          </w:p>
        </w:tc>
      </w:tr>
    </w:tbl>
    <w:p w:rsidR="00E362EC" w:rsidRPr="004C5A79" w:rsidRDefault="00E362EC">
      <w:pPr>
        <w:divId w:val="2099523453"/>
        <w:rPr>
          <w:rFonts w:ascii="Times New Roman" w:eastAsia="Times New Roman" w:hAnsi="Times New Roman" w:cs="Times New Roman"/>
          <w:sz w:val="24"/>
          <w:szCs w:val="24"/>
        </w:rPr>
      </w:pPr>
    </w:p>
    <w:p w:rsidR="00E362EC" w:rsidRPr="004C5A79" w:rsidRDefault="00D97D1B" w:rsidP="004C5A79">
      <w:pPr>
        <w:spacing w:before="100" w:beforeAutospacing="1" w:after="100" w:afterAutospacing="1" w:line="276" w:lineRule="auto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 xml:space="preserve">RASHODI POSLOVANJA </w:t>
      </w:r>
    </w:p>
    <w:p w:rsidR="00E362EC" w:rsidRPr="004C5A79" w:rsidRDefault="00D97D1B" w:rsidP="004C5A79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Ukupni rashodi poslovanja u prvom polugodištu 2022. godine iznose 554,30 milijuna kuna što predstavlja izvršenje od 47,10% planiranih sredstava. U odnosu na isto razdoblje 2021. godine manji su za 3,32%.</w:t>
      </w:r>
    </w:p>
    <w:p w:rsidR="00E362EC" w:rsidRPr="004C5A79" w:rsidRDefault="00D97D1B" w:rsidP="004C5A79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 xml:space="preserve">Rashodi za zaposlene iznose 332,35 milijuna kuna što je na razini od 45,06% planiranih sredstava. U odnosu na isto razdoblje 2021. godine manji su za 2,70% odnosno za 9,23 milijuna kuna što je rezultat smanjenog ukupnog broja zaposlenika. </w:t>
      </w:r>
    </w:p>
    <w:p w:rsidR="00E362EC" w:rsidRPr="004C5A79" w:rsidRDefault="00D97D1B" w:rsidP="004C5A79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 xml:space="preserve">Materijalni rashodi iznose 199,03 milijuna kuna odnosno 49,20% plana za 2022. godinu. U strukturi materijalnih rashoda za promatrano razdoblje 80,00% odnosi se na rashode za materijal i energiju i rashode za usluge koji se najvećim dijelom odnose  na rashode vezane za redovno i izvanredno održavanje željezničke infrastrukture i održavanje zgrada i opreme. Ostali nespomenuti rashodi poslovanja izvršeni su u ukupnom iznosu od 27,01 milijun kuna od čega se na doprinose za korištenje gradskog zemljišta i vodoprivredne naknade odnosi 20,65 milijuna kuna. U odnosu na isto razdoblje 2021. godine ostvareni materijalni rashodi u prvom polugodištu 2022. godine manji su za 9,35% što je najvećim dijelom rezultat izostanka troškova materijala i sirovina u promatranom razdoblju budući da je proces nabavke materijala i sirovina u tijeku. </w:t>
      </w:r>
    </w:p>
    <w:p w:rsidR="00E362EC" w:rsidRPr="004C5A79" w:rsidRDefault="00D97D1B" w:rsidP="004C5A79">
      <w:pPr>
        <w:spacing w:before="100" w:before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U prvom polugodištu 2022. godine Financijski rashodi iznose od 16,26 milijuna kuna i na razini su od 55,13% planiranih sredstava. Najvećim dijelom (60,12%) odnose se na kamate po primljenim kreditima i zajmovima koji iznose 9,78 milijuna kuna od kojih se na rashode za kamate na primljene kredite i zajmove od kreditnih institucija u javnom sektoru (Hrvatska banka za obnovu i razvitak) odnosi 1,79 milijuna kuna odnosno izvan javnog sektora (komercijalne banke) 7,47 milijuna kuna, te na kamate po kreditima međunarodnih financijskih institucija 0,52 milijuna kuna.</w:t>
      </w:r>
    </w:p>
    <w:p w:rsidR="00E362EC" w:rsidRPr="004C5A79" w:rsidRDefault="00D97D1B" w:rsidP="004C5A79">
      <w:pPr>
        <w:spacing w:before="100" w:before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Predmetni rashodi, osim rashoda za kamate po kreditima međunarodnih financijskih institucija; vezani za su za investicijske kredite kojima su financirani projekti obnove, modernizacije i izgradnje željezničke infrastrukture, te se podmiruju iz državnog proračuna kroz poziciju pomoći temeljem protestiranih jamstava.  </w:t>
      </w:r>
    </w:p>
    <w:p w:rsidR="00E362EC" w:rsidRPr="004C5A79" w:rsidRDefault="00D97D1B" w:rsidP="00D97D1B">
      <w:pPr>
        <w:spacing w:before="100" w:beforeAutospacing="1" w:after="0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lastRenderedPageBreak/>
        <w:t>Financijski rashodi u odnosu na isto razdoblje prethodne godine veći su za 75,22%.</w:t>
      </w:r>
    </w:p>
    <w:p w:rsidR="00233A61" w:rsidRDefault="00233A61" w:rsidP="00D97D1B">
      <w:pPr>
        <w:jc w:val="both"/>
        <w:divId w:val="2099523453"/>
        <w:rPr>
          <w:rFonts w:ascii="Times New Roman" w:hAnsi="Times New Roman" w:cs="Times New Roman"/>
          <w:sz w:val="24"/>
          <w:szCs w:val="24"/>
        </w:rPr>
      </w:pPr>
    </w:p>
    <w:p w:rsidR="00E362EC" w:rsidRPr="004C5A79" w:rsidRDefault="00D97D1B" w:rsidP="00D97D1B">
      <w:pPr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RASHODI ZA NABAVU NEFINANCIJSKE IMOVINE</w:t>
      </w:r>
    </w:p>
    <w:p w:rsidR="00E362EC" w:rsidRPr="004C5A79" w:rsidRDefault="00D97D1B" w:rsidP="004C5A79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Ukupni rashodi za nabavu nefinancijske imovine u prvom polugodištu 2022. godine iznose 516,58 milijuna kuna odnosno 26,50% planiranih sredstava za 2022. godinu, od čega se na programe investicijskih aktivnosti odnosi 98,48% tj. 508,74 milijuna kuna.</w:t>
      </w:r>
    </w:p>
    <w:p w:rsidR="00E362EC" w:rsidRPr="004C5A79" w:rsidRDefault="00D97D1B" w:rsidP="004C5A79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Prema programima investicijskih aktivnosti izvršenje po programima je kako slijedi:</w:t>
      </w:r>
    </w:p>
    <w:p w:rsidR="00E362EC" w:rsidRPr="004C5A79" w:rsidRDefault="00D97D1B" w:rsidP="00D97D1B">
      <w:pPr>
        <w:pStyle w:val="Odlomakpopisa"/>
        <w:tabs>
          <w:tab w:val="right" w:leader="dot" w:pos="9070"/>
        </w:tabs>
        <w:spacing w:before="0" w:beforeAutospacing="0" w:after="60" w:afterAutospacing="0"/>
        <w:ind w:left="284" w:hanging="284"/>
        <w:contextualSpacing/>
        <w:jc w:val="both"/>
        <w:divId w:val="2099523453"/>
      </w:pPr>
      <w:r w:rsidRPr="004C5A79">
        <w:t>-       Program obnove i modernizacije pruga za međunarodni promet...... 183,16 milijuna kuna</w:t>
      </w:r>
    </w:p>
    <w:p w:rsidR="00E362EC" w:rsidRPr="004C5A79" w:rsidRDefault="00D97D1B" w:rsidP="00D97D1B">
      <w:pPr>
        <w:pStyle w:val="Odlomakpopisa"/>
        <w:tabs>
          <w:tab w:val="right" w:leader="dot" w:pos="9070"/>
        </w:tabs>
        <w:spacing w:before="0" w:beforeAutospacing="0" w:after="60" w:afterAutospacing="0"/>
        <w:ind w:left="284" w:hanging="284"/>
        <w:contextualSpacing/>
        <w:jc w:val="both"/>
        <w:divId w:val="2099523453"/>
      </w:pPr>
      <w:r w:rsidRPr="004C5A79">
        <w:t>-       Program obnove i modernizacije pruga za regionalni promet.....</w:t>
      </w:r>
      <w:r>
        <w:t>.</w:t>
      </w:r>
      <w:r w:rsidRPr="004C5A79">
        <w:t>....... 14,87 milijuna kuna</w:t>
      </w:r>
    </w:p>
    <w:p w:rsidR="00E362EC" w:rsidRPr="004C5A79" w:rsidRDefault="00D97D1B" w:rsidP="00D97D1B">
      <w:pPr>
        <w:pStyle w:val="Odlomakpopisa"/>
        <w:tabs>
          <w:tab w:val="right" w:leader="dot" w:pos="9070"/>
        </w:tabs>
        <w:spacing w:before="0" w:beforeAutospacing="0" w:after="60" w:afterAutospacing="0"/>
        <w:ind w:left="284" w:hanging="284"/>
        <w:contextualSpacing/>
        <w:jc w:val="both"/>
        <w:divId w:val="2099523453"/>
      </w:pPr>
      <w:r w:rsidRPr="004C5A79">
        <w:t>-       Program obnove i modernizacije željezničkog čvorišta Zagreb............ 6,25 milijuna kuna</w:t>
      </w:r>
    </w:p>
    <w:p w:rsidR="00E362EC" w:rsidRPr="004C5A79" w:rsidRDefault="00D97D1B" w:rsidP="00D97D1B">
      <w:pPr>
        <w:pStyle w:val="Odlomakpopisa"/>
        <w:tabs>
          <w:tab w:val="right" w:leader="dot" w:pos="9070"/>
        </w:tabs>
        <w:spacing w:before="0" w:beforeAutospacing="0" w:after="60" w:afterAutospacing="0"/>
        <w:ind w:left="284" w:hanging="284"/>
        <w:contextualSpacing/>
        <w:jc w:val="both"/>
        <w:divId w:val="2099523453"/>
      </w:pPr>
      <w:r w:rsidRPr="004C5A79">
        <w:t>-       Program aktivnosti u funkciji infrastrukture i prometa na mreži........ 33,27 milijuna kuna</w:t>
      </w:r>
    </w:p>
    <w:p w:rsidR="00E362EC" w:rsidRPr="004C5A79" w:rsidRDefault="00D97D1B" w:rsidP="00D97D1B">
      <w:pPr>
        <w:pStyle w:val="Odlomakpopisa"/>
        <w:tabs>
          <w:tab w:val="right" w:leader="dot" w:pos="9070"/>
        </w:tabs>
        <w:spacing w:before="0" w:beforeAutospacing="0" w:after="60" w:afterAutospacing="0"/>
        <w:ind w:left="284" w:hanging="284"/>
        <w:contextualSpacing/>
        <w:jc w:val="both"/>
        <w:divId w:val="2099523453"/>
      </w:pPr>
      <w:r w:rsidRPr="004C5A79">
        <w:t>-       Izgradnja novih pruga i kolosijeka............................................</w:t>
      </w:r>
      <w:r>
        <w:t>.</w:t>
      </w:r>
      <w:r w:rsidRPr="004C5A79">
        <w:t>....... 271,19 milijuna kuna</w:t>
      </w:r>
    </w:p>
    <w:p w:rsidR="00E362EC" w:rsidRPr="004C5A79" w:rsidRDefault="00D97D1B" w:rsidP="00D97D1B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Smanjenje planiranih rashoda vezanih za investicijski dio poslovanja HŽ Infrastrukture rezultat su promijenjene dinamike investicijskih aktivnosti uslijed otežane nabavke strateškog materijala, s jedne strane zbog rata na području Ukrajine, te s druge strane zbog značajnog povećanja cijene materijala i roba što je rezultiralo usporavanjem realizacije projekata.</w:t>
      </w:r>
    </w:p>
    <w:p w:rsidR="00E362EC" w:rsidRPr="004C5A79" w:rsidRDefault="00D97D1B" w:rsidP="004C5A79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Odstupanje od planiranih sredstava za nabavu nefinancijske imovine rezultat su promijenjene dinamike investicijskih aktivnosti uslijed otežane nabavke strateškog materijala, s jedne strane zbog rata na području Ukrajine, te s druge strane zbog značajnog povećanja cijene materijala i roba što je rezultiralo usporavanjem realizacije projekata. Posebno se to odnosi na projekt Rekonstrukcija postojećeg i izgradnja drugog kolosijeka na dionici Križevci - Koprivnica - DG, pruga DG - Botovo - Dugo Selo na kojem je nemogućnost planirane nabavke materijala uz  eskalaciju cijena strateškog materijala rezultiralo značajnim odstupanjem od planirane dinamike u prvoj polovici 2022. godine.</w:t>
      </w:r>
    </w:p>
    <w:p w:rsidR="00E362EC" w:rsidRPr="004C5A79" w:rsidRDefault="00D97D1B" w:rsidP="004C5A79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Osim navedenoga, na odstupanje od planirane realizacije velikom mjerom utjecali su i dugotrajni postupci javne nabave, kao i usporeno rješavanje imovinsko-pravnih odnosa</w:t>
      </w:r>
      <w:r w:rsidR="00D36CFB">
        <w:rPr>
          <w:rFonts w:ascii="Times New Roman" w:hAnsi="Times New Roman" w:cs="Times New Roman"/>
          <w:sz w:val="24"/>
          <w:szCs w:val="24"/>
        </w:rPr>
        <w:t>.</w:t>
      </w:r>
    </w:p>
    <w:p w:rsidR="00E362EC" w:rsidRPr="004C5A79" w:rsidRDefault="00D97D1B" w:rsidP="004C5A79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U odnosu na isto razdoblje 2021. godine, realizacija rashoda za nabavku nefinancijske imovine veća je za 28,28% odnosno za 113,88 milijuna kuna. </w:t>
      </w:r>
    </w:p>
    <w:p w:rsidR="00E362EC" w:rsidRPr="004C5A79" w:rsidRDefault="00E362EC">
      <w:pPr>
        <w:divId w:val="2099523453"/>
        <w:rPr>
          <w:rFonts w:ascii="Times New Roman" w:eastAsia="Times New Roman" w:hAnsi="Times New Roman" w:cs="Times New Roman"/>
        </w:rPr>
      </w:pPr>
    </w:p>
    <w:p w:rsidR="00233A61" w:rsidRDefault="00233A61">
      <w:pPr>
        <w:pStyle w:val="Naslov2"/>
        <w:divId w:val="2099523453"/>
        <w:rPr>
          <w:rFonts w:eastAsia="Times New Roman"/>
        </w:rPr>
      </w:pPr>
    </w:p>
    <w:p w:rsidR="00233A61" w:rsidRDefault="00233A61">
      <w:pPr>
        <w:pStyle w:val="Naslov2"/>
        <w:divId w:val="2099523453"/>
        <w:rPr>
          <w:rFonts w:eastAsia="Times New Roman"/>
        </w:rPr>
      </w:pPr>
    </w:p>
    <w:p w:rsidR="00233A61" w:rsidRDefault="00233A61">
      <w:pPr>
        <w:pStyle w:val="Naslov2"/>
        <w:divId w:val="2099523453"/>
        <w:rPr>
          <w:rFonts w:eastAsia="Times New Roman"/>
        </w:rPr>
      </w:pPr>
    </w:p>
    <w:p w:rsidR="00233A61" w:rsidRDefault="00233A61">
      <w:pPr>
        <w:pStyle w:val="Naslov2"/>
        <w:divId w:val="2099523453"/>
        <w:rPr>
          <w:rFonts w:eastAsia="Times New Roman"/>
        </w:rPr>
      </w:pPr>
    </w:p>
    <w:p w:rsidR="00233A61" w:rsidRDefault="00233A61">
      <w:pPr>
        <w:pStyle w:val="Naslov2"/>
        <w:divId w:val="2099523453"/>
        <w:rPr>
          <w:rFonts w:eastAsia="Times New Roman"/>
        </w:rPr>
      </w:pPr>
    </w:p>
    <w:p w:rsidR="00E362EC" w:rsidRPr="004C5A79" w:rsidRDefault="00D97D1B">
      <w:pPr>
        <w:pStyle w:val="Naslov2"/>
        <w:divId w:val="2099523453"/>
        <w:rPr>
          <w:rFonts w:eastAsia="Times New Roman"/>
        </w:rPr>
      </w:pPr>
      <w:r w:rsidRPr="004C5A79">
        <w:rPr>
          <w:rFonts w:eastAsia="Times New Roman"/>
        </w:rPr>
        <w:lastRenderedPageBreak/>
        <w:t>RAČUN FINANCIRANJA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7"/>
        <w:gridCol w:w="1612"/>
        <w:gridCol w:w="2108"/>
        <w:gridCol w:w="995"/>
      </w:tblGrid>
      <w:tr w:rsidR="00E362EC" w:rsidRPr="004C5A79" w:rsidTr="00D97D1B">
        <w:trPr>
          <w:divId w:val="2099523453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E362EC" w:rsidRPr="004C5A79" w:rsidTr="00D97D1B">
        <w:trPr>
          <w:divId w:val="2099523453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E362EC" w:rsidRPr="004C5A79" w:rsidTr="00D97D1B">
        <w:trPr>
          <w:divId w:val="2099523453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2.268.243.500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954.905.678,00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E362EC" w:rsidRPr="004C5A79" w:rsidTr="00D97D1B">
        <w:trPr>
          <w:divId w:val="2099523453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E362E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362EC" w:rsidRPr="004C5A79" w:rsidTr="00D97D1B">
        <w:trPr>
          <w:divId w:val="2099523453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2.268.243.500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954.905.678,00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E362EC" w:rsidRPr="004C5A79" w:rsidTr="00D97D1B">
        <w:trPr>
          <w:divId w:val="2099523453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1.175.850.000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554.299.626,00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47,1</w:t>
            </w:r>
          </w:p>
        </w:tc>
      </w:tr>
      <w:tr w:rsidR="00E362EC" w:rsidRPr="004C5A79" w:rsidTr="00D97D1B">
        <w:trPr>
          <w:divId w:val="2099523453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1.949.171.000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516.575.390,00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26,5</w:t>
            </w:r>
          </w:p>
        </w:tc>
      </w:tr>
      <w:tr w:rsidR="00E362EC" w:rsidRPr="004C5A79" w:rsidTr="00D97D1B">
        <w:trPr>
          <w:divId w:val="2099523453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3.125.021.000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1.070.875.016,00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34,3</w:t>
            </w:r>
          </w:p>
        </w:tc>
      </w:tr>
      <w:tr w:rsidR="00E362EC" w:rsidRPr="004C5A79" w:rsidTr="00D97D1B">
        <w:trPr>
          <w:divId w:val="2099523453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RAZLIKA - VIŠAK/MANJAK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-856.777.500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-115.969.338,00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13,5</w:t>
            </w:r>
          </w:p>
        </w:tc>
      </w:tr>
    </w:tbl>
    <w:p w:rsidR="00E362EC" w:rsidRPr="004C5A79" w:rsidRDefault="00E362EC">
      <w:pPr>
        <w:divId w:val="209952345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7"/>
        <w:gridCol w:w="1557"/>
        <w:gridCol w:w="2043"/>
        <w:gridCol w:w="995"/>
      </w:tblGrid>
      <w:tr w:rsidR="00E362EC" w:rsidRPr="004C5A79" w:rsidTr="004C5A79">
        <w:trPr>
          <w:divId w:val="209952345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E362EC" w:rsidRPr="004C5A79" w:rsidTr="004C5A79">
        <w:trPr>
          <w:divId w:val="209952345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E362EC" w:rsidRPr="004C5A79" w:rsidTr="004C5A79">
        <w:trPr>
          <w:divId w:val="209952345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PRIMICI OD FINANCIJSKE IMOVINE I ZADUŽIVANJA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950.000.000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275.094.960,00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E362EC" w:rsidRPr="004C5A79" w:rsidTr="004C5A79">
        <w:trPr>
          <w:divId w:val="209952345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IZDACI ZA FINANCIJSKU IMOVINU I OTPLATE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181.250.000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83.698.686,00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46,2</w:t>
            </w:r>
          </w:p>
        </w:tc>
      </w:tr>
      <w:tr w:rsidR="00E362EC" w:rsidRPr="004C5A79" w:rsidTr="004C5A79">
        <w:trPr>
          <w:divId w:val="209952345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IZ PRETHODNE GODINE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94.209.425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94.209.425,00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E362EC" w:rsidRPr="004C5A79" w:rsidTr="004C5A79">
        <w:trPr>
          <w:divId w:val="209952345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U SLJEDEĆE RAZDOBLJE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-6.181.925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-169.636.361,00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2744,1</w:t>
            </w:r>
          </w:p>
        </w:tc>
      </w:tr>
      <w:tr w:rsidR="00E362EC" w:rsidRPr="004C5A79" w:rsidTr="004C5A79">
        <w:trPr>
          <w:divId w:val="209952345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856.777.500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115.969.338,00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13,5</w:t>
            </w:r>
          </w:p>
        </w:tc>
      </w:tr>
      <w:tr w:rsidR="00E362EC" w:rsidRPr="004C5A79" w:rsidTr="004C5A79">
        <w:trPr>
          <w:divId w:val="2099523453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VIŠAK/MANJAK + 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D97D1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C5A79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362EC" w:rsidRPr="004C5A79" w:rsidRDefault="00E362E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E362EC" w:rsidRPr="004C5A79" w:rsidRDefault="00E362EC">
      <w:pPr>
        <w:divId w:val="2099523453"/>
        <w:rPr>
          <w:rFonts w:ascii="Times New Roman" w:eastAsia="Times New Roman" w:hAnsi="Times New Roman" w:cs="Times New Roman"/>
          <w:sz w:val="24"/>
          <w:szCs w:val="24"/>
        </w:rPr>
      </w:pPr>
    </w:p>
    <w:p w:rsidR="00E362EC" w:rsidRPr="004C5A79" w:rsidRDefault="00D97D1B" w:rsidP="00D36CFB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 xml:space="preserve">HŽ Infrastruktura je u prvom polugodištu 2022. godine ostvarila 275,09 milijuna kuna primitaka od zaduživanja, od čega 15,09 milijuna kuna iz IBRD i EBRD zajmova, 260,00 milijuna kuna iz investicijskih kredita Hrvatske banke za obnovu i </w:t>
      </w:r>
      <w:r w:rsidR="00D36CFB">
        <w:rPr>
          <w:rFonts w:ascii="Times New Roman" w:hAnsi="Times New Roman" w:cs="Times New Roman"/>
          <w:sz w:val="24"/>
          <w:szCs w:val="24"/>
        </w:rPr>
        <w:t>razvitak</w:t>
      </w:r>
      <w:r w:rsidRPr="004C5A79">
        <w:rPr>
          <w:rFonts w:ascii="Times New Roman" w:hAnsi="Times New Roman" w:cs="Times New Roman"/>
          <w:sz w:val="24"/>
          <w:szCs w:val="24"/>
        </w:rPr>
        <w:t>. S obzirom na plan, izvršeno je 29,00% planiranih primitaka od zaduženja.</w:t>
      </w:r>
    </w:p>
    <w:p w:rsidR="00E362EC" w:rsidRPr="004C5A79" w:rsidRDefault="00D97D1B" w:rsidP="004C5A79">
      <w:pPr>
        <w:spacing w:before="100" w:beforeAutospacing="1" w:after="100" w:afterAutospacing="1"/>
        <w:jc w:val="both"/>
        <w:divId w:val="2099523453"/>
        <w:rPr>
          <w:rFonts w:ascii="Times New Roman" w:hAnsi="Times New Roman" w:cs="Times New Roman"/>
          <w:sz w:val="24"/>
          <w:szCs w:val="24"/>
        </w:rPr>
      </w:pPr>
      <w:r w:rsidRPr="004C5A79">
        <w:rPr>
          <w:rFonts w:ascii="Times New Roman" w:hAnsi="Times New Roman" w:cs="Times New Roman"/>
          <w:sz w:val="24"/>
          <w:szCs w:val="24"/>
        </w:rPr>
        <w:t>Izdaci za otplatu glavnice primljenih kredita i zajmova iznose 83,70 milijuna kuna, od čega se 57,88 milijuna kuna odnose na otplatu glavnice IBRD i EBRD zajmova. Otplata glavnice po investicijskim kreditima izvan javnog sektora kojima su financirani projekti obnove, modernizacije i izgradnje željezničke infrastrukture iznosi 25,82 milijuna kuna i podmiruje se iz državnog proračuna kroz poziciju prihoda od pomoći temeljem protestiranih jamstava. Izdaci za otplatu glavnice primljenih kredita ostvareni su na razini od 46,20% planiranih sredstava.</w:t>
      </w:r>
    </w:p>
    <w:sectPr w:rsidR="00E362EC" w:rsidRPr="004C5A79" w:rsidSect="0063103B">
      <w:footerReference w:type="default" r:id="rId6"/>
      <w:pgSz w:w="11906" w:h="16838"/>
      <w:pgMar w:top="1417" w:right="1417" w:bottom="1417" w:left="1417" w:header="708" w:footer="708" w:gutter="0"/>
      <w:pgNumType w:start="7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A61" w:rsidRDefault="00233A61" w:rsidP="00233A61">
      <w:pPr>
        <w:spacing w:after="0" w:line="240" w:lineRule="auto"/>
      </w:pPr>
      <w:r>
        <w:separator/>
      </w:r>
    </w:p>
  </w:endnote>
  <w:endnote w:type="continuationSeparator" w:id="0">
    <w:p w:rsidR="00233A61" w:rsidRDefault="00233A61" w:rsidP="0023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5959851"/>
      <w:docPartObj>
        <w:docPartGallery w:val="Page Numbers (Bottom of Page)"/>
        <w:docPartUnique/>
      </w:docPartObj>
    </w:sdtPr>
    <w:sdtEndPr/>
    <w:sdtContent>
      <w:p w:rsidR="00233A61" w:rsidRDefault="00233A61">
        <w:pPr>
          <w:pStyle w:val="Podnoje"/>
          <w:jc w:val="center"/>
        </w:pPr>
        <w:r w:rsidRPr="006310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10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10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103B">
          <w:rPr>
            <w:rFonts w:ascii="Times New Roman" w:hAnsi="Times New Roman" w:cs="Times New Roman"/>
            <w:noProof/>
            <w:sz w:val="24"/>
            <w:szCs w:val="24"/>
          </w:rPr>
          <w:t>773</w:t>
        </w:r>
        <w:r w:rsidRPr="006310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33A61" w:rsidRDefault="00233A6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A61" w:rsidRDefault="00233A61" w:rsidP="00233A61">
      <w:pPr>
        <w:spacing w:after="0" w:line="240" w:lineRule="auto"/>
      </w:pPr>
      <w:r>
        <w:separator/>
      </w:r>
    </w:p>
  </w:footnote>
  <w:footnote w:type="continuationSeparator" w:id="0">
    <w:p w:rsidR="00233A61" w:rsidRDefault="00233A61" w:rsidP="00233A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4CEF"/>
    <w:rsid w:val="0010051D"/>
    <w:rsid w:val="00176D33"/>
    <w:rsid w:val="00181677"/>
    <w:rsid w:val="00233A61"/>
    <w:rsid w:val="003919AC"/>
    <w:rsid w:val="004C5A79"/>
    <w:rsid w:val="005568E0"/>
    <w:rsid w:val="0063103B"/>
    <w:rsid w:val="00BF29A3"/>
    <w:rsid w:val="00D36CFB"/>
    <w:rsid w:val="00D97D1B"/>
    <w:rsid w:val="00E362EC"/>
    <w:rsid w:val="00F4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99852-C826-4D7C-B749-13D79202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Odlomakpopisa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233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33A61"/>
  </w:style>
  <w:style w:type="paragraph" w:styleId="Podnoje">
    <w:name w:val="footer"/>
    <w:basedOn w:val="Normal"/>
    <w:link w:val="PodnojeChar"/>
    <w:uiPriority w:val="99"/>
    <w:unhideWhenUsed/>
    <w:rsid w:val="00233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33A61"/>
  </w:style>
  <w:style w:type="paragraph" w:styleId="Tekstbalonia">
    <w:name w:val="Balloon Text"/>
    <w:basedOn w:val="Normal"/>
    <w:link w:val="TekstbaloniaChar"/>
    <w:uiPriority w:val="99"/>
    <w:semiHidden/>
    <w:unhideWhenUsed/>
    <w:rsid w:val="00631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10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523453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1757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Mirta Hukman</cp:lastModifiedBy>
  <cp:revision>11</cp:revision>
  <cp:lastPrinted>2022-09-15T06:20:00Z</cp:lastPrinted>
  <dcterms:created xsi:type="dcterms:W3CDTF">2022-09-06T13:11:00Z</dcterms:created>
  <dcterms:modified xsi:type="dcterms:W3CDTF">2022-09-15T06:20:00Z</dcterms:modified>
</cp:coreProperties>
</file>