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40" w:rsidRDefault="006B2140" w:rsidP="006B2140">
      <w:pPr>
        <w:pStyle w:val="Naslov2"/>
        <w:jc w:val="center"/>
        <w:divId w:val="144443029"/>
        <w:rPr>
          <w:rFonts w:eastAsia="Times New Roman"/>
        </w:rPr>
      </w:pPr>
      <w:r w:rsidRPr="006B2140">
        <w:rPr>
          <w:rFonts w:eastAsia="Times New Roman"/>
        </w:rPr>
        <w:t>OBRAZLOŽENJE IZVRŠENJA FINANCIJSKOG PLANA HŽ PUTNIČKOG PRIJEVOZA ZA PRVO POLUGODIŠTE 2022. GODINE</w:t>
      </w:r>
    </w:p>
    <w:p w:rsidR="006B2140" w:rsidRDefault="006B2140" w:rsidP="006B2140">
      <w:pPr>
        <w:pStyle w:val="Naslov2"/>
        <w:jc w:val="center"/>
        <w:divId w:val="144443029"/>
        <w:rPr>
          <w:rFonts w:eastAsia="Times New Roman"/>
        </w:rPr>
      </w:pPr>
    </w:p>
    <w:p w:rsidR="004D31EB" w:rsidRPr="00336FDF" w:rsidRDefault="00CC08DC">
      <w:pPr>
        <w:pStyle w:val="Naslov2"/>
        <w:divId w:val="144443029"/>
        <w:rPr>
          <w:rFonts w:eastAsia="Times New Roman"/>
        </w:rPr>
      </w:pPr>
      <w:r w:rsidRPr="00336FDF">
        <w:rPr>
          <w:rFonts w:eastAsia="Times New Roman"/>
        </w:rPr>
        <w:t>PRIHODI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1630"/>
        <w:gridCol w:w="1244"/>
        <w:gridCol w:w="1630"/>
        <w:gridCol w:w="995"/>
        <w:gridCol w:w="995"/>
      </w:tblGrid>
      <w:tr w:rsidR="004D31EB" w:rsidRPr="00336FDF" w:rsidTr="005E2ED3">
        <w:trPr>
          <w:divId w:val="144443029"/>
        </w:trPr>
        <w:tc>
          <w:tcPr>
            <w:tcW w:w="1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4D31EB" w:rsidRPr="00336FDF" w:rsidTr="005E2ED3">
        <w:trPr>
          <w:divId w:val="144443029"/>
          <w:trHeight w:val="201"/>
        </w:trPr>
        <w:tc>
          <w:tcPr>
            <w:tcW w:w="1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4D31EB" w:rsidRPr="00336FDF" w:rsidTr="005E2ED3">
        <w:trPr>
          <w:divId w:val="144443029"/>
        </w:trPr>
        <w:tc>
          <w:tcPr>
            <w:tcW w:w="1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 w:rsidP="00336FD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320.755.098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878.424.699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480.122.408,00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149,7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54,7</w:t>
            </w:r>
          </w:p>
        </w:tc>
      </w:tr>
      <w:tr w:rsidR="004D31EB" w:rsidRPr="00336FDF" w:rsidTr="005E2ED3">
        <w:trPr>
          <w:divId w:val="144443029"/>
        </w:trPr>
        <w:tc>
          <w:tcPr>
            <w:tcW w:w="1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 w:rsidP="00336FD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680.000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600.000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52.703,00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8,8</w:t>
            </w:r>
          </w:p>
        </w:tc>
      </w:tr>
      <w:tr w:rsidR="004D31EB" w:rsidRPr="00336FDF" w:rsidTr="005E2ED3">
        <w:trPr>
          <w:divId w:val="144443029"/>
        </w:trPr>
        <w:tc>
          <w:tcPr>
            <w:tcW w:w="1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 w:rsidP="00336FD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321.435.098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879.024.699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480.175.111,00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149,4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54,6</w:t>
            </w:r>
          </w:p>
        </w:tc>
      </w:tr>
    </w:tbl>
    <w:p w:rsidR="004D31EB" w:rsidRPr="00336FDF" w:rsidRDefault="00CC08DC" w:rsidP="00336FDF">
      <w:pPr>
        <w:pStyle w:val="StandardWeb"/>
        <w:jc w:val="both"/>
        <w:divId w:val="144443029"/>
      </w:pPr>
      <w:r w:rsidRPr="00336FDF">
        <w:rPr>
          <w:bCs/>
          <w:color w:val="000000" w:themeColor="text1"/>
        </w:rPr>
        <w:t xml:space="preserve">Ukupni prihodi </w:t>
      </w:r>
      <w:r w:rsidRPr="00336FDF">
        <w:rPr>
          <w:color w:val="000000" w:themeColor="text1"/>
        </w:rPr>
        <w:t>za 2022. planirani su u iznosu od 879.024.699 kuna dok su u razdoblju I-VI 2022. ostvareni u iznosu od 480.175.111 kuna, što iznosi 54,6% plana. U odnosu na isto razdoblje 2021. veći su za 49,4%.</w:t>
      </w:r>
    </w:p>
    <w:p w:rsidR="004D31EB" w:rsidRPr="00336FDF" w:rsidRDefault="00CC08DC" w:rsidP="00336FDF">
      <w:pPr>
        <w:pStyle w:val="StandardWeb"/>
        <w:jc w:val="both"/>
        <w:divId w:val="144443029"/>
      </w:pPr>
      <w:r w:rsidRPr="00336FDF">
        <w:rPr>
          <w:color w:val="000000" w:themeColor="text1"/>
        </w:rPr>
        <w:t>Prihodi poslovanja u razdoblju I-VI 2022. iznose 480.122.408 kuna te čine 54,7% plana, a veći su za 49,7% u odnosu na isto razdoblje 2021. godine.</w:t>
      </w:r>
    </w:p>
    <w:p w:rsidR="004D31EB" w:rsidRPr="00336FDF" w:rsidRDefault="00CC08DC" w:rsidP="00336FDF">
      <w:pPr>
        <w:pStyle w:val="StandardWeb"/>
        <w:jc w:val="both"/>
        <w:divId w:val="144443029"/>
        <w:rPr>
          <w:color w:val="000000" w:themeColor="text1"/>
        </w:rPr>
      </w:pPr>
      <w:r w:rsidRPr="00336FDF">
        <w:rPr>
          <w:color w:val="000000" w:themeColor="text1"/>
        </w:rPr>
        <w:t xml:space="preserve">U ukupnim prihodima poslovanja HŽ Putničkog prijevoza najveći udio odnosi se na pomoći proračunu iz drugih proračuna, a ostvarenje I-VI 2022. iznosi 385.617.453 kune što je 70,7% plana. </w:t>
      </w:r>
    </w:p>
    <w:p w:rsidR="006B2140" w:rsidRDefault="00CC08DC" w:rsidP="009C6A25">
      <w:pPr>
        <w:pStyle w:val="StandardWeb"/>
        <w:jc w:val="both"/>
        <w:divId w:val="144443029"/>
        <w:rPr>
          <w:rFonts w:eastAsia="Times New Roman"/>
        </w:rPr>
      </w:pPr>
      <w:r w:rsidRPr="00336FDF">
        <w:rPr>
          <w:color w:val="000000" w:themeColor="text1"/>
        </w:rPr>
        <w:t xml:space="preserve">Ostale prihode čini prihod od financijske imovine u iznosu 669.185 kuna, prihod od nefinancijske imovine u iznosu 13.942.972 kune i prihod od prodaje proizvoda i robe te pruženih usluga u iznosu 78.560.351 kunu. </w:t>
      </w:r>
    </w:p>
    <w:p w:rsidR="006B2140" w:rsidRDefault="006B2140">
      <w:pPr>
        <w:pStyle w:val="Naslov2"/>
        <w:divId w:val="144443029"/>
        <w:rPr>
          <w:rFonts w:eastAsia="Times New Roman"/>
        </w:rPr>
      </w:pPr>
    </w:p>
    <w:p w:rsidR="004D31EB" w:rsidRPr="00336FDF" w:rsidRDefault="00CC08DC">
      <w:pPr>
        <w:pStyle w:val="Naslov2"/>
        <w:divId w:val="144443029"/>
        <w:rPr>
          <w:rFonts w:eastAsia="Times New Roman"/>
        </w:rPr>
      </w:pPr>
      <w:r w:rsidRPr="00336FDF">
        <w:rPr>
          <w:rFonts w:eastAsia="Times New Roman"/>
        </w:rPr>
        <w:t>RASHODI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1619"/>
        <w:gridCol w:w="1301"/>
        <w:gridCol w:w="1620"/>
        <w:gridCol w:w="995"/>
        <w:gridCol w:w="995"/>
      </w:tblGrid>
      <w:tr w:rsidR="004D31EB" w:rsidRPr="00336FDF" w:rsidTr="005E2ED3">
        <w:trPr>
          <w:divId w:val="144443029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4D31EB" w:rsidRPr="00336FDF" w:rsidTr="005E2ED3">
        <w:trPr>
          <w:divId w:val="144443029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4D31EB" w:rsidRPr="00336FDF" w:rsidTr="005E2ED3">
        <w:trPr>
          <w:divId w:val="144443029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 w:rsidP="001F4AF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287.107.196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688.146.038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307.226.673,00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107,0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4D31EB" w:rsidRPr="00336FDF" w:rsidTr="005E2ED3">
        <w:trPr>
          <w:divId w:val="144443029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 w:rsidP="001F4AF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26.366.849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417.874.140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182.144.106,00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690,8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4D31EB" w:rsidRPr="00336FDF" w:rsidTr="005E2ED3">
        <w:trPr>
          <w:divId w:val="144443029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 w:rsidP="001F4AF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313.474.045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bookmarkStart w:id="0" w:name="_GoBack"/>
            <w:bookmarkEnd w:id="0"/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.106.020.178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489.370.779,00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156,1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44,2</w:t>
            </w:r>
          </w:p>
        </w:tc>
      </w:tr>
    </w:tbl>
    <w:p w:rsidR="004D31EB" w:rsidRPr="00336FDF" w:rsidRDefault="00CC08DC" w:rsidP="001F4AFD">
      <w:pPr>
        <w:pStyle w:val="StandardWeb"/>
        <w:jc w:val="both"/>
        <w:divId w:val="144443029"/>
      </w:pPr>
      <w:r w:rsidRPr="00336FDF">
        <w:rPr>
          <w:color w:val="000000" w:themeColor="text1"/>
        </w:rPr>
        <w:lastRenderedPageBreak/>
        <w:t>Ukupni rashodi za 2022. planirani su u iznosu od 1.106.020.178 kuna dok su u razdoblju I-VI 2022. ostvareni u iznosu od 489.370.779 kuna, što iznosi 44,</w:t>
      </w:r>
      <w:r w:rsidR="001F4AFD">
        <w:rPr>
          <w:color w:val="000000" w:themeColor="text1"/>
        </w:rPr>
        <w:t>3</w:t>
      </w:r>
      <w:r w:rsidRPr="00336FDF">
        <w:rPr>
          <w:color w:val="000000" w:themeColor="text1"/>
        </w:rPr>
        <w:t>% plana. U odnosu na isto razdoblje 2021. veći su za 56,1%.</w:t>
      </w:r>
    </w:p>
    <w:p w:rsidR="004D31EB" w:rsidRPr="00336FDF" w:rsidRDefault="00CC08DC" w:rsidP="00336FDF">
      <w:pPr>
        <w:pStyle w:val="StandardWeb"/>
        <w:jc w:val="both"/>
        <w:divId w:val="144443029"/>
        <w:rPr>
          <w:color w:val="000000" w:themeColor="text1"/>
        </w:rPr>
      </w:pPr>
      <w:r w:rsidRPr="00336FDF">
        <w:rPr>
          <w:color w:val="000000" w:themeColor="text1"/>
        </w:rPr>
        <w:t>Rashodi poslovanja u razdoblju I-VI 2022. iznose 307.226.673 kune te čine 44,7% plana, a veći su za 7,0% u odnosu na isto razdoblje 2021. temeljem porasta cijena uslijed inflacije.</w:t>
      </w:r>
    </w:p>
    <w:p w:rsidR="004D31EB" w:rsidRPr="00336FDF" w:rsidRDefault="00CC08DC" w:rsidP="00336FDF">
      <w:pPr>
        <w:pStyle w:val="StandardWeb"/>
        <w:jc w:val="both"/>
        <w:divId w:val="144443029"/>
        <w:rPr>
          <w:color w:val="000000" w:themeColor="text1"/>
        </w:rPr>
      </w:pPr>
      <w:r w:rsidRPr="00336FDF">
        <w:rPr>
          <w:color w:val="000000" w:themeColor="text1"/>
        </w:rPr>
        <w:t>Rashodi za zaposlene u razdoblju I-VI 2022. godine iznose 117.665.627 kuna te čine 50,2% plana, a sastoje se od bruto plaća u iznosu od 91.137.209 kuna, doprinosa za mirovinsko i zdravstveno osiguranje u iznosu od 17.849.330 kuna te ostalih rashoda za zaposlene u iznosu od 8.679.088 kuna.</w:t>
      </w:r>
    </w:p>
    <w:p w:rsidR="004D31EB" w:rsidRPr="00336FDF" w:rsidRDefault="00CC08DC" w:rsidP="00336FDF">
      <w:pPr>
        <w:pStyle w:val="StandardWeb"/>
        <w:jc w:val="both"/>
        <w:divId w:val="144443029"/>
        <w:rPr>
          <w:color w:val="000000" w:themeColor="text1"/>
        </w:rPr>
      </w:pPr>
      <w:r w:rsidRPr="00336FDF">
        <w:rPr>
          <w:color w:val="000000" w:themeColor="text1"/>
        </w:rPr>
        <w:t>Materijalni rashodi u razdoblju I-VI</w:t>
      </w:r>
      <w:r w:rsidR="00941044">
        <w:rPr>
          <w:color w:val="000000" w:themeColor="text1"/>
        </w:rPr>
        <w:t xml:space="preserve"> 2022.</w:t>
      </w:r>
      <w:r w:rsidRPr="00336FDF">
        <w:rPr>
          <w:color w:val="000000" w:themeColor="text1"/>
        </w:rPr>
        <w:t xml:space="preserve"> iznose 178.079.398 kuna te čine 41,1% plana, a odnose se na naknade troškova zaposlenima u iznosu od 8.989.599 kuna, rashode za materijal i energiju u iznosu od 55.383.404 kune, rashode za usluge u iznosu od 111.767.546 kuna, naknade troškova osobama izvan radnog odnosa u iznosu od 130.122 kune i ostale nespomenute rashode poslovanja u iznosu od 1.808.727 kuna.</w:t>
      </w:r>
    </w:p>
    <w:p w:rsidR="004D31EB" w:rsidRPr="00336FDF" w:rsidRDefault="00CC08DC" w:rsidP="00336FDF">
      <w:pPr>
        <w:pStyle w:val="StandardWeb"/>
        <w:jc w:val="both"/>
        <w:divId w:val="144443029"/>
        <w:rPr>
          <w:color w:val="000000" w:themeColor="text1"/>
        </w:rPr>
      </w:pPr>
      <w:r w:rsidRPr="00336FDF">
        <w:rPr>
          <w:color w:val="000000" w:themeColor="text1"/>
        </w:rPr>
        <w:t>Ostvareni financijski rashodi za razdoblje I-VI</w:t>
      </w:r>
      <w:r w:rsidR="00941044">
        <w:rPr>
          <w:color w:val="000000" w:themeColor="text1"/>
        </w:rPr>
        <w:t xml:space="preserve"> 2022.</w:t>
      </w:r>
      <w:r w:rsidRPr="00336FDF">
        <w:rPr>
          <w:color w:val="000000" w:themeColor="text1"/>
        </w:rPr>
        <w:t xml:space="preserve"> iznose 4.834.265 kuna te čine 34,6% plana, a odnose se na kamate za primljene kredite i zajmove u iznosu od 3.435.068 kuna i ostale financijske rashode u iznosu od 1.399.197 kuna. </w:t>
      </w:r>
    </w:p>
    <w:p w:rsidR="004D31EB" w:rsidRPr="00336FDF" w:rsidRDefault="00CC08DC" w:rsidP="00336FDF">
      <w:pPr>
        <w:pStyle w:val="StandardWeb"/>
        <w:jc w:val="both"/>
        <w:divId w:val="144443029"/>
        <w:rPr>
          <w:color w:val="000000" w:themeColor="text1"/>
        </w:rPr>
      </w:pPr>
      <w:r w:rsidRPr="00336FDF">
        <w:rPr>
          <w:color w:val="000000" w:themeColor="text1"/>
        </w:rPr>
        <w:t>Ostali rashodi u razdoblju I-VI</w:t>
      </w:r>
      <w:r w:rsidR="00941044">
        <w:rPr>
          <w:color w:val="000000" w:themeColor="text1"/>
        </w:rPr>
        <w:t xml:space="preserve"> 2022.</w:t>
      </w:r>
      <w:r w:rsidRPr="00336FDF">
        <w:rPr>
          <w:color w:val="000000" w:themeColor="text1"/>
        </w:rPr>
        <w:t xml:space="preserve"> ostvareni su u iznosu 6.647.383 od čega se najveći dio odnosi na naknade šteta pravnim i fizičkim osobama.</w:t>
      </w:r>
    </w:p>
    <w:p w:rsidR="004D31EB" w:rsidRPr="00336FDF" w:rsidRDefault="00CC08DC" w:rsidP="00336FDF">
      <w:pPr>
        <w:pStyle w:val="StandardWeb"/>
        <w:spacing w:after="0" w:afterAutospacing="0"/>
        <w:jc w:val="both"/>
        <w:divId w:val="144443029"/>
        <w:rPr>
          <w:color w:val="000000" w:themeColor="text1"/>
        </w:rPr>
      </w:pPr>
      <w:r w:rsidRPr="00336FDF">
        <w:rPr>
          <w:color w:val="000000" w:themeColor="text1"/>
        </w:rPr>
        <w:t>Planirani rashodi za nabavu nefinancijske imovine iznose 417.874.140 kuna dok su u razdoblju I-VI</w:t>
      </w:r>
      <w:r w:rsidR="00941044">
        <w:rPr>
          <w:color w:val="000000" w:themeColor="text1"/>
        </w:rPr>
        <w:t xml:space="preserve"> 2022.</w:t>
      </w:r>
      <w:r w:rsidRPr="00336FDF">
        <w:rPr>
          <w:color w:val="000000" w:themeColor="text1"/>
        </w:rPr>
        <w:t xml:space="preserve"> ostvareni u iznosu 182.144.106 kuna što iznosi 43,6% plana, a čine ih:</w:t>
      </w:r>
    </w:p>
    <w:p w:rsidR="004D31EB" w:rsidRPr="00336FDF" w:rsidRDefault="00CC08DC" w:rsidP="001A21AF">
      <w:pPr>
        <w:pStyle w:val="Standard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  <w:r w:rsidRPr="00336FDF">
        <w:rPr>
          <w:color w:val="000000" w:themeColor="text1"/>
        </w:rPr>
        <w:t>rashodi za nabavu prijevoznih sredstava u željezničkom prometu u iznosu 162.861.503 kune koji se odnose na nabavu novih vlakova</w:t>
      </w:r>
    </w:p>
    <w:p w:rsidR="004D31EB" w:rsidRPr="00336FDF" w:rsidRDefault="00CC08DC" w:rsidP="001A21AF">
      <w:pPr>
        <w:pStyle w:val="Standard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  <w:r w:rsidRPr="00336FDF">
        <w:rPr>
          <w:color w:val="000000" w:themeColor="text1"/>
        </w:rPr>
        <w:t xml:space="preserve">rashodi za nabavu proizvedene dugotrajne imovine u iznosu 1.536.335 kuna koji se odnose na </w:t>
      </w:r>
      <w:bookmarkStart w:id="1" w:name="_Hlk22131282"/>
      <w:r w:rsidRPr="00336FDF">
        <w:rPr>
          <w:color w:val="000000" w:themeColor="text1"/>
        </w:rPr>
        <w:t xml:space="preserve">ulaganja u računalne programe </w:t>
      </w:r>
    </w:p>
    <w:bookmarkEnd w:id="1"/>
    <w:p w:rsidR="004D31EB" w:rsidRDefault="00CC08DC" w:rsidP="001A21AF">
      <w:pPr>
        <w:pStyle w:val="Standard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  <w:r w:rsidRPr="00336FDF">
        <w:rPr>
          <w:color w:val="000000" w:themeColor="text1"/>
        </w:rPr>
        <w:t>rashodi za dodatna ulaganja na nefinancijskoj imovini u iznosu 17.746.268 kuna koji se odnose na dodatna ulaganja  na građevinskim objektima u iznosu od 266.262 kune, dodatna ulaganja na prijevoznim sredstvima, odnosno ulaganja u postojeći vozni park, u iznosu od 17.361.366 kuna te dodatna ulaganja za ostalu nefinancijsku imovinu u iznosu od 118.640 kuna.</w:t>
      </w: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9C6A25" w:rsidRPr="00336FDF" w:rsidRDefault="009C6A25" w:rsidP="009C6A25">
      <w:pPr>
        <w:pStyle w:val="StandardWeb"/>
        <w:autoSpaceDE w:val="0"/>
        <w:autoSpaceDN w:val="0"/>
        <w:adjustRightInd w:val="0"/>
        <w:spacing w:before="0" w:beforeAutospacing="0" w:after="0" w:afterAutospacing="0"/>
        <w:contextualSpacing/>
        <w:jc w:val="both"/>
        <w:divId w:val="144443029"/>
        <w:rPr>
          <w:color w:val="000000" w:themeColor="text1"/>
        </w:rPr>
      </w:pPr>
    </w:p>
    <w:p w:rsidR="004D31EB" w:rsidRPr="00336FDF" w:rsidRDefault="004D31EB">
      <w:pPr>
        <w:divId w:val="144443029"/>
        <w:rPr>
          <w:rFonts w:ascii="Times New Roman" w:eastAsia="Times New Roman" w:hAnsi="Times New Roman" w:cs="Times New Roman"/>
        </w:rPr>
      </w:pPr>
    </w:p>
    <w:p w:rsidR="004D31EB" w:rsidRPr="00336FDF" w:rsidRDefault="00CC08DC">
      <w:pPr>
        <w:pStyle w:val="Naslov2"/>
        <w:divId w:val="144443029"/>
        <w:rPr>
          <w:rFonts w:eastAsia="Times New Roman"/>
        </w:rPr>
      </w:pPr>
      <w:r w:rsidRPr="00336FDF">
        <w:rPr>
          <w:rFonts w:eastAsia="Times New Roman"/>
        </w:rPr>
        <w:lastRenderedPageBreak/>
        <w:t>RAČUN FINANCIRANJA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9"/>
        <w:gridCol w:w="1609"/>
        <w:gridCol w:w="2109"/>
        <w:gridCol w:w="995"/>
      </w:tblGrid>
      <w:tr w:rsidR="004D31EB" w:rsidRPr="00336FDF" w:rsidTr="005E2ED3">
        <w:trPr>
          <w:divId w:val="144443029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878.424.699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480.122.408,00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54,7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600.000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52.703,00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8,8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879.024.699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480.175.111,00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54,6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688.146.038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307.226.673,00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417.874.140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182.144.106,00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1.106.020.178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489.370.779,00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44,2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RAZLIKA - VIŠAK/MANJAK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-226.995.479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-9.195.668,00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4,1</w:t>
            </w:r>
          </w:p>
        </w:tc>
      </w:tr>
    </w:tbl>
    <w:p w:rsidR="004D31EB" w:rsidRPr="00336FDF" w:rsidRDefault="004D31EB">
      <w:pPr>
        <w:divId w:val="14444302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7"/>
        <w:gridCol w:w="1557"/>
        <w:gridCol w:w="2043"/>
        <w:gridCol w:w="995"/>
      </w:tblGrid>
      <w:tr w:rsidR="004D31EB" w:rsidRPr="00336FDF" w:rsidTr="005E2ED3">
        <w:trPr>
          <w:divId w:val="144443029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PRIMICI OD FINANCIJSKE IMOVINE I ZADUŽIVANJA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207.305.019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137.418.076,00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66,3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IZDACI ZA FINANCIJSKU IMOVINU I OTPLATE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53.000.000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26.267.567,00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49,6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IZ PRETHODNE GODINE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72.690.460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72.690.460,00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U SLJEDEĆE RAZDOBLJE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-174.645.301,00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4D31E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D31EB" w:rsidRPr="00336FDF" w:rsidTr="005E2ED3">
        <w:trPr>
          <w:divId w:val="144443029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226.995.479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9.195.668,00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4,1</w:t>
            </w:r>
          </w:p>
        </w:tc>
      </w:tr>
      <w:tr w:rsidR="004D31EB" w:rsidRPr="00336FDF" w:rsidTr="005E2ED3">
        <w:trPr>
          <w:divId w:val="144443029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VIŠAK/MANJAK + 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CC08D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36FDF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1EB" w:rsidRPr="00336FDF" w:rsidRDefault="004D31E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4D31EB" w:rsidRPr="00336FDF" w:rsidRDefault="004D31EB">
      <w:pPr>
        <w:divId w:val="144443029"/>
        <w:rPr>
          <w:rFonts w:ascii="Times New Roman" w:eastAsia="Times New Roman" w:hAnsi="Times New Roman" w:cs="Times New Roman"/>
          <w:sz w:val="24"/>
          <w:szCs w:val="24"/>
        </w:rPr>
      </w:pPr>
    </w:p>
    <w:p w:rsidR="004D31EB" w:rsidRPr="00336FDF" w:rsidRDefault="00CC08DC" w:rsidP="00696123">
      <w:pPr>
        <w:pStyle w:val="StandardWeb"/>
        <w:shd w:val="clear" w:color="auto" w:fill="FFFFFF" w:themeFill="background1"/>
        <w:autoSpaceDE w:val="0"/>
        <w:autoSpaceDN w:val="0"/>
        <w:adjustRightInd w:val="0"/>
        <w:spacing w:after="0" w:afterAutospacing="0"/>
        <w:jc w:val="both"/>
        <w:divId w:val="144443029"/>
      </w:pPr>
      <w:r w:rsidRPr="00336FDF">
        <w:t>Prijenos depozita u sljedeć</w:t>
      </w:r>
      <w:r>
        <w:t>e</w:t>
      </w:r>
      <w:r w:rsidRPr="00336FDF">
        <w:t xml:space="preserve"> </w:t>
      </w:r>
      <w:r>
        <w:t>razdoblje</w:t>
      </w:r>
      <w:r w:rsidRPr="00336FDF">
        <w:t xml:space="preserve"> iznosi 174.645.301 kunu u čemu su najveća stavka sredstva temeljem ugovora o javnim uslugama koja su doznačena </w:t>
      </w:r>
      <w:r w:rsidR="00696123">
        <w:t xml:space="preserve">10. lipnja 2022. </w:t>
      </w:r>
      <w:r w:rsidRPr="00336FDF">
        <w:t>za treći kvartal 2022. godine u iznosu od 155.502.901 kune.</w:t>
      </w:r>
    </w:p>
    <w:p w:rsidR="004D31EB" w:rsidRPr="00336FDF" w:rsidRDefault="00CC08DC" w:rsidP="00336FDF">
      <w:pPr>
        <w:pStyle w:val="StandardWeb"/>
        <w:shd w:val="clear" w:color="auto" w:fill="FFFFFF" w:themeFill="background1"/>
        <w:autoSpaceDE w:val="0"/>
        <w:autoSpaceDN w:val="0"/>
        <w:adjustRightInd w:val="0"/>
        <w:spacing w:after="0" w:afterAutospacing="0"/>
        <w:jc w:val="both"/>
        <w:divId w:val="144443029"/>
      </w:pPr>
      <w:r w:rsidRPr="00336FDF">
        <w:t>Planirani izdaci za otplatu glavnice primljenih kredita i zajmova za 2022. godinu iznose 53.000.000 kuna, a ostvarenje I-VI 2022. iznosi 26.267.567 kuna što čini 49,6% plana.</w:t>
      </w:r>
    </w:p>
    <w:p w:rsidR="004D31EB" w:rsidRPr="00336FDF" w:rsidRDefault="00CC08DC" w:rsidP="00336FDF">
      <w:pPr>
        <w:pStyle w:val="StandardWeb"/>
        <w:jc w:val="both"/>
        <w:divId w:val="144443029"/>
      </w:pPr>
      <w:r w:rsidRPr="00336FDF">
        <w:t xml:space="preserve">Planirani primici od financijske imovine i zaduživanja za 2022. godinu iznose 207.305.019 kuna, a ostvarenje I-VI 2022. iznosi 137.418.076 kuna što čini 66,3% plana. </w:t>
      </w:r>
    </w:p>
    <w:p w:rsidR="004D31EB" w:rsidRPr="00336FDF" w:rsidRDefault="00CC08DC" w:rsidP="00336FDF">
      <w:pPr>
        <w:pStyle w:val="StandardWeb"/>
        <w:autoSpaceDE w:val="0"/>
        <w:autoSpaceDN w:val="0"/>
        <w:adjustRightInd w:val="0"/>
        <w:spacing w:after="0" w:afterAutospacing="0"/>
        <w:jc w:val="both"/>
        <w:divId w:val="144443029"/>
      </w:pPr>
      <w:r w:rsidRPr="00336FDF">
        <w:t xml:space="preserve">Planom HŽ Putničkog prijevoza za 2022. godinu projicirani su prihodi i rashodi poslovanja koji rezultiraju manjkom od 226.995.479 kuna dok su za razdoblje I-VI 2022. godine ostvareni prihodi i rashodi rezultirali manjkom od 9.195.668 kuna. </w:t>
      </w:r>
    </w:p>
    <w:sectPr w:rsidR="004D31EB" w:rsidRPr="00336FDF" w:rsidSect="00154FA2">
      <w:footerReference w:type="default" r:id="rId7"/>
      <w:pgSz w:w="11906" w:h="16838"/>
      <w:pgMar w:top="1417" w:right="1417" w:bottom="1417" w:left="1417" w:header="708" w:footer="708" w:gutter="0"/>
      <w:pgNumType w:start="7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A25" w:rsidRDefault="009C6A25" w:rsidP="009C6A25">
      <w:pPr>
        <w:spacing w:after="0" w:line="240" w:lineRule="auto"/>
      </w:pPr>
      <w:r>
        <w:separator/>
      </w:r>
    </w:p>
  </w:endnote>
  <w:endnote w:type="continuationSeparator" w:id="0">
    <w:p w:rsidR="009C6A25" w:rsidRDefault="009C6A25" w:rsidP="009C6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6898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C6A25" w:rsidRPr="00154FA2" w:rsidRDefault="009C6A25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54F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54FA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54F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4FA2">
          <w:rPr>
            <w:rFonts w:ascii="Times New Roman" w:hAnsi="Times New Roman" w:cs="Times New Roman"/>
            <w:noProof/>
            <w:sz w:val="24"/>
            <w:szCs w:val="24"/>
          </w:rPr>
          <w:t>796</w:t>
        </w:r>
        <w:r w:rsidRPr="00154FA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C6A25" w:rsidRDefault="009C6A2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A25" w:rsidRDefault="009C6A25" w:rsidP="009C6A25">
      <w:pPr>
        <w:spacing w:after="0" w:line="240" w:lineRule="auto"/>
      </w:pPr>
      <w:r>
        <w:separator/>
      </w:r>
    </w:p>
  </w:footnote>
  <w:footnote w:type="continuationSeparator" w:id="0">
    <w:p w:rsidR="009C6A25" w:rsidRDefault="009C6A25" w:rsidP="009C6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344CE"/>
    <w:multiLevelType w:val="hybridMultilevel"/>
    <w:tmpl w:val="CFC2BE8E"/>
    <w:lvl w:ilvl="0" w:tplc="7BA4AD36">
      <w:start w:val="1"/>
      <w:numFmt w:val="bullet"/>
      <w:lvlText w:val=""/>
      <w:lvlJc w:val="left"/>
      <w:pPr>
        <w:ind w:left="35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1" w15:restartNumberingAfterBreak="0">
    <w:nsid w:val="75CD1A3B"/>
    <w:multiLevelType w:val="hybridMultilevel"/>
    <w:tmpl w:val="A8C28E7A"/>
    <w:lvl w:ilvl="0" w:tplc="FA6CC0FA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3EB4"/>
    <w:rsid w:val="00145164"/>
    <w:rsid w:val="00154FA2"/>
    <w:rsid w:val="00170EE3"/>
    <w:rsid w:val="001A21AF"/>
    <w:rsid w:val="001F4AFD"/>
    <w:rsid w:val="00336FDF"/>
    <w:rsid w:val="00341750"/>
    <w:rsid w:val="00343CA0"/>
    <w:rsid w:val="003875A8"/>
    <w:rsid w:val="003C3EB4"/>
    <w:rsid w:val="004D31EB"/>
    <w:rsid w:val="005E2ED3"/>
    <w:rsid w:val="00696123"/>
    <w:rsid w:val="006B2140"/>
    <w:rsid w:val="0073796E"/>
    <w:rsid w:val="00941044"/>
    <w:rsid w:val="009C6A25"/>
    <w:rsid w:val="00CC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788A8-D309-4485-ABEB-F42A1AD6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Standard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9C6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6A25"/>
  </w:style>
  <w:style w:type="paragraph" w:styleId="Podnoje">
    <w:name w:val="footer"/>
    <w:basedOn w:val="Normal"/>
    <w:link w:val="PodnojeChar"/>
    <w:uiPriority w:val="99"/>
    <w:unhideWhenUsed/>
    <w:rsid w:val="009C6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6A25"/>
  </w:style>
  <w:style w:type="paragraph" w:styleId="Tekstbalonia">
    <w:name w:val="Balloon Text"/>
    <w:basedOn w:val="Normal"/>
    <w:link w:val="TekstbaloniaChar"/>
    <w:uiPriority w:val="99"/>
    <w:semiHidden/>
    <w:unhideWhenUsed/>
    <w:rsid w:val="00154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54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43029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Mirta Hukman</cp:lastModifiedBy>
  <cp:revision>22</cp:revision>
  <cp:lastPrinted>2022-09-15T06:36:00Z</cp:lastPrinted>
  <dcterms:created xsi:type="dcterms:W3CDTF">2022-09-06T12:39:00Z</dcterms:created>
  <dcterms:modified xsi:type="dcterms:W3CDTF">2022-09-15T06:36:00Z</dcterms:modified>
</cp:coreProperties>
</file>