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308" w:rsidRDefault="00806308" w:rsidP="00806308">
      <w:pPr>
        <w:pStyle w:val="Naslov2"/>
        <w:jc w:val="center"/>
        <w:divId w:val="337772649"/>
        <w:rPr>
          <w:rFonts w:eastAsia="Times New Roman"/>
        </w:rPr>
      </w:pPr>
      <w:r w:rsidRPr="00806308">
        <w:rPr>
          <w:rFonts w:eastAsia="Times New Roman"/>
        </w:rPr>
        <w:t>OBRAZLOŽENJE IZVRŠENJA FINANCIJSKOG PLANA HRVATSKE AGENCIJE ZA OSIGURANJE DEPOZITA ZA PRVO POLUGODIŠTE 2022. GODINE</w:t>
      </w:r>
    </w:p>
    <w:p w:rsidR="00806308" w:rsidRDefault="00806308" w:rsidP="00806308">
      <w:pPr>
        <w:pStyle w:val="Naslov2"/>
        <w:jc w:val="center"/>
        <w:divId w:val="337772649"/>
        <w:rPr>
          <w:rFonts w:eastAsia="Times New Roman"/>
        </w:rPr>
      </w:pPr>
    </w:p>
    <w:p w:rsidR="00E47649" w:rsidRPr="00687C4A" w:rsidRDefault="00F042B2" w:rsidP="005E4575">
      <w:pPr>
        <w:pStyle w:val="Naslov2"/>
        <w:divId w:val="337772649"/>
        <w:rPr>
          <w:rFonts w:eastAsia="Times New Roman"/>
        </w:rPr>
      </w:pPr>
      <w:r w:rsidRPr="00687C4A">
        <w:rPr>
          <w:rFonts w:eastAsia="Times New Roman"/>
        </w:rPr>
        <w:t>PRIHODI</w:t>
      </w:r>
    </w:p>
    <w:tbl>
      <w:tblPr>
        <w:tblW w:w="4835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5"/>
        <w:gridCol w:w="1624"/>
        <w:gridCol w:w="1250"/>
        <w:gridCol w:w="1624"/>
        <w:gridCol w:w="995"/>
        <w:gridCol w:w="995"/>
      </w:tblGrid>
      <w:tr w:rsidR="00E47649" w:rsidRPr="00687C4A" w:rsidTr="00F85BF5">
        <w:trPr>
          <w:divId w:val="337772649"/>
          <w:trHeight w:val="756"/>
        </w:trPr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47649" w:rsidRPr="00687C4A" w:rsidTr="00F85BF5">
        <w:trPr>
          <w:divId w:val="337772649"/>
          <w:trHeight w:val="355"/>
        </w:trPr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E47649" w:rsidRPr="00687C4A" w:rsidTr="00F85BF5">
        <w:trPr>
          <w:divId w:val="337772649"/>
          <w:trHeight w:val="367"/>
        </w:trPr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3738C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221.267.982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258.207.712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260.485.608,87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</w:tr>
      <w:tr w:rsidR="00E47649" w:rsidRPr="00687C4A" w:rsidTr="00F85BF5">
        <w:trPr>
          <w:divId w:val="337772649"/>
          <w:trHeight w:val="550"/>
        </w:trPr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649" w:rsidRPr="00687C4A" w:rsidTr="00F85BF5">
        <w:trPr>
          <w:divId w:val="337772649"/>
          <w:trHeight w:val="367"/>
        </w:trPr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3738C1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221.267.982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258.207.712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260.485.608,87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</w:tr>
    </w:tbl>
    <w:p w:rsidR="00E47649" w:rsidRPr="00AC7B93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C7B93">
        <w:rPr>
          <w:rStyle w:val="Jakoisticanje"/>
          <w:rFonts w:ascii="Times New Roman" w:hAnsi="Times New Roman" w:cs="Times New Roman"/>
          <w:sz w:val="24"/>
          <w:szCs w:val="24"/>
        </w:rPr>
        <w:t xml:space="preserve">Ukupni prihodi Agencije u prvom polugodištu 2022. g. iznose 260.485.608,87 kn, a što je 17,72% više u odnosu na isto razdoblje prethodne godine. Glavni razlozi povećanja u odnosu na prethodno izvještajno razdoblje odnose se na porast prihoda od premija za osigurane depozite i porast prihoda od naplate u stečajnim postupcima banaka. </w:t>
      </w:r>
    </w:p>
    <w:p w:rsidR="00E47649" w:rsidRPr="00AC7B93" w:rsidRDefault="00F110D6" w:rsidP="00F110D6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F110D6">
        <w:rPr>
          <w:rFonts w:ascii="Times New Roman" w:hAnsi="Times New Roman" w:cs="Times New Roman"/>
          <w:sz w:val="24"/>
          <w:szCs w:val="24"/>
        </w:rPr>
        <w:t>Porast prihoda od premija za osigurane depozite posljedica je pada raspoloživih sredstava u Fondu osiguranja depozita u odnosu na ciljanu razinu uslijed porasta ukupnih osiguranih depozita, a koji su osnovica za izračun ciljane razine. Naime, u prethodnom razdoblju Fond je dosegao ciljanu razinu 1+1,5% te je Agencija, sukladno Zakonu o sustavu osiguranja depozita koji je stupio na snagu 01.01.2021., prestala obračunavati i prikupljati premija, što znači da Agencija u 2021. godini nije ostvarila prihod od premija za osigurane depozite.</w:t>
      </w:r>
    </w:p>
    <w:p w:rsidR="00E47649" w:rsidRPr="00AC7B93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C7B93">
        <w:rPr>
          <w:rStyle w:val="Jakoisticanje"/>
          <w:rFonts w:ascii="Times New Roman" w:hAnsi="Times New Roman" w:cs="Times New Roman"/>
          <w:sz w:val="24"/>
          <w:szCs w:val="24"/>
        </w:rPr>
        <w:t xml:space="preserve">Što se tiče naplate u stečajnim postupcima banaka, radi se o stavkama čija realizacija ovisi o eksternim faktorima (vođenju stečajnih postupaka koji nisu u nadležnosti Agencije) te o prihodima čija naplata nije linearna i kontinuirana, te su moguća značajna odstupanja realizacije u odnosu na plan u različitim izvještajnim razdobljima.  </w:t>
      </w:r>
    </w:p>
    <w:p w:rsidR="00E47649" w:rsidRPr="00AC7B93" w:rsidRDefault="00F042B2" w:rsidP="00DE3A1B">
      <w:pPr>
        <w:spacing w:before="100" w:beforeAutospacing="1" w:after="0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C7B93">
        <w:rPr>
          <w:rStyle w:val="Jakoisticanje"/>
          <w:rFonts w:ascii="Times New Roman" w:hAnsi="Times New Roman" w:cs="Times New Roman"/>
          <w:sz w:val="24"/>
          <w:szCs w:val="24"/>
        </w:rPr>
        <w:t>U prvom polugodištu 2022. g. iskazani iznos u kategoriji ukupnih prihoda sastoji se od:</w:t>
      </w:r>
    </w:p>
    <w:p w:rsidR="008F508B" w:rsidRPr="00AC7B93" w:rsidRDefault="00F042B2" w:rsidP="00DE3A1B">
      <w:pPr>
        <w:pStyle w:val="Bezproreda"/>
        <w:numPr>
          <w:ilvl w:val="0"/>
          <w:numId w:val="2"/>
        </w:numPr>
        <w:spacing w:before="0" w:beforeAutospacing="0"/>
        <w:ind w:left="725" w:right="5"/>
        <w:jc w:val="both"/>
        <w:divId w:val="337772649"/>
      </w:pPr>
      <w:r w:rsidRPr="00AC7B93">
        <w:rPr>
          <w:rStyle w:val="Jakoisticanje"/>
        </w:rPr>
        <w:t>Prihoda od financijske imovine (kamate po vrijednosnim papirima, kamate a vista)</w:t>
      </w:r>
      <w:r w:rsidR="008F508B" w:rsidRPr="00AC7B93">
        <w:rPr>
          <w:rStyle w:val="Jakoisticanje"/>
        </w:rPr>
        <w:t xml:space="preserve"> </w:t>
      </w:r>
      <w:r w:rsidRPr="00AC7B93">
        <w:rPr>
          <w:rStyle w:val="Jakoisticanje"/>
        </w:rPr>
        <w:t xml:space="preserve">u iznosu 2.677.980,47 kn </w:t>
      </w:r>
    </w:p>
    <w:p w:rsidR="008F508B" w:rsidRPr="00AC7B93" w:rsidRDefault="00F042B2" w:rsidP="00DE3A1B">
      <w:pPr>
        <w:pStyle w:val="Bezproreda"/>
        <w:numPr>
          <w:ilvl w:val="0"/>
          <w:numId w:val="2"/>
        </w:numPr>
        <w:ind w:left="730" w:right="5"/>
        <w:jc w:val="both"/>
        <w:divId w:val="337772649"/>
      </w:pPr>
      <w:r w:rsidRPr="00AC7B93">
        <w:rPr>
          <w:rStyle w:val="Jakoisticanje"/>
        </w:rPr>
        <w:t>Prihodi od naplate potraživanja iz stečajnih masa banaka u iznosu 16.686.519,73 kn</w:t>
      </w:r>
    </w:p>
    <w:p w:rsidR="008F508B" w:rsidRPr="00AC7B93" w:rsidRDefault="00F042B2" w:rsidP="00DE3A1B">
      <w:pPr>
        <w:pStyle w:val="Bezproreda"/>
        <w:numPr>
          <w:ilvl w:val="0"/>
          <w:numId w:val="2"/>
        </w:numPr>
        <w:ind w:left="735" w:right="5"/>
        <w:jc w:val="both"/>
        <w:divId w:val="337772649"/>
      </w:pPr>
      <w:r w:rsidRPr="00AC7B93">
        <w:rPr>
          <w:rStyle w:val="Jakoisticanje"/>
        </w:rPr>
        <w:t>Prihodi od premija za osigurane depozite u iznosu 155.933.191,90 kn</w:t>
      </w:r>
    </w:p>
    <w:p w:rsidR="008F508B" w:rsidRPr="00AC7B93" w:rsidRDefault="00F042B2" w:rsidP="00DE3A1B">
      <w:pPr>
        <w:pStyle w:val="Bezproreda"/>
        <w:numPr>
          <w:ilvl w:val="0"/>
          <w:numId w:val="2"/>
        </w:numPr>
        <w:ind w:left="740" w:right="5"/>
        <w:jc w:val="both"/>
        <w:divId w:val="337772649"/>
      </w:pPr>
      <w:r w:rsidRPr="00AC7B93">
        <w:rPr>
          <w:rStyle w:val="Jakoisticanje"/>
        </w:rPr>
        <w:t>Prihodi od sanacijskog doprinosa u iznosu 85.070.168,09 kn</w:t>
      </w:r>
    </w:p>
    <w:p w:rsidR="00E47649" w:rsidRPr="00AC7B93" w:rsidRDefault="00F042B2" w:rsidP="00DE3A1B">
      <w:pPr>
        <w:pStyle w:val="Bezproreda"/>
        <w:numPr>
          <w:ilvl w:val="0"/>
          <w:numId w:val="2"/>
        </w:numPr>
        <w:ind w:left="745" w:right="5"/>
        <w:jc w:val="both"/>
        <w:divId w:val="337772649"/>
      </w:pPr>
      <w:r w:rsidRPr="00AC7B93">
        <w:rPr>
          <w:rStyle w:val="Jakoisticanje"/>
        </w:rPr>
        <w:t>Prihodi od mandatnih poslova u iznosu od 117.748,68 kn</w:t>
      </w:r>
    </w:p>
    <w:p w:rsidR="00E47649" w:rsidRPr="00AC7B93" w:rsidRDefault="00F042B2" w:rsidP="00DE3A1B">
      <w:pPr>
        <w:pStyle w:val="Bezproreda"/>
        <w:jc w:val="both"/>
        <w:divId w:val="337772649"/>
      </w:pPr>
      <w:r w:rsidRPr="00AC7B93">
        <w:t xml:space="preserve">U prvom polugodištu 2022. godine prihodi od sanacijskog doprinosa iskazani su na poziciji 6526 (Ostali nespomenuti prihodi po posebnim propisima), što je razlog odstupanja u odnosu na prethodno razdoblje kada su se ti prihodi iskazali na poziciji 6419 (Ostali prihodi od financijske imovine). U prvom kvartalu 2022. godine prihod od sanacijskog doprinosa bilježi pad zbog izmjene Zakona o sanaciji kreditnih institucija i investicijskih društava, koje su stupile na snagu u veljači 2022. godine. </w:t>
      </w:r>
    </w:p>
    <w:p w:rsidR="00E47649" w:rsidRPr="00AC7B93" w:rsidRDefault="00F110D6" w:rsidP="00F110D6">
      <w:pPr>
        <w:pStyle w:val="Bezproreda"/>
        <w:jc w:val="both"/>
        <w:divId w:val="337772649"/>
      </w:pPr>
      <w:r w:rsidRPr="00F110D6">
        <w:rPr>
          <w:rStyle w:val="Jakoisticanje"/>
        </w:rPr>
        <w:lastRenderedPageBreak/>
        <w:t>Isto tako, u prvom polugodištu 2022. godine bilježi se porast prihoda od premija za osigurane depozite jer je Agencija u prvom kvartalu 2022. godine obračunala i naplatila premiju za osigurane depozite (u istom razdoblju prethodne godine Agencija nije ostvarila prihod od premija za osigurane depozite, što je prethodno pojašnjeno).</w:t>
      </w:r>
    </w:p>
    <w:p w:rsidR="00E47649" w:rsidRPr="00AC7B93" w:rsidRDefault="00F042B2" w:rsidP="005C7A86">
      <w:pPr>
        <w:pStyle w:val="Naslov2"/>
        <w:divId w:val="337772649"/>
        <w:rPr>
          <w:rFonts w:eastAsia="Times New Roman"/>
        </w:rPr>
      </w:pPr>
      <w:r w:rsidRPr="00AC7B93">
        <w:rPr>
          <w:rFonts w:eastAsia="Times New Roman"/>
        </w:rPr>
        <w:t>RASHODI</w:t>
      </w:r>
    </w:p>
    <w:tbl>
      <w:tblPr>
        <w:tblW w:w="4828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6"/>
        <w:gridCol w:w="1629"/>
        <w:gridCol w:w="1206"/>
        <w:gridCol w:w="1629"/>
        <w:gridCol w:w="995"/>
        <w:gridCol w:w="995"/>
      </w:tblGrid>
      <w:tr w:rsidR="00E47649" w:rsidRPr="00687C4A" w:rsidTr="00B269F2">
        <w:trPr>
          <w:divId w:val="337772649"/>
          <w:trHeight w:val="768"/>
        </w:trPr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47649" w:rsidRPr="00687C4A" w:rsidTr="00B269F2">
        <w:trPr>
          <w:divId w:val="337772649"/>
          <w:trHeight w:val="360"/>
        </w:trPr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E47649" w:rsidRPr="00687C4A" w:rsidTr="00B269F2">
        <w:trPr>
          <w:divId w:val="337772649"/>
          <w:trHeight w:val="373"/>
        </w:trPr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4.054.600,00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10.298.996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3.302.410,72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32,1</w:t>
            </w:r>
          </w:p>
        </w:tc>
      </w:tr>
      <w:tr w:rsidR="00E47649" w:rsidRPr="00687C4A" w:rsidTr="00B269F2">
        <w:trPr>
          <w:divId w:val="337772649"/>
          <w:trHeight w:val="559"/>
        </w:trPr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185.000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7649" w:rsidRPr="00687C4A" w:rsidTr="00B269F2">
        <w:trPr>
          <w:divId w:val="337772649"/>
          <w:trHeight w:val="373"/>
        </w:trPr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4.054.600,00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10.483.996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3.302.410,72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31,5</w:t>
            </w:r>
          </w:p>
        </w:tc>
      </w:tr>
    </w:tbl>
    <w:p w:rsidR="00E47649" w:rsidRPr="007D4ADC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7D4ADC">
        <w:rPr>
          <w:rFonts w:ascii="Times New Roman" w:hAnsi="Times New Roman" w:cs="Times New Roman"/>
          <w:sz w:val="24"/>
          <w:szCs w:val="24"/>
        </w:rPr>
        <w:t>Ukupni rashodi Agencije u prvom polugodištu 2022. g. iznose 3.302.410,72 kn, što je za 18,55% manje u odnosu isto razdoblje prethodne godine, što je nastavak trenda smanjenja rashoda i povećanja efikasnosti rada Agencije.</w:t>
      </w:r>
    </w:p>
    <w:p w:rsidR="00E47649" w:rsidRPr="007D4ADC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7D4ADC">
        <w:rPr>
          <w:rFonts w:ascii="Times New Roman" w:hAnsi="Times New Roman" w:cs="Times New Roman"/>
          <w:sz w:val="24"/>
          <w:szCs w:val="24"/>
        </w:rPr>
        <w:t>Ukupni rashodi odnose se na rashode poslovanja i rashode za nabavu nefinancijske imovine.</w:t>
      </w:r>
    </w:p>
    <w:p w:rsidR="00122939" w:rsidRPr="007D4ADC" w:rsidRDefault="00F042B2" w:rsidP="00DE3A1B">
      <w:pPr>
        <w:spacing w:before="100" w:beforeAutospacing="1" w:line="240" w:lineRule="auto"/>
        <w:ind w:right="5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7D4ADC">
        <w:rPr>
          <w:rFonts w:ascii="Times New Roman" w:hAnsi="Times New Roman" w:cs="Times New Roman"/>
          <w:sz w:val="24"/>
          <w:szCs w:val="24"/>
        </w:rPr>
        <w:t>Rashodi poslovanja proizlaze iz kontinuiranog djelovanja Agencije, a odnose se na:</w:t>
      </w:r>
    </w:p>
    <w:p w:rsidR="00C81916" w:rsidRDefault="00F042B2" w:rsidP="004F0BE6">
      <w:pPr>
        <w:pStyle w:val="Odlomakpopisa"/>
        <w:numPr>
          <w:ilvl w:val="0"/>
          <w:numId w:val="2"/>
        </w:numPr>
        <w:ind w:left="567" w:right="10" w:hanging="441"/>
        <w:jc w:val="both"/>
        <w:divId w:val="337772649"/>
      </w:pPr>
      <w:r w:rsidRPr="00C81916">
        <w:t>Rashod</w:t>
      </w:r>
      <w:r w:rsidR="004F0BE6">
        <w:t>e</w:t>
      </w:r>
      <w:r w:rsidRPr="00C81916">
        <w:t xml:space="preserve"> za zaposlene u iznosu od 1.950.471,22 kn (-7,76% u odnosu na prethodno razdoblje)</w:t>
      </w:r>
    </w:p>
    <w:p w:rsidR="00C81916" w:rsidRDefault="00F042B2" w:rsidP="004F0BE6">
      <w:pPr>
        <w:pStyle w:val="Odlomakpopisa"/>
        <w:numPr>
          <w:ilvl w:val="0"/>
          <w:numId w:val="2"/>
        </w:numPr>
        <w:ind w:left="567" w:right="10" w:hanging="441"/>
        <w:jc w:val="both"/>
        <w:divId w:val="337772649"/>
      </w:pPr>
      <w:r w:rsidRPr="007D4ADC">
        <w:t>Materijaln</w:t>
      </w:r>
      <w:r w:rsidR="004F0BE6">
        <w:t>e</w:t>
      </w:r>
      <w:r w:rsidRPr="007D4ADC">
        <w:t xml:space="preserve"> rashod</w:t>
      </w:r>
      <w:r w:rsidR="004F0BE6">
        <w:t>e</w:t>
      </w:r>
      <w:r w:rsidRPr="007D4ADC">
        <w:t xml:space="preserve"> u iznosu od 1.042.674,00 kn (-24,00% u odnosu na prethodno razdoblje) </w:t>
      </w:r>
    </w:p>
    <w:p w:rsidR="00C81916" w:rsidRDefault="00F042B2" w:rsidP="004F0BE6">
      <w:pPr>
        <w:pStyle w:val="Odlomakpopisa"/>
        <w:numPr>
          <w:ilvl w:val="0"/>
          <w:numId w:val="2"/>
        </w:numPr>
        <w:ind w:left="567" w:right="10" w:hanging="441"/>
        <w:jc w:val="both"/>
        <w:divId w:val="337772649"/>
      </w:pPr>
      <w:r w:rsidRPr="007D4ADC">
        <w:t>Financijsk</w:t>
      </w:r>
      <w:r w:rsidR="004F0BE6">
        <w:t>e</w:t>
      </w:r>
      <w:r w:rsidRPr="007D4ADC">
        <w:t xml:space="preserve"> rashod</w:t>
      </w:r>
      <w:r w:rsidR="004F0BE6">
        <w:t>e</w:t>
      </w:r>
      <w:r w:rsidRPr="007D4ADC">
        <w:t xml:space="preserve"> u iznosu od 82.588,38 kn (-77,53 u odnosu na prethodno razdoblje)</w:t>
      </w:r>
    </w:p>
    <w:p w:rsidR="00E47649" w:rsidRPr="007D4ADC" w:rsidRDefault="00F042B2" w:rsidP="004F0BE6">
      <w:pPr>
        <w:pStyle w:val="Odlomakpopisa"/>
        <w:numPr>
          <w:ilvl w:val="0"/>
          <w:numId w:val="2"/>
        </w:numPr>
        <w:ind w:left="567" w:right="10" w:hanging="441"/>
        <w:jc w:val="both"/>
        <w:divId w:val="337772649"/>
      </w:pPr>
      <w:r w:rsidRPr="007D4ADC">
        <w:t>Ostal</w:t>
      </w:r>
      <w:r w:rsidR="004F0BE6">
        <w:t>e</w:t>
      </w:r>
      <w:r w:rsidRPr="007D4ADC">
        <w:t xml:space="preserve"> rashod</w:t>
      </w:r>
      <w:r w:rsidR="004F0BE6">
        <w:t>e</w:t>
      </w:r>
      <w:r w:rsidRPr="007D4ADC">
        <w:t xml:space="preserve"> u iznosu 226.677,12 kn (+13,05% u odnosu na prethodno razdoblje)</w:t>
      </w:r>
    </w:p>
    <w:p w:rsidR="00E47649" w:rsidRPr="007D4ADC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7D4ADC">
        <w:rPr>
          <w:rFonts w:ascii="Times New Roman" w:hAnsi="Times New Roman" w:cs="Times New Roman"/>
          <w:sz w:val="24"/>
          <w:szCs w:val="24"/>
        </w:rPr>
        <w:t>Izvanredni/ostali rashodi odnose se na troškove proizašle iz pravomoćnih sudskih presuda. U usporedbi s prošlom godinom, ostali troškovi bilježe rast zbog izgubljenih sudskih sporova, odnosno pravomoćnih presuda na teret Agencije.</w:t>
      </w:r>
    </w:p>
    <w:p w:rsidR="0043699D" w:rsidRPr="007D4ADC" w:rsidRDefault="0043699D">
      <w:pPr>
        <w:divId w:val="337772649"/>
        <w:rPr>
          <w:rFonts w:ascii="Times New Roman" w:eastAsia="Times New Roman" w:hAnsi="Times New Roman" w:cs="Times New Roman"/>
          <w:sz w:val="24"/>
          <w:szCs w:val="24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806308" w:rsidRDefault="00806308" w:rsidP="00C442F2">
      <w:pPr>
        <w:pStyle w:val="Naslov2"/>
        <w:divId w:val="337772649"/>
        <w:rPr>
          <w:rFonts w:eastAsia="Times New Roman"/>
        </w:rPr>
      </w:pPr>
    </w:p>
    <w:p w:rsidR="00E47649" w:rsidRPr="00687C4A" w:rsidRDefault="00F042B2" w:rsidP="00C442F2">
      <w:pPr>
        <w:pStyle w:val="Naslov2"/>
        <w:divId w:val="337772649"/>
        <w:rPr>
          <w:rFonts w:eastAsia="Times New Roman"/>
        </w:rPr>
      </w:pPr>
      <w:r w:rsidRPr="007D4ADC">
        <w:rPr>
          <w:rFonts w:eastAsia="Times New Roman"/>
        </w:rPr>
        <w:lastRenderedPageBreak/>
        <w:t>RAČUN FINANCIRANJA</w:t>
      </w:r>
    </w:p>
    <w:tbl>
      <w:tblPr>
        <w:tblW w:w="4851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7"/>
        <w:gridCol w:w="1604"/>
        <w:gridCol w:w="2097"/>
        <w:gridCol w:w="1075"/>
      </w:tblGrid>
      <w:tr w:rsidR="00E47649" w:rsidRPr="00687C4A" w:rsidTr="00F042B2">
        <w:trPr>
          <w:divId w:val="337772649"/>
          <w:trHeight w:val="567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E47649" w:rsidRPr="00687C4A" w:rsidTr="00F042B2">
        <w:trPr>
          <w:divId w:val="337772649"/>
          <w:trHeight w:val="371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258.207.712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260.485.608,87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258.207.712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260.485.608,87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100,9</w:t>
            </w:r>
          </w:p>
        </w:tc>
      </w:tr>
      <w:tr w:rsidR="00E47649" w:rsidRPr="00687C4A" w:rsidTr="00F042B2">
        <w:trPr>
          <w:divId w:val="337772649"/>
          <w:trHeight w:val="371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10.298.996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3.302.410,72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32,1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185.000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47649" w:rsidRPr="00687C4A" w:rsidTr="00F042B2">
        <w:trPr>
          <w:divId w:val="337772649"/>
          <w:trHeight w:val="371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10.483.996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3.302.410,72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31,5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247.723.716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257.183.198,15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103,8</w:t>
            </w:r>
          </w:p>
        </w:tc>
      </w:tr>
    </w:tbl>
    <w:p w:rsidR="00E47649" w:rsidRPr="00687C4A" w:rsidRDefault="00E47649">
      <w:pPr>
        <w:divId w:val="33777264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2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1"/>
        <w:gridCol w:w="1559"/>
        <w:gridCol w:w="2037"/>
        <w:gridCol w:w="1049"/>
      </w:tblGrid>
      <w:tr w:rsidR="00E47649" w:rsidRPr="00687C4A" w:rsidTr="00F042B2">
        <w:trPr>
          <w:divId w:val="337772649"/>
          <w:trHeight w:val="548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47649" w:rsidRPr="00687C4A" w:rsidTr="00F042B2">
        <w:trPr>
          <w:divId w:val="337772649"/>
          <w:trHeight w:val="347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28.000.000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484.240.380,00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1729,4</w:t>
            </w:r>
          </w:p>
        </w:tc>
      </w:tr>
      <w:tr w:rsidR="00E47649" w:rsidRPr="00687C4A" w:rsidTr="00F042B2">
        <w:trPr>
          <w:divId w:val="337772649"/>
          <w:trHeight w:val="347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155.000.000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154.769.554,11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</w:tr>
      <w:tr w:rsidR="00E47649" w:rsidRPr="00687C4A" w:rsidTr="00F042B2">
        <w:trPr>
          <w:divId w:val="337772649"/>
          <w:trHeight w:val="347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462.714.711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462.714.711,17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-583.438.427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-1.049.368.735,21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179,9</w:t>
            </w:r>
          </w:p>
        </w:tc>
      </w:tr>
      <w:tr w:rsidR="00E47649" w:rsidRPr="00687C4A" w:rsidTr="00F042B2">
        <w:trPr>
          <w:divId w:val="337772649"/>
          <w:trHeight w:val="347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-247.723.716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-257.183.198,15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103,8</w:t>
            </w:r>
          </w:p>
        </w:tc>
      </w:tr>
      <w:tr w:rsidR="00E47649" w:rsidRPr="00687C4A" w:rsidTr="00F042B2">
        <w:trPr>
          <w:divId w:val="337772649"/>
          <w:trHeight w:val="359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F042B2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7C4A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47649" w:rsidRPr="00687C4A" w:rsidRDefault="00E4764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A54F16" w:rsidRPr="00A54F16" w:rsidRDefault="00F042B2" w:rsidP="00DE3A1B">
      <w:pPr>
        <w:spacing w:before="100" w:beforeAutospacing="1" w:after="0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54F16">
        <w:rPr>
          <w:rFonts w:ascii="Times New Roman" w:hAnsi="Times New Roman" w:cs="Times New Roman"/>
          <w:sz w:val="24"/>
          <w:szCs w:val="24"/>
        </w:rPr>
        <w:t xml:space="preserve">Sukladno EU Direktivi o sustavima osiguranja depozita kao i temeljem Zakona o sustavu osiguranja depozita, sredstva FOD-a (Fonda osiguranja depozita) koriste se isključivo za namjene utvrđene Zakonom o sustavu osiguranja depozita. </w:t>
      </w:r>
    </w:p>
    <w:p w:rsidR="00E47649" w:rsidRPr="00A54F16" w:rsidRDefault="00F042B2" w:rsidP="00DE3A1B">
      <w:pPr>
        <w:spacing w:before="100" w:beforeAutospacing="1" w:after="100" w:after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54F16">
        <w:rPr>
          <w:rFonts w:ascii="Times New Roman" w:hAnsi="Times New Roman" w:cs="Times New Roman"/>
          <w:sz w:val="24"/>
          <w:szCs w:val="24"/>
        </w:rPr>
        <w:t>Što se tiče raspoloživih sredstava prikupljenih u FOD</w:t>
      </w:r>
      <w:r w:rsidR="00F110D6">
        <w:rPr>
          <w:rFonts w:ascii="Times New Roman" w:hAnsi="Times New Roman" w:cs="Times New Roman"/>
          <w:sz w:val="24"/>
          <w:szCs w:val="24"/>
        </w:rPr>
        <w:t xml:space="preserve"> (Fond osiguranja depozita)</w:t>
      </w:r>
      <w:r w:rsidRPr="00A54F16">
        <w:rPr>
          <w:rFonts w:ascii="Times New Roman" w:hAnsi="Times New Roman" w:cs="Times New Roman"/>
          <w:sz w:val="24"/>
          <w:szCs w:val="24"/>
        </w:rPr>
        <w:t>, temeljem navedenog zakonskog okvira te investicijske politike Agencije, ulažu se isključivo u vrijednosne papire (trezorske zapise) Ministarstva financija i/ili obveznice RH. Razlog tome je što navedena sredstva moraju u svakom trenutku biti raspoloživa za isplatu osiguranih depozita i zaštićena od bilo kakvih rizika propadanja kreditnih institucija, te u strukturi primitaka bilježi izvršenje u iznosu 484.240.380,00 kn, što predstavlja neto vrijednost (ukupni primici 3.540.812.400,00 kn, ukupni izdaci 3.056.572.020,00 kn).</w:t>
      </w:r>
    </w:p>
    <w:p w:rsidR="00E47649" w:rsidRPr="00A54F16" w:rsidRDefault="00F042B2" w:rsidP="00DE3A1B">
      <w:pPr>
        <w:pStyle w:val="Bezproreda"/>
        <w:jc w:val="both"/>
        <w:divId w:val="337772649"/>
      </w:pPr>
      <w:r w:rsidRPr="00A54F16">
        <w:t>Sredstvima prikupljenim na temelju Zakona o sanaciji kreditnih institucija i investicijskih društava točnije EU Direktive o sanaciji kreditnih institucija i investicijskih društava, od prosinca 2020. godine više ne upravlja Agencija (u smislu ulaganja u vrijednosne papire ili druge instrumente) već isključivo SRB</w:t>
      </w:r>
      <w:r w:rsidR="00F110D6">
        <w:t xml:space="preserve"> (Jedinstveni sanacijski odbor)</w:t>
      </w:r>
      <w:r w:rsidRPr="00A54F16">
        <w:t>. U računu financiranja Agencije iskazan je isključivo prijenos nacionalno prikupljenih sredstava u SRF</w:t>
      </w:r>
      <w:r w:rsidR="00F110D6">
        <w:t xml:space="preserve"> (Jedinstveni sanacijski fond)</w:t>
      </w:r>
      <w:r w:rsidRPr="00A54F16">
        <w:t>.</w:t>
      </w:r>
    </w:p>
    <w:p w:rsidR="00E47649" w:rsidRPr="00A54F16" w:rsidRDefault="00F042B2" w:rsidP="00F110D6">
      <w:pPr>
        <w:spacing w:before="100" w:beforeAutospacing="1" w:after="100" w:after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54F16">
        <w:rPr>
          <w:rFonts w:ascii="Times New Roman" w:hAnsi="Times New Roman" w:cs="Times New Roman"/>
          <w:sz w:val="24"/>
          <w:szCs w:val="24"/>
        </w:rPr>
        <w:lastRenderedPageBreak/>
        <w:t>Što se tiče sanacijskog doprinosa, u 2021. godini, temeljem prethodno važećeg zakona, od kreditnih institucija naplaćeno je oko 70 mil kn više od prenesenih sredstava u SRF</w:t>
      </w:r>
      <w:r w:rsidR="00F110D6">
        <w:rPr>
          <w:rFonts w:ascii="Times New Roman" w:hAnsi="Times New Roman" w:cs="Times New Roman"/>
          <w:sz w:val="24"/>
          <w:szCs w:val="24"/>
        </w:rPr>
        <w:t xml:space="preserve"> (Jedinstveni sanacijski fond)</w:t>
      </w:r>
      <w:r w:rsidRPr="00A54F16">
        <w:rPr>
          <w:rFonts w:ascii="Times New Roman" w:hAnsi="Times New Roman" w:cs="Times New Roman"/>
          <w:sz w:val="24"/>
          <w:szCs w:val="24"/>
        </w:rPr>
        <w:t>. Taj višak sredstava, zajedno s  obračunatim i naplaćenim sanacijskim doprinosom za 2022. godinu, Agencija je prenijela u SRF</w:t>
      </w:r>
      <w:r w:rsidR="00F110D6">
        <w:rPr>
          <w:rFonts w:ascii="Times New Roman" w:hAnsi="Times New Roman" w:cs="Times New Roman"/>
          <w:sz w:val="24"/>
          <w:szCs w:val="24"/>
        </w:rPr>
        <w:t xml:space="preserve"> (Jedinstveni sanacijski fond)</w:t>
      </w:r>
      <w:r w:rsidRPr="00A54F16">
        <w:rPr>
          <w:rFonts w:ascii="Times New Roman" w:hAnsi="Times New Roman" w:cs="Times New Roman"/>
          <w:sz w:val="24"/>
          <w:szCs w:val="24"/>
        </w:rPr>
        <w:t>.</w:t>
      </w:r>
    </w:p>
    <w:p w:rsidR="00E47649" w:rsidRPr="00A54F16" w:rsidRDefault="00F042B2" w:rsidP="00DE3A1B">
      <w:pPr>
        <w:spacing w:before="100" w:beforeAutospacing="1" w:line="240" w:lineRule="auto"/>
        <w:jc w:val="both"/>
        <w:divId w:val="337772649"/>
        <w:rPr>
          <w:rFonts w:ascii="Times New Roman" w:hAnsi="Times New Roman" w:cs="Times New Roman"/>
          <w:sz w:val="24"/>
          <w:szCs w:val="24"/>
        </w:rPr>
      </w:pPr>
      <w:r w:rsidRPr="00A54F16">
        <w:rPr>
          <w:rFonts w:ascii="Times New Roman" w:hAnsi="Times New Roman" w:cs="Times New Roman"/>
          <w:sz w:val="24"/>
          <w:szCs w:val="24"/>
        </w:rPr>
        <w:t>Odstupanja u odnosu na prethodno razdoblje posljedica iskazivanja prihoda i rashoda uz primjenu gotovinskog načela, dok su se u prethodnom razdoblju prihodi i rashodi iskazivali uz primjenu računovodstvenog načela.</w:t>
      </w:r>
    </w:p>
    <w:sectPr w:rsidR="00E47649" w:rsidRPr="00A54F16" w:rsidSect="00D73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7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308" w:rsidRDefault="00806308" w:rsidP="00806308">
      <w:pPr>
        <w:spacing w:after="0" w:line="240" w:lineRule="auto"/>
      </w:pPr>
      <w:r>
        <w:separator/>
      </w:r>
    </w:p>
  </w:endnote>
  <w:endnote w:type="continuationSeparator" w:id="0">
    <w:p w:rsidR="00806308" w:rsidRDefault="00806308" w:rsidP="0080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08" w:rsidRDefault="0080630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762928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p w:rsidR="00806308" w:rsidRDefault="00806308">
        <w:pPr>
          <w:pStyle w:val="Podnoje"/>
          <w:jc w:val="center"/>
        </w:pPr>
        <w:r w:rsidRPr="00D73C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3C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73C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3C87">
          <w:rPr>
            <w:rFonts w:ascii="Times New Roman" w:hAnsi="Times New Roman" w:cs="Times New Roman"/>
            <w:noProof/>
            <w:sz w:val="24"/>
            <w:szCs w:val="24"/>
          </w:rPr>
          <w:t>754</w:t>
        </w:r>
        <w:r w:rsidRPr="00D73C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bookmarkEnd w:id="0" w:displacedByCustomXml="next"/>
    </w:sdtContent>
  </w:sdt>
  <w:p w:rsidR="00806308" w:rsidRDefault="00806308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08" w:rsidRDefault="0080630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308" w:rsidRDefault="00806308" w:rsidP="00806308">
      <w:pPr>
        <w:spacing w:after="0" w:line="240" w:lineRule="auto"/>
      </w:pPr>
      <w:r>
        <w:separator/>
      </w:r>
    </w:p>
  </w:footnote>
  <w:footnote w:type="continuationSeparator" w:id="0">
    <w:p w:rsidR="00806308" w:rsidRDefault="00806308" w:rsidP="0080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08" w:rsidRDefault="0080630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08" w:rsidRDefault="0080630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308" w:rsidRDefault="0080630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C0E"/>
    <w:multiLevelType w:val="hybridMultilevel"/>
    <w:tmpl w:val="06A08E9A"/>
    <w:lvl w:ilvl="0" w:tplc="189C74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92BA0"/>
    <w:multiLevelType w:val="hybridMultilevel"/>
    <w:tmpl w:val="AF3E4D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95705"/>
    <w:multiLevelType w:val="hybridMultilevel"/>
    <w:tmpl w:val="8AF8F1AA"/>
    <w:lvl w:ilvl="0" w:tplc="189C74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2363"/>
    <w:rsid w:val="0004163E"/>
    <w:rsid w:val="00122939"/>
    <w:rsid w:val="00170797"/>
    <w:rsid w:val="001D0A11"/>
    <w:rsid w:val="003543BA"/>
    <w:rsid w:val="003738C1"/>
    <w:rsid w:val="003D6551"/>
    <w:rsid w:val="0043699D"/>
    <w:rsid w:val="0044182B"/>
    <w:rsid w:val="004803D3"/>
    <w:rsid w:val="004F0BE6"/>
    <w:rsid w:val="005C7A86"/>
    <w:rsid w:val="005C7C22"/>
    <w:rsid w:val="005E4575"/>
    <w:rsid w:val="00634C38"/>
    <w:rsid w:val="00687C4A"/>
    <w:rsid w:val="00743F11"/>
    <w:rsid w:val="007D4ADC"/>
    <w:rsid w:val="00806308"/>
    <w:rsid w:val="008C2363"/>
    <w:rsid w:val="008F508B"/>
    <w:rsid w:val="009A3705"/>
    <w:rsid w:val="009C5E7A"/>
    <w:rsid w:val="00A141AA"/>
    <w:rsid w:val="00A54F16"/>
    <w:rsid w:val="00AC7B93"/>
    <w:rsid w:val="00B269F2"/>
    <w:rsid w:val="00B40E45"/>
    <w:rsid w:val="00B76088"/>
    <w:rsid w:val="00C442F2"/>
    <w:rsid w:val="00C55750"/>
    <w:rsid w:val="00C81916"/>
    <w:rsid w:val="00D73C87"/>
    <w:rsid w:val="00DE3A1B"/>
    <w:rsid w:val="00E31B6D"/>
    <w:rsid w:val="00E37215"/>
    <w:rsid w:val="00E47649"/>
    <w:rsid w:val="00EB053B"/>
    <w:rsid w:val="00EC4D1F"/>
    <w:rsid w:val="00F042B2"/>
    <w:rsid w:val="00F110D6"/>
    <w:rsid w:val="00F8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8967E-9F7F-49B2-9FF6-7E9217BB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character" w:styleId="Jakoisticanje">
    <w:name w:val="Intense Emphasis"/>
    <w:basedOn w:val="Zadanifontodlomka"/>
    <w:uiPriority w:val="21"/>
    <w:qFormat/>
  </w:style>
  <w:style w:type="paragraph" w:styleId="Bezproreda">
    <w:name w:val="No Spacing"/>
    <w:basedOn w:val="Normal"/>
    <w:uiPriority w:val="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80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6308"/>
  </w:style>
  <w:style w:type="paragraph" w:styleId="Podnoje">
    <w:name w:val="footer"/>
    <w:basedOn w:val="Normal"/>
    <w:link w:val="PodnojeChar"/>
    <w:uiPriority w:val="99"/>
    <w:unhideWhenUsed/>
    <w:rsid w:val="008063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6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2649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1075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Mirela Kovač Jagar</cp:lastModifiedBy>
  <cp:revision>42</cp:revision>
  <dcterms:created xsi:type="dcterms:W3CDTF">2022-09-06T14:34:00Z</dcterms:created>
  <dcterms:modified xsi:type="dcterms:W3CDTF">2022-09-14T16:40:00Z</dcterms:modified>
</cp:coreProperties>
</file>