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EB" w:rsidRDefault="00E25DEB" w:rsidP="00E25DEB">
      <w:pPr>
        <w:pStyle w:val="Naslov2"/>
        <w:jc w:val="center"/>
        <w:divId w:val="1572544613"/>
        <w:rPr>
          <w:rFonts w:eastAsia="Times New Roman"/>
        </w:rPr>
      </w:pPr>
      <w:r>
        <w:rPr>
          <w:rFonts w:eastAsia="Times New Roman"/>
        </w:rPr>
        <w:t>OBRAZLOŽENJE IZVRŠENJA FINANCIJSKOG PLANA FONDA ZA ZAŠTITU OKOLIŠA I ENERGETSKU UČINKOVITOST ZA PRVO POLUGODIŠTE 2022. GODINE</w:t>
      </w:r>
    </w:p>
    <w:p w:rsidR="00E25DEB" w:rsidRDefault="00E25DEB" w:rsidP="00E25DEB">
      <w:pPr>
        <w:pStyle w:val="Naslov2"/>
        <w:jc w:val="center"/>
        <w:divId w:val="1572544613"/>
        <w:rPr>
          <w:rFonts w:eastAsia="Times New Roman"/>
        </w:rPr>
      </w:pPr>
    </w:p>
    <w:p w:rsidR="009F77CA" w:rsidRPr="000D7AD9" w:rsidRDefault="00197340">
      <w:pPr>
        <w:pStyle w:val="Naslov2"/>
        <w:divId w:val="1572544613"/>
        <w:rPr>
          <w:rFonts w:eastAsia="Times New Roman"/>
        </w:rPr>
      </w:pPr>
      <w:r w:rsidRPr="000D7AD9">
        <w:rPr>
          <w:rFonts w:eastAsia="Times New Roman"/>
        </w:rPr>
        <w:t>PRIHODI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1622"/>
        <w:gridCol w:w="1302"/>
        <w:gridCol w:w="1622"/>
        <w:gridCol w:w="995"/>
        <w:gridCol w:w="995"/>
      </w:tblGrid>
      <w:tr w:rsidR="009F77CA" w:rsidRPr="000D7AD9" w:rsidTr="000D7AD9">
        <w:trPr>
          <w:divId w:val="157254461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1.070.784.123,51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2.621.754.290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1.105.583.572,32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78.000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94.240,26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9F77C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1.070.784.123,51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2.621.832.290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1.105.677.812,58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</w:tr>
    </w:tbl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Ukupni prihodi Fonda u 2022. godini planirani su u iznosu od 2.621.832.290,00 kn, a u prvih šest mjeseci ostvareni su u iznosu od 1.105.677.812,58 kn (42,17%).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bookmarkStart w:id="0" w:name="_Hlk80782191"/>
      <w:r w:rsidRPr="000D7AD9">
        <w:t>Pomoći od međunarodnih organizacija te institucija i tijela EU nisu ostvarene u prvih šest mjeseci ove godine.</w:t>
      </w:r>
      <w:bookmarkEnd w:id="0"/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Pomoći proračunu iz drugih proračuna ostvarene su u iznosu od 3.861.577,30 kn (37,67% planiranih sredstava), a odnose se na dio financijskih sredstava od prodaje emisijskih jedinica stakleničkih plinova putem dražbi za pokriće administrativnih troškova Fonda.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Pomoći temeljem prijenosa EU sredstava ostvarene su u iznosu od 40.464.378,19 kn (65,30% planiranih sredstava), a najveći dio u iznosu od 32.146.243,26 kn se odnosi na pomoći za projekt sanacije odlagališta opasnog otpada Sovjak i na pomoći iz državnog proračuna temeljem prijenosa EU sredstava za tehničku pomoć za rad posredničkog tijela razine 2 (PT2)</w:t>
      </w:r>
      <w:r w:rsidR="00CF7ADA">
        <w:t xml:space="preserve"> u kojem je svojstvu Fond</w:t>
      </w:r>
      <w:r w:rsidRPr="000D7AD9">
        <w:t>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Prihodi od financijske imovine ostvareni su u iznosu od 1.342.693,32 kn (18,91% planiranih sredstava), a odnose se na zakonske zatezne kamate i kamate na depozite po viđenju.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Prihodi od kamata na dane zajmove nisu ostvareni u prvih šest mjeseci ove godine.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 w:rsidP="006412B3">
      <w:pPr>
        <w:pStyle w:val="Odlomakpopisa"/>
        <w:contextualSpacing/>
        <w:jc w:val="both"/>
        <w:divId w:val="1572544613"/>
      </w:pPr>
      <w:r w:rsidRPr="000D7AD9">
        <w:t>Prihodi s osnove upravnih i administrativnih pristojbi ostvareni su u iznosu od 496.313.446,45 kn (40,52% planiranih sredstava), a odnose se na prihode od naknada temeljem Zakona o Fondu za zaštitu okoliša i energetsku učinkovitost (</w:t>
      </w:r>
      <w:r w:rsidR="0049543B">
        <w:t>Narodne novine</w:t>
      </w:r>
      <w:r w:rsidR="006412B3">
        <w:t>,</w:t>
      </w:r>
      <w:r w:rsidR="0049543B">
        <w:t xml:space="preserve"> br</w:t>
      </w:r>
      <w:r w:rsidR="006412B3">
        <w:t>.</w:t>
      </w:r>
      <w:r w:rsidRPr="000D7AD9">
        <w:t xml:space="preserve"> 107/03</w:t>
      </w:r>
      <w:r w:rsidR="006412B3">
        <w:t xml:space="preserve"> i</w:t>
      </w:r>
      <w:r w:rsidRPr="000D7AD9">
        <w:t xml:space="preserve"> 144/12) u iznosu od 99.319.965,75 kuna, prihode od naknada temeljem Zakona o gospodarenju otpadom (</w:t>
      </w:r>
      <w:r w:rsidR="006412B3">
        <w:t>Narodne novine, broj</w:t>
      </w:r>
      <w:r w:rsidR="006412B3" w:rsidRPr="000D7AD9">
        <w:t xml:space="preserve"> </w:t>
      </w:r>
      <w:r w:rsidRPr="000D7AD9">
        <w:t>84/21) u iznosu od 396.659.086,67 kuna,  prihode od naknade za EU ecolabel temeljem Zakona o zaštiti okoliša (</w:t>
      </w:r>
      <w:r w:rsidR="006412B3">
        <w:t>Narodne novine, br.</w:t>
      </w:r>
      <w:r w:rsidR="006412B3" w:rsidRPr="000D7AD9">
        <w:t xml:space="preserve"> </w:t>
      </w:r>
      <w:r w:rsidR="006412B3">
        <w:t>80/13, 153/13, 78/15, 12/18 i</w:t>
      </w:r>
      <w:r w:rsidRPr="000D7AD9">
        <w:t xml:space="preserve"> 118/18) u iznosu od 1.360,00 kuna i prihode od kontroliranih tvari temeljem Zakona o klimatskim promjenama i zaštiti ozonskog sloja (</w:t>
      </w:r>
      <w:r w:rsidR="006412B3">
        <w:t>Narodne novine, broj</w:t>
      </w:r>
      <w:r w:rsidR="006412B3" w:rsidRPr="000D7AD9">
        <w:t xml:space="preserve"> </w:t>
      </w:r>
      <w:r w:rsidRPr="000D7AD9">
        <w:t>127/19) u iznosu od 333.034,03 kuna.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 w:rsidP="006412B3">
      <w:pPr>
        <w:pStyle w:val="Odlomakpopisa"/>
        <w:contextualSpacing/>
        <w:jc w:val="both"/>
        <w:divId w:val="1572544613"/>
      </w:pPr>
      <w:r w:rsidRPr="000D7AD9">
        <w:lastRenderedPageBreak/>
        <w:t xml:space="preserve">Prihodi po posebnim propisima ostvareni su u iznosu od 563.420.129,69 kn (42,88% planiranih sredstava), a odnose se na prihode od prodaje emisijskih jedinica stakleničkih plinova putem dražbi temeljem Zakona o klimatskim promjenama i zaštiti ozonskog sloja u iznosu od 526.318.027,69 </w:t>
      </w:r>
      <w:r w:rsidR="0049543B">
        <w:t>kn</w:t>
      </w:r>
      <w:r w:rsidRPr="000D7AD9">
        <w:t xml:space="preserve"> i prihod od nestavljanja biogoriva na tržište temeljem Zakona o biogorivima za prijevoz (</w:t>
      </w:r>
      <w:r w:rsidR="006412B3">
        <w:t>Narodne novine, br.</w:t>
      </w:r>
      <w:r w:rsidR="006412B3" w:rsidRPr="000D7AD9">
        <w:t xml:space="preserve"> </w:t>
      </w:r>
      <w:r w:rsidRPr="000D7AD9">
        <w:t>65/09, 145/10, 26/11, 144/12, 14/14, 94/18</w:t>
      </w:r>
      <w:r w:rsidR="006412B3">
        <w:t xml:space="preserve"> i</w:t>
      </w:r>
      <w:r w:rsidRPr="000D7AD9">
        <w:t xml:space="preserve"> 52/21)  u iznos</w:t>
      </w:r>
      <w:r w:rsidR="006412B3">
        <w:t>u</w:t>
      </w:r>
      <w:r w:rsidRPr="000D7AD9">
        <w:t xml:space="preserve"> od 37.102.102,00 </w:t>
      </w:r>
      <w:r w:rsidR="0049543B">
        <w:t>kn</w:t>
      </w:r>
      <w:r w:rsidRPr="000D7AD9">
        <w:t>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Prihodi od prodaje proizvoda i robe te pruženih usluga ostvareni su u iznosu od 27.720,00 kn (71,72% planiranih sredstava), a odnose se na najam prostora (parkirnih mjesta).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Default="00197340">
      <w:pPr>
        <w:pStyle w:val="Odlomakpopisa"/>
        <w:contextualSpacing/>
        <w:jc w:val="both"/>
        <w:divId w:val="1572544613"/>
      </w:pPr>
      <w:r w:rsidRPr="000D7AD9">
        <w:t>Ostali prihodi ostvareni su u iznosu od 153.627,37 kn (7,68% planiranih sredstava), a odnose se na povrate sredstava od korisnika za programe i projekte te od zaposlenih.</w:t>
      </w:r>
    </w:p>
    <w:p w:rsidR="00E25DEB" w:rsidRDefault="00E25DEB">
      <w:pPr>
        <w:pStyle w:val="Odlomakpopisa"/>
        <w:contextualSpacing/>
        <w:jc w:val="both"/>
        <w:divId w:val="1572544613"/>
      </w:pPr>
    </w:p>
    <w:p w:rsidR="00E25DEB" w:rsidRDefault="00E25DEB">
      <w:pPr>
        <w:pStyle w:val="Odlomakpopisa"/>
        <w:contextualSpacing/>
        <w:jc w:val="both"/>
        <w:divId w:val="1572544613"/>
      </w:pPr>
    </w:p>
    <w:p w:rsidR="000D7AD9" w:rsidRPr="000D7AD9" w:rsidRDefault="000D7AD9">
      <w:pPr>
        <w:pStyle w:val="Odlomakpopisa"/>
        <w:contextualSpacing/>
        <w:jc w:val="both"/>
        <w:divId w:val="1572544613"/>
      </w:pPr>
    </w:p>
    <w:p w:rsidR="009F77CA" w:rsidRPr="000D7AD9" w:rsidRDefault="00075A3C" w:rsidP="00197340">
      <w:pPr>
        <w:pStyle w:val="Odlomakpopisa"/>
        <w:contextualSpacing/>
        <w:jc w:val="center"/>
        <w:divId w:val="1572544613"/>
      </w:pPr>
      <w:r w:rsidRPr="001F32E6">
        <w:rPr>
          <w:bCs/>
          <w:iCs/>
          <w:noProof/>
        </w:rPr>
        <w:drawing>
          <wp:inline distT="0" distB="0" distL="0" distR="0" wp14:anchorId="6F15CA7A" wp14:editId="32058E93">
            <wp:extent cx="5568314" cy="2946598"/>
            <wp:effectExtent l="0" t="0" r="0" b="635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41" b="7948"/>
                    <a:stretch/>
                  </pic:blipFill>
                  <pic:spPr bwMode="auto">
                    <a:xfrm>
                      <a:off x="0" y="0"/>
                      <a:ext cx="5586040" cy="2955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77CA" w:rsidRDefault="009F77CA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Default="0072060E">
      <w:pPr>
        <w:divId w:val="1572544613"/>
        <w:rPr>
          <w:rFonts w:ascii="Times New Roman" w:eastAsia="Times New Roman" w:hAnsi="Times New Roman" w:cs="Times New Roman"/>
        </w:rPr>
      </w:pPr>
    </w:p>
    <w:p w:rsidR="0072060E" w:rsidRPr="000D7AD9" w:rsidRDefault="0072060E">
      <w:pPr>
        <w:divId w:val="1572544613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:rsidR="009F77CA" w:rsidRPr="000D7AD9" w:rsidRDefault="00197340">
      <w:pPr>
        <w:pStyle w:val="Naslov2"/>
        <w:divId w:val="1572544613"/>
        <w:rPr>
          <w:rFonts w:eastAsia="Times New Roman"/>
        </w:rPr>
      </w:pPr>
      <w:r w:rsidRPr="000D7AD9">
        <w:rPr>
          <w:rFonts w:eastAsia="Times New Roman"/>
        </w:rPr>
        <w:lastRenderedPageBreak/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1619"/>
        <w:gridCol w:w="1301"/>
        <w:gridCol w:w="1620"/>
        <w:gridCol w:w="995"/>
        <w:gridCol w:w="995"/>
      </w:tblGrid>
      <w:tr w:rsidR="009F77CA" w:rsidRPr="000D7AD9" w:rsidTr="000D7AD9">
        <w:trPr>
          <w:divId w:val="1572544613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545.958.632,58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2.269.824.090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1.095.164.496,40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200,6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48,2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205.082.152,42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16.008.200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2.600.951,36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1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751.040.785,00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2.285.832.290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1.097.765.447,76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146,2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48,0</w:t>
            </w:r>
          </w:p>
        </w:tc>
      </w:tr>
    </w:tbl>
    <w:p w:rsidR="009F77CA" w:rsidRPr="000D7AD9" w:rsidRDefault="009F77CA">
      <w:pPr>
        <w:divId w:val="1572544613"/>
        <w:rPr>
          <w:rFonts w:ascii="Times New Roman" w:eastAsia="Times New Roman" w:hAnsi="Times New Roman" w:cs="Times New Roman"/>
          <w:sz w:val="24"/>
          <w:szCs w:val="24"/>
        </w:rPr>
      </w:pP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Ukupni rashodi Fonda u 2022. godini planirani su u iznosu od 2.285.832.290,00 kn, a u prvom polugodištu su ostvareni u iznosu od 1.097.765.447,76 kn (48,02%).</w:t>
      </w:r>
    </w:p>
    <w:p w:rsidR="009F77CA" w:rsidRPr="000D7AD9" w:rsidRDefault="00197340">
      <w:pPr>
        <w:pStyle w:val="Odlomakpopisa"/>
        <w:contextualSpacing/>
        <w:jc w:val="both"/>
        <w:divId w:val="1572544613"/>
      </w:pPr>
      <w:r w:rsidRPr="000D7AD9">
        <w:t> </w:t>
      </w:r>
    </w:p>
    <w:p w:rsidR="009F77CA" w:rsidRDefault="00197340" w:rsidP="0049543B">
      <w:pPr>
        <w:pStyle w:val="Odlomakpopisa"/>
        <w:contextualSpacing/>
        <w:jc w:val="both"/>
        <w:divId w:val="1572544613"/>
      </w:pPr>
      <w:r w:rsidRPr="000D7AD9">
        <w:t xml:space="preserve">Od ostvarenih rashoda najveći udio se odnosi na Programe i projekte energetske učinkovitosti – 506.689.509,84 </w:t>
      </w:r>
      <w:r w:rsidR="0049543B">
        <w:t>kn</w:t>
      </w:r>
      <w:r w:rsidRPr="000D7AD9">
        <w:t xml:space="preserve"> (46,16%), zatim na Gospodarenje s posebnim kategorijama otpada – 391.783.778,63 </w:t>
      </w:r>
      <w:r w:rsidR="0049543B">
        <w:t>kn</w:t>
      </w:r>
      <w:r w:rsidRPr="000D7AD9">
        <w:t xml:space="preserve"> (35,69%), zatim na Programe i projekte zaštite okoliša – 155.542.546,76 </w:t>
      </w:r>
      <w:r w:rsidR="0049543B">
        <w:t>kn</w:t>
      </w:r>
      <w:r w:rsidRPr="000D7AD9">
        <w:t xml:space="preserve"> (14,17%), i Administrativno upravljanje i opremanje – 43.749.612,53 </w:t>
      </w:r>
      <w:r w:rsidR="0049543B">
        <w:t>kn</w:t>
      </w:r>
      <w:r w:rsidRPr="000D7AD9">
        <w:t xml:space="preserve"> (3,99%).</w:t>
      </w:r>
    </w:p>
    <w:p w:rsidR="00E25DEB" w:rsidRDefault="00E25DEB" w:rsidP="0049543B">
      <w:pPr>
        <w:pStyle w:val="Odlomakpopisa"/>
        <w:contextualSpacing/>
        <w:jc w:val="both"/>
        <w:divId w:val="1572544613"/>
      </w:pPr>
    </w:p>
    <w:p w:rsidR="00E25DEB" w:rsidRPr="000D7AD9" w:rsidRDefault="00E25DEB" w:rsidP="0049543B">
      <w:pPr>
        <w:pStyle w:val="Odlomakpopisa"/>
        <w:contextualSpacing/>
        <w:jc w:val="both"/>
        <w:divId w:val="1572544613"/>
      </w:pPr>
    </w:p>
    <w:p w:rsidR="009F77CA" w:rsidRPr="000D7AD9" w:rsidRDefault="00075A3C" w:rsidP="00197340">
      <w:pPr>
        <w:pStyle w:val="Odlomakpopisa"/>
        <w:contextualSpacing/>
        <w:jc w:val="center"/>
        <w:divId w:val="1572544613"/>
      </w:pPr>
      <w:r w:rsidRPr="001F32E6">
        <w:rPr>
          <w:bCs/>
          <w:iCs/>
          <w:noProof/>
        </w:rPr>
        <w:drawing>
          <wp:inline distT="0" distB="0" distL="0" distR="0" wp14:anchorId="2050385E" wp14:editId="408F43F1">
            <wp:extent cx="5501640" cy="2584016"/>
            <wp:effectExtent l="0" t="0" r="3810" b="698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" t="2231" r="854" b="2578"/>
                    <a:stretch/>
                  </pic:blipFill>
                  <pic:spPr bwMode="auto">
                    <a:xfrm>
                      <a:off x="0" y="0"/>
                      <a:ext cx="5537557" cy="26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77CA" w:rsidRPr="000D7AD9" w:rsidRDefault="009F77CA">
      <w:pPr>
        <w:divId w:val="1572544613"/>
        <w:rPr>
          <w:rFonts w:ascii="Times New Roman" w:eastAsia="Times New Roman" w:hAnsi="Times New Roman" w:cs="Times New Roman"/>
        </w:rPr>
      </w:pPr>
    </w:p>
    <w:p w:rsidR="00E25DEB" w:rsidRDefault="00E25DE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eastAsia="Times New Roman"/>
        </w:rPr>
        <w:br w:type="page"/>
      </w:r>
    </w:p>
    <w:p w:rsidR="009F77CA" w:rsidRPr="000D7AD9" w:rsidRDefault="00197340">
      <w:pPr>
        <w:pStyle w:val="Naslov2"/>
        <w:divId w:val="1572544613"/>
        <w:rPr>
          <w:rFonts w:eastAsia="Times New Roman"/>
        </w:rPr>
      </w:pPr>
      <w:r w:rsidRPr="000D7AD9">
        <w:rPr>
          <w:rFonts w:eastAsia="Times New Roman"/>
        </w:rPr>
        <w:lastRenderedPageBreak/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9"/>
        <w:gridCol w:w="1609"/>
        <w:gridCol w:w="2109"/>
        <w:gridCol w:w="995"/>
      </w:tblGrid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2.621.754.290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1.105.583.572,32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78.000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94.240,26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2.621.832.290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1.105.677.812,58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42,2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2.269.824.090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1.095.164.496,40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48,2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16.008.200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2.600.951,36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2.285.832.290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1.097.765.447,76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48,0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336.000.000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7.912.364,82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</w:tr>
    </w:tbl>
    <w:p w:rsidR="009F77CA" w:rsidRPr="000D7AD9" w:rsidRDefault="009F77CA">
      <w:pPr>
        <w:divId w:val="157254461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1557"/>
        <w:gridCol w:w="2043"/>
        <w:gridCol w:w="995"/>
      </w:tblGrid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350.000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64.271,86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18,4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9F77C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2.501.373.699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2.501.373.698,75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-2.837.723.699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-2.509.350.335,43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88,4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-336.000.000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-7.912.364,82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9F77CA" w:rsidRPr="000D7AD9" w:rsidTr="000D7AD9">
        <w:trPr>
          <w:divId w:val="157254461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1973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7AD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9F77CA" w:rsidRPr="000D7AD9" w:rsidRDefault="009F77C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9F77CA" w:rsidRPr="000D7AD9" w:rsidRDefault="009F77CA">
      <w:pPr>
        <w:divId w:val="1572544613"/>
        <w:rPr>
          <w:rFonts w:ascii="Times New Roman" w:eastAsia="Times New Roman" w:hAnsi="Times New Roman" w:cs="Times New Roman"/>
          <w:sz w:val="24"/>
          <w:szCs w:val="24"/>
        </w:rPr>
      </w:pPr>
    </w:p>
    <w:p w:rsidR="009F77CA" w:rsidRPr="000D7AD9" w:rsidRDefault="00197340" w:rsidP="0049543B">
      <w:pPr>
        <w:pStyle w:val="Odlomakpopisa"/>
        <w:contextualSpacing/>
        <w:jc w:val="both"/>
        <w:divId w:val="1572544613"/>
      </w:pPr>
      <w:r w:rsidRPr="000D7AD9">
        <w:t xml:space="preserve">Primici od financijske imovine i zaduživanja planirani su u iznosu od 350.000,00 </w:t>
      </w:r>
      <w:r w:rsidR="0049543B">
        <w:t>kn</w:t>
      </w:r>
      <w:r w:rsidRPr="000D7AD9">
        <w:t xml:space="preserve">, a ostvareni su u iznosu od 64.271,86 </w:t>
      </w:r>
      <w:r w:rsidR="0049543B">
        <w:t>kn</w:t>
      </w:r>
      <w:r w:rsidRPr="000D7AD9">
        <w:t xml:space="preserve"> (18,36%), a odnose se na povrate zajmova danih tuzemnim trgovačkim društvima izvan javnog sektora.</w:t>
      </w:r>
    </w:p>
    <w:sectPr w:rsidR="009F77CA" w:rsidRPr="000D7AD9" w:rsidSect="00722181">
      <w:footerReference w:type="default" r:id="rId8"/>
      <w:pgSz w:w="11906" w:h="16838"/>
      <w:pgMar w:top="1417" w:right="1417" w:bottom="1417" w:left="1417" w:header="708" w:footer="708" w:gutter="0"/>
      <w:pgNumType w:start="7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DEB" w:rsidRDefault="00E25DEB" w:rsidP="00E25DEB">
      <w:pPr>
        <w:spacing w:after="0" w:line="240" w:lineRule="auto"/>
      </w:pPr>
      <w:r>
        <w:separator/>
      </w:r>
    </w:p>
  </w:endnote>
  <w:endnote w:type="continuationSeparator" w:id="0">
    <w:p w:rsidR="00E25DEB" w:rsidRDefault="00E25DEB" w:rsidP="00E2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6467003"/>
      <w:docPartObj>
        <w:docPartGallery w:val="Page Numbers (Bottom of Page)"/>
        <w:docPartUnique/>
      </w:docPartObj>
    </w:sdtPr>
    <w:sdtEndPr/>
    <w:sdtContent>
      <w:p w:rsidR="00E25DEB" w:rsidRDefault="00E25DEB">
        <w:pPr>
          <w:pStyle w:val="Podnoje"/>
          <w:jc w:val="center"/>
        </w:pPr>
        <w:r w:rsidRPr="007221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21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21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060E">
          <w:rPr>
            <w:rFonts w:ascii="Times New Roman" w:hAnsi="Times New Roman" w:cs="Times New Roman"/>
            <w:noProof/>
            <w:sz w:val="24"/>
            <w:szCs w:val="24"/>
          </w:rPr>
          <w:t>741</w:t>
        </w:r>
        <w:r w:rsidRPr="007221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5DEB" w:rsidRDefault="00E25DE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DEB" w:rsidRDefault="00E25DEB" w:rsidP="00E25DEB">
      <w:pPr>
        <w:spacing w:after="0" w:line="240" w:lineRule="auto"/>
      </w:pPr>
      <w:r>
        <w:separator/>
      </w:r>
    </w:p>
  </w:footnote>
  <w:footnote w:type="continuationSeparator" w:id="0">
    <w:p w:rsidR="00E25DEB" w:rsidRDefault="00E25DEB" w:rsidP="00E25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300C"/>
    <w:rsid w:val="00075A3C"/>
    <w:rsid w:val="000D7AD9"/>
    <w:rsid w:val="00197340"/>
    <w:rsid w:val="0042705E"/>
    <w:rsid w:val="0049543B"/>
    <w:rsid w:val="006412B3"/>
    <w:rsid w:val="0072060E"/>
    <w:rsid w:val="00722181"/>
    <w:rsid w:val="0072329A"/>
    <w:rsid w:val="00922B91"/>
    <w:rsid w:val="009D1462"/>
    <w:rsid w:val="009F77CA"/>
    <w:rsid w:val="00A3300C"/>
    <w:rsid w:val="00A54B76"/>
    <w:rsid w:val="00AC080C"/>
    <w:rsid w:val="00CF7ADA"/>
    <w:rsid w:val="00E25DEB"/>
    <w:rsid w:val="00E5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5CE6"/>
  <w15:docId w15:val="{1018E982-0B46-43C9-A001-1E31251B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2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5DEB"/>
  </w:style>
  <w:style w:type="paragraph" w:styleId="Podnoje">
    <w:name w:val="footer"/>
    <w:basedOn w:val="Normal"/>
    <w:link w:val="PodnojeChar"/>
    <w:uiPriority w:val="99"/>
    <w:unhideWhenUsed/>
    <w:rsid w:val="00E25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5DEB"/>
  </w:style>
  <w:style w:type="paragraph" w:styleId="Tekstbalonia">
    <w:name w:val="Balloon Text"/>
    <w:basedOn w:val="Normal"/>
    <w:link w:val="TekstbaloniaChar"/>
    <w:uiPriority w:val="99"/>
    <w:semiHidden/>
    <w:unhideWhenUsed/>
    <w:rsid w:val="00722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2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54461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Mirela Kovač Jagar</cp:lastModifiedBy>
  <cp:revision>20</cp:revision>
  <cp:lastPrinted>2022-09-14T16:34:00Z</cp:lastPrinted>
  <dcterms:created xsi:type="dcterms:W3CDTF">2022-09-06T14:36:00Z</dcterms:created>
  <dcterms:modified xsi:type="dcterms:W3CDTF">2022-09-14T16:37:00Z</dcterms:modified>
</cp:coreProperties>
</file>