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53" w:rsidRDefault="00E23253" w:rsidP="00E23253">
      <w:pPr>
        <w:pStyle w:val="Naslov2"/>
        <w:jc w:val="center"/>
        <w:divId w:val="577517347"/>
        <w:rPr>
          <w:rFonts w:eastAsia="Times New Roman"/>
        </w:rPr>
      </w:pPr>
      <w:r w:rsidRPr="00E23253">
        <w:rPr>
          <w:rFonts w:eastAsia="Times New Roman"/>
        </w:rPr>
        <w:t>OBRAZLOŽENJE IZVRŠENJA FINANCIJSKOG PLANA HRVATSKIH AUTOCESTA ZA PRVO POLUGODIŠTE 2022. GODINE</w:t>
      </w:r>
    </w:p>
    <w:p w:rsidR="00E23253" w:rsidRDefault="00E23253" w:rsidP="00E23253">
      <w:pPr>
        <w:pStyle w:val="Naslov2"/>
        <w:jc w:val="center"/>
        <w:divId w:val="577517347"/>
        <w:rPr>
          <w:rFonts w:eastAsia="Times New Roman"/>
        </w:rPr>
      </w:pPr>
    </w:p>
    <w:p w:rsidR="001C0B3C" w:rsidRPr="009E1575" w:rsidRDefault="00582084">
      <w:pPr>
        <w:pStyle w:val="Naslov2"/>
        <w:divId w:val="577517347"/>
        <w:rPr>
          <w:rFonts w:eastAsia="Times New Roman"/>
        </w:rPr>
      </w:pPr>
      <w:r w:rsidRPr="009E1575">
        <w:rPr>
          <w:rFonts w:eastAsia="Times New Roman"/>
        </w:rPr>
        <w:t>PRIHODI</w:t>
      </w:r>
    </w:p>
    <w:tbl>
      <w:tblPr>
        <w:tblW w:w="4765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1"/>
        <w:gridCol w:w="1587"/>
        <w:gridCol w:w="1267"/>
        <w:gridCol w:w="1587"/>
        <w:gridCol w:w="995"/>
        <w:gridCol w:w="995"/>
      </w:tblGrid>
      <w:tr w:rsidR="001C0B3C" w:rsidRPr="009E1575" w:rsidTr="009E1575">
        <w:trPr>
          <w:divId w:val="577517347"/>
        </w:trPr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 w:rsidP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1.229.155.035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2.924.975.800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1.537.771.739,22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125,1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52,6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0B3C" w:rsidRPr="009E1575" w:rsidTr="009E1575">
        <w:trPr>
          <w:divId w:val="577517347"/>
        </w:trPr>
        <w:tc>
          <w:tcPr>
            <w:tcW w:w="14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 w:rsidP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1.229.155.035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2.924.975.800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1.537.771.739,22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125,1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52,6</w:t>
            </w:r>
          </w:p>
        </w:tc>
      </w:tr>
    </w:tbl>
    <w:p w:rsidR="001C0B3C" w:rsidRPr="009E1575" w:rsidRDefault="001C0B3C" w:rsidP="009E1575">
      <w:pPr>
        <w:spacing w:line="240" w:lineRule="auto"/>
        <w:jc w:val="both"/>
        <w:divId w:val="577517347"/>
        <w:rPr>
          <w:rFonts w:ascii="Times New Roman" w:eastAsia="Times New Roman" w:hAnsi="Times New Roman" w:cs="Times New Roman"/>
          <w:sz w:val="24"/>
          <w:szCs w:val="24"/>
        </w:rPr>
      </w:pPr>
    </w:p>
    <w:p w:rsidR="001C0B3C" w:rsidRPr="009E1575" w:rsidRDefault="00582084" w:rsidP="0020560E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>U prvom polugodištu 2022. godine Hrvatske autoceste d.o.o. ostvarile su prihode u visini od 1.537.771.739 kuna što čini 52,57% ukupno planiranih prihoda za tekuću godinu. Ostvarene pomoći iz inozemstva i od subjekata unutar općeg proračuna odnose se na kapitalne pomoći iz proračuna – naknadu od trošarina na energente koja se uplaćuje iz državnog proračuna na račun Hrvatskih autocesta d.o.o. i predstavlja sredstva kojima Republika Hrvatska financira građenje, održavanje i  povrat kredita, sukladno čl. 94. Zakona o cestama. U promatranom razdoblju ostvarene su iznosu od 420.000.000 kuna. U ukupnim ostvarenim prihodima poslovanja Hrvatskih autocesta d.o.o. najveći dio odnosi se na prihod od naplate cestarine koji se ostvaruje sukladno planskim očekivanjima.</w:t>
      </w:r>
    </w:p>
    <w:p w:rsidR="001C0B3C" w:rsidRPr="009E1575" w:rsidRDefault="001C0B3C">
      <w:pPr>
        <w:divId w:val="577517347"/>
        <w:rPr>
          <w:rFonts w:ascii="Times New Roman" w:eastAsia="Times New Roman" w:hAnsi="Times New Roman" w:cs="Times New Roman"/>
        </w:rPr>
      </w:pPr>
    </w:p>
    <w:p w:rsidR="001C0B3C" w:rsidRPr="009E1575" w:rsidRDefault="00582084">
      <w:pPr>
        <w:pStyle w:val="Naslov2"/>
        <w:divId w:val="577517347"/>
        <w:rPr>
          <w:rFonts w:eastAsia="Times New Roman"/>
        </w:rPr>
      </w:pPr>
      <w:r w:rsidRPr="009E1575">
        <w:rPr>
          <w:rFonts w:eastAsia="Times New Roman"/>
        </w:rPr>
        <w:t>RASHODI</w:t>
      </w:r>
    </w:p>
    <w:tbl>
      <w:tblPr>
        <w:tblW w:w="4765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1584"/>
        <w:gridCol w:w="1266"/>
        <w:gridCol w:w="1584"/>
        <w:gridCol w:w="995"/>
        <w:gridCol w:w="995"/>
      </w:tblGrid>
      <w:tr w:rsidR="001C0B3C" w:rsidRPr="009E1575" w:rsidTr="009E1575">
        <w:trPr>
          <w:divId w:val="577517347"/>
        </w:trPr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5=4/2*100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6=4/3*100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 w:rsidP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549.512.355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1.176.917.895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597.485.462,62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108,7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50,8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 w:rsidP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239.636.182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954.164.220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304.596.763,05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127,1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31,9</w:t>
            </w:r>
          </w:p>
        </w:tc>
      </w:tr>
      <w:tr w:rsidR="001C0B3C" w:rsidRPr="009E1575" w:rsidTr="009E1575">
        <w:trPr>
          <w:divId w:val="577517347"/>
        </w:trPr>
        <w:tc>
          <w:tcPr>
            <w:tcW w:w="1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 w:rsidP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789.148.537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2.131.082.115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902.082.225,67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114,3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42,3</w:t>
            </w:r>
          </w:p>
        </w:tc>
      </w:tr>
    </w:tbl>
    <w:p w:rsidR="001C0B3C" w:rsidRPr="009E1575" w:rsidRDefault="001C0B3C">
      <w:pPr>
        <w:divId w:val="577517347"/>
        <w:rPr>
          <w:rFonts w:ascii="Times New Roman" w:eastAsia="Times New Roman" w:hAnsi="Times New Roman" w:cs="Times New Roman"/>
          <w:sz w:val="24"/>
          <w:szCs w:val="24"/>
        </w:rPr>
      </w:pPr>
    </w:p>
    <w:p w:rsidR="001C0B3C" w:rsidRPr="009E1575" w:rsidRDefault="00582084" w:rsidP="009E1575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>U prvom polugodištu 2022. godine Hrvatske autoceste d.o.o. ostvarile su ukupne rashode u visini od 902.082.226 kuna što čini 42,33% planiranih rashoda za tekuću godinu. Rashodi poslovanja u iznosu od 597.485.463 kune na razini su očekivanih, a odnose se na rashode za zaposlene, materijalne rashode za redovno održavanje autoceste i poslovanje te na financijske rashode, najvećim dijelom za kamat</w:t>
      </w:r>
      <w:bookmarkStart w:id="0" w:name="_GoBack"/>
      <w:bookmarkEnd w:id="0"/>
      <w:r w:rsidRPr="009E1575">
        <w:rPr>
          <w:rFonts w:ascii="Times New Roman" w:hAnsi="Times New Roman" w:cs="Times New Roman"/>
          <w:sz w:val="24"/>
          <w:szCs w:val="24"/>
        </w:rPr>
        <w:t>e po primljenim kreditima.</w:t>
      </w:r>
    </w:p>
    <w:p w:rsidR="001C0B3C" w:rsidRPr="009E1575" w:rsidRDefault="00582084" w:rsidP="009E1575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lastRenderedPageBreak/>
        <w:t>Rashodi za nabavu nefinancijske imovine ostvareni su u iznosu od 304.596.763 kune, 31,92% od planiranih za tekuću godinu, a od ukupnih ostvarenih rashoda za nabavu nefinancijske imovine na Program građenja i izvanrednog održavanja odnosi se 293.118.913 kuna. Projektno i financijski gledano najznačajniji projekti izgradnje u 2022. godini su nastavak građenja Autoceste A5 Granica Republike Mađarske – Beli Manastir – Osijek – Svilaj, dionica od Belog Manastira do mosta Halasica duljine 17,5 km, izgradnja zidova za zaštitu od buke sukladno Akcijskom planu, izvođenje radova na dogradnji čvora Dugopolje i rekonstrukcija i dogradnja unutarnje i vanjske odvodnje na dionici Maslenica – Zadar 1 na autocesti A1 Zagreb – Split – Dubrovnik, revitalizacija/obnova postojećih odmorišta, rekonstrukcija i dogradnja vodoopskrbe tunela na pravcu A6 Bosiljevo – Rijeka, izgradnja čvora Trinajstići na pravcu A7 Rupa – Rijeka – Žuta Lokva i drugo.</w:t>
      </w:r>
    </w:p>
    <w:p w:rsidR="001C0B3C" w:rsidRPr="009E1575" w:rsidRDefault="00582084" w:rsidP="009E1575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>Početkom godine započeti su građevinski radovi na nastavku izgradnje autoceste A7 Rupa – Rijeka – Žuta Lokva, sektor Križišće – Žuta Lokva, dionica od km 17+500,00 do km 25+144,55 kao i radovi na nastavku izgradnje autoceste A11 Zagreb – Sisak, dionice Lekenik – Sisak.</w:t>
      </w:r>
    </w:p>
    <w:p w:rsidR="001C0B3C" w:rsidRPr="009E1575" w:rsidRDefault="00582084" w:rsidP="009E1575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>U cilju produljena vijeka trajanja imovine te poboljšanja kvalitete i sigurnosti cestovnog prometa u 2022. godini izvode se radovi izvanrednog održavanja koji obuhvaćaju obnovu i rekonstrukciju kolničke konstrukcije i objekata, sanaciju odvodnje, prometne opreme i signalizacije, radove na centrima za održavanje i kontrolu prometa, radove na usklađenju tunela sa zahtjevima iz Pravilnika o minimalnim sigurnosnim zahtjevima za tunele u dijelu opreme, aktivnosti na uvođenju inteligentnih transportnih sustava u centre za održavanje i kontrolu prometa kroz implementaciju projekta Crocodile II Croatia i projekta Crocodile III Croatia. Isto tako u okviru izvanrednog održavanja su i sve aktivnosti koje se provode vezano uz sigurnost prometa na cestama kroz više projekata (sanacije potencijalno opasnih mjesta, zamjena promjenjive prometne signalizacije, aktivnosti vezane za rekonstrukciju sustava video nadzora i video detekcije i drugo).</w:t>
      </w:r>
    </w:p>
    <w:p w:rsidR="001C0B3C" w:rsidRPr="009E1575" w:rsidRDefault="001C0B3C">
      <w:pPr>
        <w:divId w:val="577517347"/>
        <w:rPr>
          <w:rFonts w:ascii="Times New Roman" w:eastAsia="Times New Roman" w:hAnsi="Times New Roman" w:cs="Times New Roman"/>
        </w:rPr>
      </w:pPr>
    </w:p>
    <w:p w:rsidR="001C0B3C" w:rsidRPr="009E1575" w:rsidRDefault="00582084">
      <w:pPr>
        <w:pStyle w:val="Naslov2"/>
        <w:divId w:val="577517347"/>
        <w:rPr>
          <w:rFonts w:eastAsia="Times New Roman"/>
        </w:rPr>
      </w:pPr>
      <w:r w:rsidRPr="009E1575">
        <w:rPr>
          <w:rFonts w:eastAsia="Times New Roman"/>
        </w:rPr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3"/>
        <w:gridCol w:w="1570"/>
        <w:gridCol w:w="2053"/>
        <w:gridCol w:w="1136"/>
      </w:tblGrid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2.924.975.800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1.537.771.739,22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52,6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PRIHODI OD PRODAJE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2.924.975.800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1.537.771.739,22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52,6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1.176.917.895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597.485.462,62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50,8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954.164.220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304.596.763,05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31,9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2.131.082.115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902.082.225,67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42,3</w:t>
            </w:r>
          </w:p>
        </w:tc>
      </w:tr>
      <w:tr w:rsidR="001C0B3C" w:rsidRPr="009E1575" w:rsidTr="009E1575">
        <w:trPr>
          <w:divId w:val="577517347"/>
        </w:trPr>
        <w:tc>
          <w:tcPr>
            <w:tcW w:w="2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RAZLIKA - VIŠAK/MANJAK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793.893.685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635.689.513,55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80,1</w:t>
            </w:r>
          </w:p>
        </w:tc>
      </w:tr>
    </w:tbl>
    <w:p w:rsidR="001C0B3C" w:rsidRDefault="001C0B3C">
      <w:pPr>
        <w:divId w:val="577517347"/>
        <w:rPr>
          <w:rFonts w:ascii="Times New Roman" w:eastAsia="Times New Roman" w:hAnsi="Times New Roman" w:cs="Times New Roman"/>
          <w:sz w:val="24"/>
          <w:szCs w:val="24"/>
        </w:rPr>
      </w:pPr>
    </w:p>
    <w:p w:rsidR="00E23253" w:rsidRPr="009E1575" w:rsidRDefault="00E23253">
      <w:pPr>
        <w:divId w:val="57751734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7"/>
        <w:gridCol w:w="1557"/>
        <w:gridCol w:w="2043"/>
        <w:gridCol w:w="995"/>
      </w:tblGrid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BROJČANA OZNAKA I NAZIV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IZVORNI PLAN 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OSTVARENJE/</w:t>
            </w: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IZVRŠENJE 1.-6. 2022.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INDEKS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4=3/2*100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370.500.000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148.297.307,25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1.576.994.891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685.694.096,17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43,5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1.140.667.233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1.137.659.809,00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PRIJENOS DEPOZITA U SLJEDEĆE RAZDOBLJE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-728.066.027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-1.235.952.533,63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169,8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-793.893.685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-635.689.513,55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80,1</w:t>
            </w:r>
          </w:p>
        </w:tc>
      </w:tr>
      <w:tr w:rsidR="001C0B3C" w:rsidRPr="009E1575" w:rsidTr="009E1575">
        <w:trPr>
          <w:divId w:val="577517347"/>
        </w:trPr>
        <w:tc>
          <w:tcPr>
            <w:tcW w:w="24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VIŠAK/MANJAK + 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582084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1575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1C0B3C" w:rsidRPr="009E1575" w:rsidRDefault="001C0B3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1C0B3C" w:rsidRPr="009E1575" w:rsidRDefault="001C0B3C">
      <w:pPr>
        <w:divId w:val="577517347"/>
        <w:rPr>
          <w:rFonts w:ascii="Times New Roman" w:eastAsia="Times New Roman" w:hAnsi="Times New Roman" w:cs="Times New Roman"/>
          <w:sz w:val="24"/>
          <w:szCs w:val="24"/>
        </w:rPr>
      </w:pPr>
    </w:p>
    <w:p w:rsidR="001C0B3C" w:rsidRPr="009E1575" w:rsidRDefault="00582084" w:rsidP="003E4425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 xml:space="preserve">Izdaci za otplatu glavnice primljenih kredita i zajmova u prvom polugodištu 2022. godine ostvareni su u iznosu od 685.694.096 kuna, a primici u iznosu od </w:t>
      </w:r>
      <w:r w:rsidR="003E4425">
        <w:rPr>
          <w:rFonts w:ascii="Times New Roman" w:hAnsi="Times New Roman" w:cs="Times New Roman"/>
          <w:sz w:val="24"/>
          <w:szCs w:val="24"/>
        </w:rPr>
        <w:t>148.297.307</w:t>
      </w:r>
      <w:r w:rsidRPr="009E1575">
        <w:rPr>
          <w:rFonts w:ascii="Times New Roman" w:hAnsi="Times New Roman" w:cs="Times New Roman"/>
          <w:sz w:val="24"/>
          <w:szCs w:val="24"/>
        </w:rPr>
        <w:t xml:space="preserve"> kune. </w:t>
      </w:r>
    </w:p>
    <w:p w:rsidR="001C0B3C" w:rsidRPr="009E1575" w:rsidRDefault="00582084" w:rsidP="0020560E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>Otplate glavnica (kreditnih obveza) izvršavane su pravovremeno, sukladno otplatnim planovima, a primici od zaduživanja realizirani su sukcesivno, prema dinamici građevinskih radova na izgradnji dionice Beli Manastir – Halasica na Autocesti A5 i dionice Selce – Novi Vinodolski na Autocesti A7, za koj</w:t>
      </w:r>
      <w:r w:rsidR="0020560E">
        <w:rPr>
          <w:rFonts w:ascii="Times New Roman" w:hAnsi="Times New Roman" w:cs="Times New Roman"/>
          <w:sz w:val="24"/>
          <w:szCs w:val="24"/>
        </w:rPr>
        <w:t>e</w:t>
      </w:r>
      <w:r w:rsidRPr="009E1575">
        <w:rPr>
          <w:rFonts w:ascii="Times New Roman" w:hAnsi="Times New Roman" w:cs="Times New Roman"/>
          <w:sz w:val="24"/>
          <w:szCs w:val="24"/>
        </w:rPr>
        <w:t xml:space="preserve"> je izvršena i </w:t>
      </w:r>
      <w:r w:rsidR="0020560E">
        <w:rPr>
          <w:rFonts w:ascii="Times New Roman" w:hAnsi="Times New Roman" w:cs="Times New Roman"/>
          <w:sz w:val="24"/>
          <w:szCs w:val="24"/>
        </w:rPr>
        <w:t>isplata</w:t>
      </w:r>
      <w:r w:rsidRPr="009E1575">
        <w:rPr>
          <w:rFonts w:ascii="Times New Roman" w:hAnsi="Times New Roman" w:cs="Times New Roman"/>
          <w:sz w:val="24"/>
          <w:szCs w:val="24"/>
        </w:rPr>
        <w:t xml:space="preserve"> predujma izvođaču radova za buduće građevinske radove. </w:t>
      </w:r>
    </w:p>
    <w:p w:rsidR="001C0B3C" w:rsidRPr="009E1575" w:rsidRDefault="00582084" w:rsidP="009E1575">
      <w:pPr>
        <w:spacing w:line="240" w:lineRule="auto"/>
        <w:ind w:right="79"/>
        <w:jc w:val="both"/>
        <w:divId w:val="577517347"/>
        <w:rPr>
          <w:rFonts w:ascii="Times New Roman" w:hAnsi="Times New Roman" w:cs="Times New Roman"/>
          <w:sz w:val="24"/>
          <w:szCs w:val="24"/>
        </w:rPr>
      </w:pPr>
      <w:r w:rsidRPr="009E1575">
        <w:rPr>
          <w:rFonts w:ascii="Times New Roman" w:hAnsi="Times New Roman" w:cs="Times New Roman"/>
          <w:sz w:val="24"/>
          <w:szCs w:val="24"/>
        </w:rPr>
        <w:t>Ostvareni suficit za promatrano razdoblje iznosi 635.689.514 kuna.</w:t>
      </w:r>
    </w:p>
    <w:sectPr w:rsidR="001C0B3C" w:rsidRPr="009E1575" w:rsidSect="006E7F4D">
      <w:footerReference w:type="default" r:id="rId6"/>
      <w:pgSz w:w="11906" w:h="16838"/>
      <w:pgMar w:top="1417" w:right="1417" w:bottom="1417" w:left="1417" w:header="708" w:footer="708" w:gutter="0"/>
      <w:pgNumType w:start="7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253" w:rsidRDefault="00E23253" w:rsidP="00E23253">
      <w:pPr>
        <w:spacing w:after="0" w:line="240" w:lineRule="auto"/>
      </w:pPr>
      <w:r>
        <w:separator/>
      </w:r>
    </w:p>
  </w:endnote>
  <w:endnote w:type="continuationSeparator" w:id="0">
    <w:p w:rsidR="00E23253" w:rsidRDefault="00E23253" w:rsidP="00E2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1672400"/>
      <w:docPartObj>
        <w:docPartGallery w:val="Page Numbers (Bottom of Page)"/>
        <w:docPartUnique/>
      </w:docPartObj>
    </w:sdtPr>
    <w:sdtEndPr/>
    <w:sdtContent>
      <w:p w:rsidR="00E23253" w:rsidRDefault="00E23253">
        <w:pPr>
          <w:pStyle w:val="Podnoje"/>
          <w:jc w:val="center"/>
        </w:pPr>
        <w:r w:rsidRPr="006E7F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7F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7F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7F4D">
          <w:rPr>
            <w:rFonts w:ascii="Times New Roman" w:hAnsi="Times New Roman" w:cs="Times New Roman"/>
            <w:noProof/>
            <w:sz w:val="24"/>
            <w:szCs w:val="24"/>
          </w:rPr>
          <w:t>786</w:t>
        </w:r>
        <w:r w:rsidRPr="006E7F4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23253" w:rsidRDefault="00E2325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253" w:rsidRDefault="00E23253" w:rsidP="00E23253">
      <w:pPr>
        <w:spacing w:after="0" w:line="240" w:lineRule="auto"/>
      </w:pPr>
      <w:r>
        <w:separator/>
      </w:r>
    </w:p>
  </w:footnote>
  <w:footnote w:type="continuationSeparator" w:id="0">
    <w:p w:rsidR="00E23253" w:rsidRDefault="00E23253" w:rsidP="00E23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F64"/>
    <w:rsid w:val="001C0B3C"/>
    <w:rsid w:val="0020560E"/>
    <w:rsid w:val="002D5E72"/>
    <w:rsid w:val="003E4425"/>
    <w:rsid w:val="00421F64"/>
    <w:rsid w:val="004B3FB0"/>
    <w:rsid w:val="00582084"/>
    <w:rsid w:val="006E7F4D"/>
    <w:rsid w:val="009E1575"/>
    <w:rsid w:val="00B53740"/>
    <w:rsid w:val="00E2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76118-3613-465B-B077-DFF6C677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E2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3253"/>
  </w:style>
  <w:style w:type="paragraph" w:styleId="Podnoje">
    <w:name w:val="footer"/>
    <w:basedOn w:val="Normal"/>
    <w:link w:val="PodnojeChar"/>
    <w:uiPriority w:val="99"/>
    <w:unhideWhenUsed/>
    <w:rsid w:val="00E2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253"/>
  </w:style>
  <w:style w:type="paragraph" w:styleId="Tekstbalonia">
    <w:name w:val="Balloon Text"/>
    <w:basedOn w:val="Normal"/>
    <w:link w:val="TekstbaloniaChar"/>
    <w:uiPriority w:val="99"/>
    <w:semiHidden/>
    <w:unhideWhenUsed/>
    <w:rsid w:val="006E7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7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17347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Mirta Hukman</cp:lastModifiedBy>
  <cp:revision>11</cp:revision>
  <cp:lastPrinted>2022-09-15T06:27:00Z</cp:lastPrinted>
  <dcterms:created xsi:type="dcterms:W3CDTF">2022-09-06T14:16:00Z</dcterms:created>
  <dcterms:modified xsi:type="dcterms:W3CDTF">2022-09-15T06:28:00Z</dcterms:modified>
</cp:coreProperties>
</file>