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00B" w:rsidRDefault="00BF600B" w:rsidP="00BF600B">
      <w:pPr>
        <w:pStyle w:val="Naslov2"/>
        <w:jc w:val="center"/>
        <w:divId w:val="1975019790"/>
        <w:rPr>
          <w:rFonts w:eastAsia="Times New Roman"/>
        </w:rPr>
      </w:pPr>
      <w:r w:rsidRPr="00BF600B">
        <w:rPr>
          <w:rFonts w:eastAsia="Times New Roman"/>
        </w:rPr>
        <w:t>OBRAZLOŽENJE IZVRŠENJA FINANCIJSKOG PLANA CENTRA ZA RESTRUKTURIRANJE I PRODAJU ZA PRVO POLUGODIŠTE 2022. GODINE</w:t>
      </w:r>
    </w:p>
    <w:p w:rsidR="00BF600B" w:rsidRDefault="00BF600B" w:rsidP="00BF600B">
      <w:pPr>
        <w:pStyle w:val="Naslov2"/>
        <w:jc w:val="center"/>
        <w:divId w:val="1975019790"/>
        <w:rPr>
          <w:rFonts w:eastAsia="Times New Roman"/>
        </w:rPr>
      </w:pPr>
    </w:p>
    <w:p w:rsidR="008C273A" w:rsidRPr="00EC5754" w:rsidRDefault="00C3470C" w:rsidP="000548EE">
      <w:pPr>
        <w:pStyle w:val="Naslov2"/>
        <w:divId w:val="1975019790"/>
        <w:rPr>
          <w:rFonts w:eastAsia="Times New Roman"/>
        </w:rPr>
      </w:pPr>
      <w:r w:rsidRPr="00EC5754">
        <w:rPr>
          <w:rFonts w:eastAsia="Times New Roman"/>
        </w:rPr>
        <w:t>PRIHODI</w:t>
      </w:r>
    </w:p>
    <w:tbl>
      <w:tblPr>
        <w:tblW w:w="4846" w:type="pc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7"/>
        <w:gridCol w:w="1622"/>
        <w:gridCol w:w="1200"/>
        <w:gridCol w:w="1622"/>
        <w:gridCol w:w="995"/>
        <w:gridCol w:w="1137"/>
      </w:tblGrid>
      <w:tr w:rsidR="008C273A" w:rsidRPr="00EC5754" w:rsidTr="0067230D">
        <w:trPr>
          <w:divId w:val="1975019790"/>
          <w:trHeight w:val="706"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8C273A" w:rsidRPr="00EC5754" w:rsidTr="0067230D">
        <w:trPr>
          <w:divId w:val="1975019790"/>
          <w:trHeight w:val="331"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8C273A" w:rsidRPr="00EC5754" w:rsidTr="0067230D">
        <w:trPr>
          <w:divId w:val="1975019790"/>
          <w:trHeight w:val="342"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DB6DF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5.526.162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47.040.000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 w:rsidP="00610BA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5.165.01</w:t>
            </w:r>
            <w:r w:rsidR="00610BA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,96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8C273A" w:rsidRPr="00EC5754" w:rsidTr="0067230D">
        <w:trPr>
          <w:divId w:val="1975019790"/>
          <w:trHeight w:val="513"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DB6DF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84.325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14.300.000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190.258,10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225,6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</w:tr>
      <w:tr w:rsidR="008C273A" w:rsidRPr="00EC5754" w:rsidTr="0067230D">
        <w:trPr>
          <w:divId w:val="1975019790"/>
          <w:trHeight w:val="342"/>
        </w:trPr>
        <w:tc>
          <w:tcPr>
            <w:tcW w:w="1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DB6DF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5.610.487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61.340.000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5.355.269,06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95,5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8,7</w:t>
            </w:r>
          </w:p>
        </w:tc>
      </w:tr>
    </w:tbl>
    <w:p w:rsidR="008C273A" w:rsidRPr="00BF600B" w:rsidRDefault="008C273A" w:rsidP="00F337B8">
      <w:pPr>
        <w:spacing w:line="240" w:lineRule="auto"/>
        <w:divId w:val="197501979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73A" w:rsidRPr="00BF600B" w:rsidRDefault="00C3470C">
      <w:pPr>
        <w:pStyle w:val="Odlomakpopisa"/>
        <w:spacing w:before="0" w:beforeAutospacing="0" w:after="120" w:afterAutospacing="0"/>
        <w:ind w:left="567" w:hanging="567"/>
        <w:jc w:val="both"/>
        <w:divId w:val="1975019790"/>
      </w:pPr>
      <w:r w:rsidRPr="00BF600B">
        <w:t xml:space="preserve">PRIHODI POSLOVANJA </w:t>
      </w:r>
    </w:p>
    <w:p w:rsidR="008C273A" w:rsidRPr="00065251" w:rsidRDefault="00C3470C">
      <w:pPr>
        <w:spacing w:before="100" w:beforeAutospacing="1" w:after="120"/>
        <w:jc w:val="both"/>
        <w:divId w:val="1975019790"/>
        <w:rPr>
          <w:rFonts w:ascii="Times New Roman" w:hAnsi="Times New Roman" w:cs="Times New Roman"/>
          <w:sz w:val="24"/>
          <w:szCs w:val="24"/>
        </w:rPr>
      </w:pPr>
      <w:r w:rsidRPr="00065251">
        <w:rPr>
          <w:rFonts w:ascii="Times New Roman" w:hAnsi="Times New Roman" w:cs="Times New Roman"/>
          <w:sz w:val="24"/>
          <w:szCs w:val="24"/>
        </w:rPr>
        <w:t>Centar za restrukturiranje i prodaju (dalje u tekstu: Centar) je za 2022. godinu planirao prihode poslovanja u iznosu od 47.040.000 kn, a za izvještajno razdoblje od siječnja do kraja lipnja 2022. godine isti su ostvareni u iznosu od 5.165.011 kn ili 10,98% plana i odnose se na:</w:t>
      </w:r>
    </w:p>
    <w:p w:rsidR="00A758A4" w:rsidRDefault="00C3470C" w:rsidP="00A758A4">
      <w:pPr>
        <w:pStyle w:val="Odlomakpopisa"/>
        <w:numPr>
          <w:ilvl w:val="0"/>
          <w:numId w:val="8"/>
        </w:numPr>
        <w:spacing w:before="0" w:beforeAutospacing="0" w:after="120" w:afterAutospacing="0"/>
        <w:ind w:left="725" w:right="5"/>
        <w:jc w:val="both"/>
        <w:divId w:val="1975019790"/>
      </w:pPr>
      <w:r w:rsidRPr="00065251">
        <w:rPr>
          <w:b/>
          <w:bCs/>
        </w:rPr>
        <w:t>Prihodi od financijske imovine</w:t>
      </w:r>
      <w:r w:rsidRPr="00065251">
        <w:t xml:space="preserve"> - ostvareni su u iznosu 807.441 kn, a u najvećoj mjeri se odnose na prihode od zateznih kamata (265.085 kn), prihode od dividendi (59.985 kn), prihode od kamata na oročena sredstva i depozite po viđenju (17.571 kn) i ostale prihode od financijske imovine (464.801 kn);</w:t>
      </w:r>
    </w:p>
    <w:p w:rsidR="00A758A4" w:rsidRDefault="00C3470C" w:rsidP="00A758A4">
      <w:pPr>
        <w:pStyle w:val="Odlomakpopisa"/>
        <w:numPr>
          <w:ilvl w:val="0"/>
          <w:numId w:val="8"/>
        </w:numPr>
        <w:spacing w:before="0" w:beforeAutospacing="0" w:after="120" w:afterAutospacing="0"/>
        <w:ind w:left="730" w:right="10"/>
        <w:jc w:val="both"/>
        <w:divId w:val="1975019790"/>
      </w:pPr>
      <w:r w:rsidRPr="00A758A4">
        <w:rPr>
          <w:b/>
          <w:bCs/>
        </w:rPr>
        <w:t>Prihodi od nefinancijske imovine</w:t>
      </w:r>
      <w:r w:rsidRPr="00065251">
        <w:t xml:space="preserve"> - ostvareni su u iznosu od 304.786 kn i odnose se na prihode od zakupa i najma;</w:t>
      </w:r>
    </w:p>
    <w:p w:rsidR="00A758A4" w:rsidRDefault="00C3470C" w:rsidP="00A758A4">
      <w:pPr>
        <w:pStyle w:val="Odlomakpopisa"/>
        <w:numPr>
          <w:ilvl w:val="0"/>
          <w:numId w:val="8"/>
        </w:numPr>
        <w:spacing w:before="0" w:beforeAutospacing="0" w:after="120" w:afterAutospacing="0"/>
        <w:ind w:left="735" w:right="10"/>
        <w:jc w:val="both"/>
        <w:divId w:val="1975019790"/>
      </w:pPr>
      <w:r w:rsidRPr="00A758A4">
        <w:rPr>
          <w:b/>
          <w:bCs/>
        </w:rPr>
        <w:t>Prihodi od kamata na dane zajmove</w:t>
      </w:r>
      <w:r w:rsidRPr="00065251">
        <w:t xml:space="preserve"> - ostvareni su u iznosu od 53.878 kn i u najvećoj mjeri se odnose na prihode od redovnih kamata po danim zajmovima iz ranijih razdoblja te po sklopljenim </w:t>
      </w:r>
      <w:r w:rsidR="00026DFD" w:rsidRPr="00065251">
        <w:t>pred stečajnim</w:t>
      </w:r>
      <w:r w:rsidRPr="00065251">
        <w:t xml:space="preserve"> nagodbama;</w:t>
      </w:r>
    </w:p>
    <w:p w:rsidR="00A758A4" w:rsidRDefault="00C3470C" w:rsidP="00A758A4">
      <w:pPr>
        <w:pStyle w:val="Odlomakpopisa"/>
        <w:numPr>
          <w:ilvl w:val="0"/>
          <w:numId w:val="8"/>
        </w:numPr>
        <w:spacing w:before="0" w:beforeAutospacing="0" w:after="120" w:afterAutospacing="0"/>
        <w:ind w:left="740" w:right="15"/>
        <w:jc w:val="both"/>
        <w:divId w:val="1975019790"/>
      </w:pPr>
      <w:r w:rsidRPr="00A758A4">
        <w:rPr>
          <w:b/>
          <w:bCs/>
        </w:rPr>
        <w:t>Prihodi od pruženih usluga</w:t>
      </w:r>
      <w:r w:rsidRPr="00065251">
        <w:t xml:space="preserve"> - ostvareni su u sveukupnom iznosu od 3.082.328 kn, a odnose na prihode od naknade za realiziranu prodaju dionica/poslovnih udjela i naknade za naplaćenu dividendu za trgovačka društva iz portfelja RH i HZMO-a sukladno odredbama Odluke o visini naknade za upravljanje i raspolaganje dionicama i udjelima kojima upravlja Centar za restrukturiranje i prodaju ("Narodne novine" broj 39/2019), na prihode od izdane ponudbene dokumentacije, na prihode od izdanih iskaza nekretnina i na prihode od pruženih usluga fotokopiranja;</w:t>
      </w:r>
    </w:p>
    <w:p w:rsidR="008C273A" w:rsidRPr="00065251" w:rsidRDefault="00C3470C" w:rsidP="00A758A4">
      <w:pPr>
        <w:pStyle w:val="Odlomakpopisa"/>
        <w:numPr>
          <w:ilvl w:val="0"/>
          <w:numId w:val="8"/>
        </w:numPr>
        <w:spacing w:before="0" w:beforeAutospacing="0" w:after="120" w:afterAutospacing="0"/>
        <w:ind w:left="740" w:right="15"/>
        <w:jc w:val="both"/>
        <w:divId w:val="1975019790"/>
      </w:pPr>
      <w:r w:rsidRPr="00A758A4">
        <w:rPr>
          <w:b/>
          <w:bCs/>
        </w:rPr>
        <w:t>Ostali prihodi</w:t>
      </w:r>
      <w:r w:rsidRPr="00065251">
        <w:t xml:space="preserve"> - ostvareni su u iznosu od 916.578 kn, a odnose se na prihode od parničnih troškova (62.021 kn), prihode po sklopljenim nagodbama i sporazumima (239.671 kn), prihode od režijskih troškova koji se u najvećoj mjeri odnose na refundaciju troškova sukladno Sporazumu o raspodjeli i načinu plaćanja troškova nekretnine u Zagrebu, Ivana Lučića 6-8 od 25.07.2017. godine (463.962 kn), prihode od nadoknade troškova od upravljanja dionicama i poslovnim udjelima (140.803 kn) te na ostale prihode (10.121 kn).</w:t>
      </w:r>
    </w:p>
    <w:p w:rsidR="00C134B5" w:rsidRPr="00A95DB5" w:rsidRDefault="00C134B5" w:rsidP="00C134B5">
      <w:pPr>
        <w:pStyle w:val="Odlomakpopisa"/>
        <w:spacing w:before="0" w:beforeAutospacing="0" w:after="120" w:afterAutospacing="0"/>
        <w:ind w:left="365" w:right="5"/>
        <w:jc w:val="both"/>
        <w:divId w:val="1975019790"/>
        <w:rPr>
          <w:sz w:val="20"/>
        </w:rPr>
      </w:pPr>
      <w:bookmarkStart w:id="0" w:name="_GoBack"/>
      <w:bookmarkEnd w:id="0"/>
    </w:p>
    <w:p w:rsidR="008C273A" w:rsidRPr="00065251" w:rsidRDefault="00C3470C" w:rsidP="00065251">
      <w:pPr>
        <w:pStyle w:val="Odlomakpopisa"/>
        <w:spacing w:before="0" w:beforeAutospacing="0" w:after="120" w:afterAutospacing="0"/>
        <w:ind w:left="567" w:hanging="567"/>
        <w:jc w:val="both"/>
        <w:divId w:val="1975019790"/>
      </w:pPr>
      <w:r w:rsidRPr="00065251">
        <w:lastRenderedPageBreak/>
        <w:t>PRIHODI OD PRODAJE NEFINANCIJSKE IMOVINE</w:t>
      </w:r>
    </w:p>
    <w:p w:rsidR="000548EE" w:rsidRPr="00065251" w:rsidRDefault="00C3470C" w:rsidP="00F911B3">
      <w:pPr>
        <w:spacing w:before="100" w:beforeAutospacing="1"/>
        <w:jc w:val="both"/>
        <w:divId w:val="1975019790"/>
        <w:rPr>
          <w:rFonts w:ascii="Times New Roman" w:hAnsi="Times New Roman" w:cs="Times New Roman"/>
          <w:sz w:val="24"/>
          <w:szCs w:val="24"/>
        </w:rPr>
      </w:pPr>
      <w:r w:rsidRPr="00065251">
        <w:rPr>
          <w:rFonts w:ascii="Times New Roman" w:hAnsi="Times New Roman" w:cs="Times New Roman"/>
          <w:sz w:val="24"/>
          <w:szCs w:val="24"/>
        </w:rPr>
        <w:t>Centar je za 2022. godinu planirao prihode od prodaje nefinancijske imovine u iznosu od 14.300.000 kn, a za izvještajno razdoblje od siječnja do kraja lipnja 2022. godine isti su ostvareni u iznosu od 190.258 kn ili 1,33% plana i odnose se na prihode od prodanih nekretnina u vlasništvu Centra te na prihode od stanova na kojima postoji stanarsko pravo po kojima su, rješenjima trgovačkih sudova, potraživanja prenesena na pravne prednike Centra. </w:t>
      </w:r>
    </w:p>
    <w:p w:rsidR="008C273A" w:rsidRPr="00065251" w:rsidRDefault="00C3470C" w:rsidP="000548EE">
      <w:pPr>
        <w:pStyle w:val="Naslov2"/>
        <w:divId w:val="1975019790"/>
        <w:rPr>
          <w:rFonts w:eastAsia="Times New Roman"/>
        </w:rPr>
      </w:pPr>
      <w:r w:rsidRPr="00065251">
        <w:rPr>
          <w:rFonts w:eastAsia="Times New Roman"/>
        </w:rPr>
        <w:t>RASHODI</w:t>
      </w:r>
    </w:p>
    <w:tbl>
      <w:tblPr>
        <w:tblW w:w="4858" w:type="pc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8"/>
        <w:gridCol w:w="1637"/>
        <w:gridCol w:w="1214"/>
        <w:gridCol w:w="1637"/>
        <w:gridCol w:w="995"/>
        <w:gridCol w:w="995"/>
      </w:tblGrid>
      <w:tr w:rsidR="000F4734" w:rsidRPr="00EC5754" w:rsidTr="000F4734">
        <w:trPr>
          <w:divId w:val="1975019790"/>
          <w:trHeight w:val="738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0F4734" w:rsidRPr="00EC5754" w:rsidTr="000F4734">
        <w:trPr>
          <w:divId w:val="1975019790"/>
          <w:trHeight w:val="346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8C273A" w:rsidRPr="00EC5754" w:rsidTr="000F4734">
        <w:trPr>
          <w:divId w:val="1975019790"/>
          <w:trHeight w:val="358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 w:rsidP="00EC575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11.057.48</w:t>
            </w:r>
            <w:r w:rsidR="00EC5754"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75.280.000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10.181.887,32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13,5</w:t>
            </w:r>
          </w:p>
        </w:tc>
      </w:tr>
      <w:tr w:rsidR="008C273A" w:rsidRPr="00EC5754" w:rsidTr="000F4734">
        <w:trPr>
          <w:divId w:val="1975019790"/>
          <w:trHeight w:val="537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902F1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202.917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3.060.000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66.636,24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32,8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</w:tr>
      <w:tr w:rsidR="008C273A" w:rsidRPr="00EC5754" w:rsidTr="000F4734">
        <w:trPr>
          <w:divId w:val="1975019790"/>
          <w:trHeight w:val="358"/>
        </w:trPr>
        <w:tc>
          <w:tcPr>
            <w:tcW w:w="1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902F13" w:rsidP="00005D99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11.260.40</w:t>
            </w:r>
            <w:r w:rsidR="00005D9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78.340.000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10.248.523,56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91,0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13,1</w:t>
            </w:r>
          </w:p>
        </w:tc>
      </w:tr>
    </w:tbl>
    <w:p w:rsidR="008C273A" w:rsidRPr="00EC5754" w:rsidRDefault="008C273A">
      <w:pPr>
        <w:divId w:val="1975019790"/>
        <w:rPr>
          <w:rFonts w:ascii="Times New Roman" w:eastAsia="Times New Roman" w:hAnsi="Times New Roman" w:cs="Times New Roman"/>
          <w:sz w:val="24"/>
          <w:szCs w:val="24"/>
        </w:rPr>
      </w:pPr>
    </w:p>
    <w:p w:rsidR="008C273A" w:rsidRPr="00B60C1C" w:rsidRDefault="00C3470C" w:rsidP="00B60C1C">
      <w:pPr>
        <w:pStyle w:val="Odlomakpopisa"/>
        <w:spacing w:before="0" w:beforeAutospacing="0" w:after="120" w:afterAutospacing="0"/>
        <w:ind w:left="567" w:hanging="567"/>
        <w:jc w:val="both"/>
        <w:divId w:val="1975019790"/>
      </w:pPr>
      <w:r w:rsidRPr="00B60C1C">
        <w:t>RASHODI POSLOVANJA</w:t>
      </w:r>
    </w:p>
    <w:p w:rsidR="008C273A" w:rsidRPr="00B60C1C" w:rsidRDefault="00C3470C">
      <w:pPr>
        <w:spacing w:before="100" w:beforeAutospacing="1" w:after="120"/>
        <w:jc w:val="both"/>
        <w:divId w:val="1975019790"/>
        <w:rPr>
          <w:rFonts w:ascii="Times New Roman" w:hAnsi="Times New Roman" w:cs="Times New Roman"/>
          <w:sz w:val="24"/>
          <w:szCs w:val="24"/>
        </w:rPr>
      </w:pPr>
      <w:r w:rsidRPr="00B60C1C">
        <w:rPr>
          <w:rFonts w:ascii="Times New Roman" w:hAnsi="Times New Roman" w:cs="Times New Roman"/>
          <w:sz w:val="24"/>
          <w:szCs w:val="24"/>
        </w:rPr>
        <w:t>Centar je za 2022. godinu planirao rashode poslovanja u iznosu od 75.280.000 kn, a za izvještajno razdoblje od siječnja do kraja lipnja 2022. godine isti su ostvareni u iznosu od 10.181.887 kn ili 13,53% plana i odnose se na:</w:t>
      </w:r>
    </w:p>
    <w:p w:rsidR="00EE4D8D" w:rsidRDefault="00C3470C" w:rsidP="00EE4D8D">
      <w:pPr>
        <w:pStyle w:val="Odlomakpopisa"/>
        <w:numPr>
          <w:ilvl w:val="0"/>
          <w:numId w:val="8"/>
        </w:numPr>
        <w:spacing w:before="0" w:beforeAutospacing="0" w:after="120" w:afterAutospacing="0"/>
        <w:ind w:left="725" w:right="5"/>
        <w:jc w:val="both"/>
        <w:divId w:val="1975019790"/>
      </w:pPr>
      <w:r w:rsidRPr="00B60C1C">
        <w:rPr>
          <w:b/>
          <w:bCs/>
        </w:rPr>
        <w:t>Rashodi za zaposlene</w:t>
      </w:r>
      <w:r w:rsidRPr="00B60C1C">
        <w:t xml:space="preserve"> - ostvareni su u iznosu od 7.136.488 kn, a odnose se na bruto plaće i doprinose te na isplate jubilarnih nagrada, pomoći i slično;</w:t>
      </w:r>
    </w:p>
    <w:p w:rsidR="00EE4D8D" w:rsidRDefault="00C3470C" w:rsidP="00EE4D8D">
      <w:pPr>
        <w:pStyle w:val="Odlomakpopisa"/>
        <w:numPr>
          <w:ilvl w:val="0"/>
          <w:numId w:val="8"/>
        </w:numPr>
        <w:spacing w:before="0" w:beforeAutospacing="0" w:after="120" w:afterAutospacing="0"/>
        <w:ind w:left="730" w:right="10"/>
        <w:jc w:val="both"/>
        <w:divId w:val="1975019790"/>
      </w:pPr>
      <w:r w:rsidRPr="00EE4D8D">
        <w:rPr>
          <w:b/>
          <w:bCs/>
        </w:rPr>
        <w:t>Materijalni rashodi</w:t>
      </w:r>
      <w:r w:rsidRPr="00B60C1C">
        <w:t xml:space="preserve"> - ostvareni su u iznosu 3.015.595 kn, a odnose se na naknade troškova zaposlenima u iznosu od 251.354 kn, rashode za materijal i energiju u iznosu od 826.871 kn, rashode za usluge u iznosu od 1.748.226 kn (od toga intelektualne i osobne usluge iznose 941.354 kn) te na ostale nespomenute rashode poslovanja u iznosu od 189.145 kn (od toga troškovi sudskih postupaka iznose 123.041 kn);</w:t>
      </w:r>
    </w:p>
    <w:p w:rsidR="008C273A" w:rsidRDefault="00C3470C" w:rsidP="00EE4D8D">
      <w:pPr>
        <w:pStyle w:val="Odlomakpopisa"/>
        <w:numPr>
          <w:ilvl w:val="0"/>
          <w:numId w:val="8"/>
        </w:numPr>
        <w:spacing w:before="0" w:beforeAutospacing="0" w:after="120" w:afterAutospacing="0"/>
        <w:ind w:left="730" w:right="10"/>
        <w:jc w:val="both"/>
        <w:divId w:val="1975019790"/>
      </w:pPr>
      <w:r w:rsidRPr="00EE4D8D">
        <w:rPr>
          <w:b/>
          <w:bCs/>
        </w:rPr>
        <w:t>Financijski rashodi</w:t>
      </w:r>
      <w:r w:rsidRPr="00B60C1C">
        <w:t xml:space="preserve"> - ostvareni su u iznosu od 29.804 kn, a odnose se na bankarske usluge i usluge platnog prometa u iznosu od 29.780 kn te na zatezne kamate u iznosu od 24 kn.</w:t>
      </w:r>
    </w:p>
    <w:p w:rsidR="00085B55" w:rsidRPr="00B60C1C" w:rsidRDefault="00085B55" w:rsidP="00085B55">
      <w:pPr>
        <w:spacing w:line="240" w:lineRule="auto"/>
        <w:ind w:left="5" w:right="5"/>
        <w:jc w:val="both"/>
        <w:divId w:val="1975019790"/>
      </w:pPr>
    </w:p>
    <w:p w:rsidR="008C273A" w:rsidRPr="00B60C1C" w:rsidRDefault="00C3470C">
      <w:pPr>
        <w:pStyle w:val="Odlomakpopisa"/>
        <w:spacing w:before="0" w:beforeAutospacing="0" w:after="120" w:afterAutospacing="0"/>
        <w:ind w:left="567" w:hanging="567"/>
        <w:jc w:val="both"/>
        <w:divId w:val="1975019790"/>
      </w:pPr>
      <w:r w:rsidRPr="00B60C1C">
        <w:t>RASHODI ZA NABAVU NEFINANCIJSKE IMOVINE</w:t>
      </w:r>
    </w:p>
    <w:p w:rsidR="005C2A61" w:rsidRDefault="00C3470C" w:rsidP="005C2A61">
      <w:pPr>
        <w:spacing w:before="100" w:beforeAutospacing="1" w:after="100" w:afterAutospacing="1"/>
        <w:jc w:val="both"/>
        <w:divId w:val="1975019790"/>
        <w:rPr>
          <w:rFonts w:ascii="Times New Roman" w:hAnsi="Times New Roman" w:cs="Times New Roman"/>
          <w:sz w:val="24"/>
          <w:szCs w:val="24"/>
        </w:rPr>
      </w:pPr>
      <w:r w:rsidRPr="00B60C1C">
        <w:rPr>
          <w:rFonts w:ascii="Times New Roman" w:hAnsi="Times New Roman" w:cs="Times New Roman"/>
          <w:sz w:val="24"/>
          <w:szCs w:val="24"/>
        </w:rPr>
        <w:t>Centar je za 2022. godinu planirao rashode za nabavu nefinancijske imovine u iznosu 3.060.000 kn, a u izvještajnom razdoblju od siječnja do kraja lipnja 2022. godine isti su ostvareni u iznosu od 66.636 kn ili 2,18% plana i odnose se na nabavu uredske opreme i namještaja u iznosu 57.309 kn, na nabavu uređaja, strojeva i opreme za ostale namjene u iznosu od 9.310 kn te na nabavu komunikacijske opreme u iznosu od 17 kn.</w:t>
      </w:r>
    </w:p>
    <w:p w:rsidR="00BF600B" w:rsidRDefault="00BF600B" w:rsidP="005C2A61">
      <w:pPr>
        <w:pStyle w:val="Naslov2"/>
        <w:divId w:val="1975019790"/>
        <w:rPr>
          <w:rFonts w:eastAsia="Times New Roman"/>
        </w:rPr>
      </w:pPr>
    </w:p>
    <w:p w:rsidR="008C273A" w:rsidRPr="00EC5754" w:rsidRDefault="00C3470C" w:rsidP="005C2A61">
      <w:pPr>
        <w:pStyle w:val="Naslov2"/>
        <w:divId w:val="1975019790"/>
        <w:rPr>
          <w:rFonts w:eastAsia="Times New Roman"/>
        </w:rPr>
      </w:pPr>
      <w:r w:rsidRPr="00B60C1C">
        <w:rPr>
          <w:rFonts w:eastAsia="Times New Roman"/>
        </w:rPr>
        <w:lastRenderedPageBreak/>
        <w:t>RAČUN FINANCIRANJA</w:t>
      </w:r>
    </w:p>
    <w:tbl>
      <w:tblPr>
        <w:tblW w:w="4856" w:type="pct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8"/>
        <w:gridCol w:w="1620"/>
        <w:gridCol w:w="2119"/>
        <w:gridCol w:w="995"/>
      </w:tblGrid>
      <w:tr w:rsidR="008C273A" w:rsidRPr="00EC5754" w:rsidTr="000F4734">
        <w:trPr>
          <w:divId w:val="1975019790"/>
          <w:trHeight w:val="552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8C273A" w:rsidRPr="00EC5754" w:rsidTr="000F4734">
        <w:trPr>
          <w:divId w:val="1975019790"/>
          <w:trHeight w:val="349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8C273A" w:rsidRPr="00EC5754" w:rsidTr="000F4734">
        <w:trPr>
          <w:divId w:val="1975019790"/>
          <w:trHeight w:val="361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47.040.000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5.165.010,96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8C273A" w:rsidRPr="00EC5754" w:rsidTr="000F4734">
        <w:trPr>
          <w:divId w:val="1975019790"/>
          <w:trHeight w:val="349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14.300.000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190.258,10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</w:tr>
      <w:tr w:rsidR="008C273A" w:rsidRPr="00EC5754" w:rsidTr="000F4734">
        <w:trPr>
          <w:divId w:val="1975019790"/>
          <w:trHeight w:val="349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61.340.000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5.355.269,06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8,7</w:t>
            </w:r>
          </w:p>
        </w:tc>
      </w:tr>
      <w:tr w:rsidR="008C273A" w:rsidRPr="00EC5754" w:rsidTr="000F4734">
        <w:trPr>
          <w:divId w:val="1975019790"/>
          <w:trHeight w:val="361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75.280.000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10.181.887,32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13,5</w:t>
            </w:r>
          </w:p>
        </w:tc>
      </w:tr>
      <w:tr w:rsidR="008C273A" w:rsidRPr="00EC5754" w:rsidTr="000F4734">
        <w:trPr>
          <w:divId w:val="1975019790"/>
          <w:trHeight w:val="349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3.060.000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66.636,24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</w:tr>
      <w:tr w:rsidR="008C273A" w:rsidRPr="00EC5754" w:rsidTr="000F4734">
        <w:trPr>
          <w:divId w:val="1975019790"/>
          <w:trHeight w:val="361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78.340.000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10.248.523,56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8C273A" w:rsidRPr="00EC5754" w:rsidTr="000F4734">
        <w:trPr>
          <w:divId w:val="1975019790"/>
          <w:trHeight w:val="349"/>
        </w:trPr>
        <w:tc>
          <w:tcPr>
            <w:tcW w:w="2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-17.000.000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-4.893.254,50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28,8</w:t>
            </w:r>
          </w:p>
        </w:tc>
      </w:tr>
    </w:tbl>
    <w:p w:rsidR="008C273A" w:rsidRPr="00EC5754" w:rsidRDefault="008C273A">
      <w:pPr>
        <w:divId w:val="197501979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55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2"/>
        <w:gridCol w:w="1563"/>
        <w:gridCol w:w="2043"/>
        <w:gridCol w:w="1052"/>
      </w:tblGrid>
      <w:tr w:rsidR="008C273A" w:rsidRPr="00EC5754" w:rsidTr="000F4734">
        <w:trPr>
          <w:divId w:val="1975019790"/>
          <w:trHeight w:val="539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8C273A" w:rsidRPr="00EC5754" w:rsidTr="000F4734">
        <w:trPr>
          <w:divId w:val="1975019790"/>
          <w:trHeight w:val="341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8C273A" w:rsidRPr="00EC5754" w:rsidTr="000F4734">
        <w:trPr>
          <w:divId w:val="1975019790"/>
          <w:trHeight w:val="353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45.500.000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11.794.989,03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25,9</w:t>
            </w:r>
          </w:p>
        </w:tc>
      </w:tr>
      <w:tr w:rsidR="008C273A" w:rsidRPr="00EC5754" w:rsidTr="000F4734">
        <w:trPr>
          <w:divId w:val="1975019790"/>
          <w:trHeight w:val="341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8C273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C273A" w:rsidRPr="00EC5754" w:rsidTr="000F4734">
        <w:trPr>
          <w:divId w:val="1975019790"/>
          <w:trHeight w:val="341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185.088.275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922D0" w:rsidRDefault="00C3470C" w:rsidP="00E922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22D0">
              <w:rPr>
                <w:rFonts w:ascii="Times New Roman" w:eastAsia="Times New Roman" w:hAnsi="Times New Roman" w:cs="Times New Roman"/>
                <w:sz w:val="16"/>
                <w:szCs w:val="16"/>
              </w:rPr>
              <w:t>185.088.27</w:t>
            </w:r>
            <w:r w:rsidR="00E922D0" w:rsidRPr="00E922D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E922D0">
              <w:rPr>
                <w:rFonts w:ascii="Times New Roman" w:eastAsia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8C273A" w:rsidRPr="00EC5754" w:rsidTr="000F4734">
        <w:trPr>
          <w:divId w:val="1975019790"/>
          <w:trHeight w:val="353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-213.588.275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922D0" w:rsidRDefault="00C3470C" w:rsidP="00E922D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922D0">
              <w:rPr>
                <w:rFonts w:ascii="Times New Roman" w:eastAsia="Times New Roman" w:hAnsi="Times New Roman" w:cs="Times New Roman"/>
                <w:sz w:val="16"/>
                <w:szCs w:val="16"/>
              </w:rPr>
              <w:t>-191.990.00</w:t>
            </w:r>
            <w:r w:rsidR="00E922D0" w:rsidRPr="00E922D0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E922D0">
              <w:rPr>
                <w:rFonts w:ascii="Times New Roman" w:eastAsia="Times New Roman" w:hAnsi="Times New Roman" w:cs="Times New Roman"/>
                <w:sz w:val="16"/>
                <w:szCs w:val="16"/>
              </w:rPr>
              <w:t>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89,9</w:t>
            </w:r>
          </w:p>
        </w:tc>
      </w:tr>
      <w:tr w:rsidR="008C273A" w:rsidRPr="00EC5754" w:rsidTr="000F4734">
        <w:trPr>
          <w:divId w:val="1975019790"/>
          <w:trHeight w:val="341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17.000.000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4.893.254,50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28,8</w:t>
            </w:r>
          </w:p>
        </w:tc>
      </w:tr>
      <w:tr w:rsidR="008C273A" w:rsidRPr="00EC5754" w:rsidTr="000F4734">
        <w:trPr>
          <w:divId w:val="1975019790"/>
          <w:trHeight w:val="353"/>
        </w:trPr>
        <w:tc>
          <w:tcPr>
            <w:tcW w:w="2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C3470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75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8C273A" w:rsidRPr="00EC5754" w:rsidRDefault="008C273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C273A" w:rsidRPr="00EC5754" w:rsidRDefault="008C273A">
      <w:pPr>
        <w:divId w:val="1975019790"/>
        <w:rPr>
          <w:rFonts w:ascii="Times New Roman" w:eastAsia="Times New Roman" w:hAnsi="Times New Roman" w:cs="Times New Roman"/>
          <w:sz w:val="24"/>
          <w:szCs w:val="24"/>
        </w:rPr>
      </w:pPr>
    </w:p>
    <w:p w:rsidR="008C273A" w:rsidRPr="00355560" w:rsidRDefault="00C3470C">
      <w:pPr>
        <w:pStyle w:val="Odlomakpopisa"/>
        <w:spacing w:before="0" w:beforeAutospacing="0" w:after="120" w:afterAutospacing="0"/>
        <w:ind w:left="567" w:hanging="567"/>
        <w:jc w:val="both"/>
        <w:divId w:val="1975019790"/>
      </w:pPr>
      <w:r w:rsidRPr="00355560">
        <w:t>PRIMICI OD FINANCIJSKE IMOVINE I ZADUŽIVANJA</w:t>
      </w:r>
    </w:p>
    <w:p w:rsidR="008C273A" w:rsidRPr="00355560" w:rsidRDefault="00C3470C">
      <w:pPr>
        <w:spacing w:before="100" w:beforeAutospacing="1" w:after="120"/>
        <w:jc w:val="both"/>
        <w:divId w:val="1975019790"/>
        <w:rPr>
          <w:rFonts w:ascii="Times New Roman" w:hAnsi="Times New Roman" w:cs="Times New Roman"/>
          <w:sz w:val="24"/>
          <w:szCs w:val="24"/>
        </w:rPr>
      </w:pPr>
      <w:r w:rsidRPr="00355560">
        <w:rPr>
          <w:rFonts w:ascii="Times New Roman" w:hAnsi="Times New Roman" w:cs="Times New Roman"/>
          <w:sz w:val="24"/>
          <w:szCs w:val="24"/>
        </w:rPr>
        <w:t>Centar je za 2022. godinu planirao primitke od financijske imovine i zaduživanja u iznosu 45.500.000 kn, a u izvještajnom razdoblju od siječnja do kraja lipnja 2022. godine isti su ostvareni u iznosu od 11.794.989 kn ili 25,92% plana i odnose se na:</w:t>
      </w:r>
    </w:p>
    <w:p w:rsidR="00EE4D8D" w:rsidRDefault="00C3470C" w:rsidP="00EE4D8D">
      <w:pPr>
        <w:pStyle w:val="Odlomakpopisa"/>
        <w:numPr>
          <w:ilvl w:val="0"/>
          <w:numId w:val="8"/>
        </w:numPr>
        <w:spacing w:before="0" w:beforeAutospacing="0" w:after="120" w:afterAutospacing="0"/>
        <w:ind w:left="725" w:right="5"/>
        <w:jc w:val="both"/>
        <w:divId w:val="1975019790"/>
      </w:pPr>
      <w:r w:rsidRPr="00355560">
        <w:rPr>
          <w:b/>
          <w:bCs/>
        </w:rPr>
        <w:t>Primljeni povrati glavnica danih zajmova i depozita</w:t>
      </w:r>
      <w:r w:rsidRPr="00355560">
        <w:t xml:space="preserve"> - ostvareni su u iznosu od 1.302.256 kn, a odnose se na primitke (povrate) glavnice zajmova (DE-FOS d.o.o., Kutina), na primitke po sklopljenim pred</w:t>
      </w:r>
      <w:r w:rsidR="00E55761" w:rsidRPr="00355560">
        <w:t xml:space="preserve"> </w:t>
      </w:r>
      <w:r w:rsidRPr="00355560">
        <w:t>stečajnim nagodbama (ADRIADIESEL d.d., Karlovac) te stečajnim postupcima (KOGRAD d.o.o., Zagreb);</w:t>
      </w:r>
    </w:p>
    <w:p w:rsidR="008C273A" w:rsidRPr="00355560" w:rsidRDefault="00C3470C" w:rsidP="00EE4D8D">
      <w:pPr>
        <w:pStyle w:val="Odlomakpopisa"/>
        <w:numPr>
          <w:ilvl w:val="0"/>
          <w:numId w:val="8"/>
        </w:numPr>
        <w:spacing w:before="0" w:beforeAutospacing="0" w:after="120" w:afterAutospacing="0"/>
        <w:ind w:left="725" w:right="5"/>
        <w:jc w:val="both"/>
        <w:divId w:val="1975019790"/>
      </w:pPr>
      <w:r w:rsidRPr="00EE4D8D">
        <w:rPr>
          <w:b/>
          <w:bCs/>
        </w:rPr>
        <w:t>Primici od prodaje dionica i udjela u glavnici</w:t>
      </w:r>
      <w:r w:rsidRPr="00355560">
        <w:t xml:space="preserve"> - ostvareni su u ukupnom iznosu od 10.492.733 kn, a u najvećoj mjeri se odnose na primitke od prodanih dionica/poslovnih udjela u vlasništvu Centra u ukupnom iznosu od 10.236.569 kn (VALAMAR RIVIERA d.d., Poreč, SOLARIS d.d., Šibenik, MAISTRA d.d., Rovinj, VALALTA d.o.o., Rovinj, ARENA HOSPITALITY GROUP d.d., Pula) te na uplate od „malih dioničara“ u ukupnom iznosu od 256.164 kn.</w:t>
      </w:r>
    </w:p>
    <w:p w:rsidR="008C273A" w:rsidRPr="00355560" w:rsidRDefault="00C3470C">
      <w:pPr>
        <w:pStyle w:val="Odlomakpopisa"/>
        <w:jc w:val="both"/>
        <w:divId w:val="1975019790"/>
      </w:pPr>
      <w:r w:rsidRPr="00355560">
        <w:t> </w:t>
      </w:r>
    </w:p>
    <w:p w:rsidR="008C273A" w:rsidRPr="00355560" w:rsidRDefault="00C3470C">
      <w:pPr>
        <w:pStyle w:val="Odlomakpopisa"/>
        <w:spacing w:before="0" w:beforeAutospacing="0" w:after="120" w:afterAutospacing="0"/>
        <w:ind w:left="567" w:hanging="567"/>
        <w:jc w:val="both"/>
        <w:divId w:val="1975019790"/>
      </w:pPr>
      <w:r w:rsidRPr="00355560">
        <w:lastRenderedPageBreak/>
        <w:t>IZDACI ZA FINANCIJSKU IMOVINU I OTPLATE ZAJMOVA</w:t>
      </w:r>
    </w:p>
    <w:p w:rsidR="008C273A" w:rsidRPr="00355560" w:rsidRDefault="00C3470C">
      <w:pPr>
        <w:pStyle w:val="Odlomakpopisa"/>
        <w:jc w:val="both"/>
        <w:divId w:val="1975019790"/>
      </w:pPr>
      <w:r w:rsidRPr="00355560">
        <w:t xml:space="preserve">Centar nije za 2022. godinu planirao izdatke za financijsku imovinu i otplate zajmova. </w:t>
      </w:r>
    </w:p>
    <w:sectPr w:rsidR="008C273A" w:rsidRPr="00355560" w:rsidSect="004051CC">
      <w:footerReference w:type="default" r:id="rId7"/>
      <w:pgSz w:w="11906" w:h="16838"/>
      <w:pgMar w:top="1417" w:right="1417" w:bottom="1417" w:left="1417" w:header="708" w:footer="708" w:gutter="0"/>
      <w:pgNumType w:start="7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00B" w:rsidRDefault="00BF600B" w:rsidP="00BF600B">
      <w:pPr>
        <w:spacing w:after="0" w:line="240" w:lineRule="auto"/>
      </w:pPr>
      <w:r>
        <w:separator/>
      </w:r>
    </w:p>
  </w:endnote>
  <w:endnote w:type="continuationSeparator" w:id="0">
    <w:p w:rsidR="00BF600B" w:rsidRDefault="00BF600B" w:rsidP="00BF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775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600B" w:rsidRPr="0091717B" w:rsidRDefault="00BF600B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71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717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71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717B">
          <w:rPr>
            <w:rFonts w:ascii="Times New Roman" w:hAnsi="Times New Roman" w:cs="Times New Roman"/>
            <w:noProof/>
            <w:sz w:val="24"/>
            <w:szCs w:val="24"/>
          </w:rPr>
          <w:t>761</w:t>
        </w:r>
        <w:r w:rsidRPr="0091717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600B" w:rsidRDefault="00BF600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00B" w:rsidRDefault="00BF600B" w:rsidP="00BF600B">
      <w:pPr>
        <w:spacing w:after="0" w:line="240" w:lineRule="auto"/>
      </w:pPr>
      <w:r>
        <w:separator/>
      </w:r>
    </w:p>
  </w:footnote>
  <w:footnote w:type="continuationSeparator" w:id="0">
    <w:p w:rsidR="00BF600B" w:rsidRDefault="00BF600B" w:rsidP="00BF6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DB6"/>
    <w:multiLevelType w:val="hybridMultilevel"/>
    <w:tmpl w:val="7BC01C74"/>
    <w:lvl w:ilvl="0" w:tplc="7BA4AD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9B1DB1"/>
    <w:multiLevelType w:val="hybridMultilevel"/>
    <w:tmpl w:val="8A36C698"/>
    <w:lvl w:ilvl="0" w:tplc="7BA4AD36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38252659"/>
    <w:multiLevelType w:val="hybridMultilevel"/>
    <w:tmpl w:val="64FA3B7E"/>
    <w:lvl w:ilvl="0" w:tplc="993E547A">
      <w:numFmt w:val="bullet"/>
      <w:lvlText w:val="-"/>
      <w:lvlJc w:val="left"/>
      <w:pPr>
        <w:ind w:left="1110" w:hanging="75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2D3A"/>
    <w:multiLevelType w:val="hybridMultilevel"/>
    <w:tmpl w:val="5D54CF5A"/>
    <w:lvl w:ilvl="0" w:tplc="DE9204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C2404"/>
    <w:multiLevelType w:val="hybridMultilevel"/>
    <w:tmpl w:val="BE16E2A4"/>
    <w:lvl w:ilvl="0" w:tplc="7BA4AD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DD28DB"/>
    <w:multiLevelType w:val="hybridMultilevel"/>
    <w:tmpl w:val="E59AEFD0"/>
    <w:lvl w:ilvl="0" w:tplc="085612E2">
      <w:numFmt w:val="bullet"/>
      <w:lvlText w:val="-"/>
      <w:lvlJc w:val="left"/>
      <w:pPr>
        <w:ind w:left="1125" w:hanging="765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D44BC"/>
    <w:multiLevelType w:val="hybridMultilevel"/>
    <w:tmpl w:val="4F82ACAC"/>
    <w:lvl w:ilvl="0" w:tplc="7BA4AD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BC356F"/>
    <w:multiLevelType w:val="hybridMultilevel"/>
    <w:tmpl w:val="E35A9BA6"/>
    <w:lvl w:ilvl="0" w:tplc="2F761700">
      <w:numFmt w:val="bullet"/>
      <w:lvlText w:val="-"/>
      <w:lvlJc w:val="left"/>
      <w:pPr>
        <w:ind w:left="915" w:hanging="555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6B7F"/>
    <w:rsid w:val="00005D99"/>
    <w:rsid w:val="00026DFD"/>
    <w:rsid w:val="000548EE"/>
    <w:rsid w:val="00065251"/>
    <w:rsid w:val="00085B55"/>
    <w:rsid w:val="00095ED2"/>
    <w:rsid w:val="000D3BAB"/>
    <w:rsid w:val="000F4734"/>
    <w:rsid w:val="001A5D21"/>
    <w:rsid w:val="00266E06"/>
    <w:rsid w:val="00304FEA"/>
    <w:rsid w:val="00355560"/>
    <w:rsid w:val="004051CC"/>
    <w:rsid w:val="004223E2"/>
    <w:rsid w:val="00426B89"/>
    <w:rsid w:val="005C2A61"/>
    <w:rsid w:val="00610BA9"/>
    <w:rsid w:val="0067230D"/>
    <w:rsid w:val="007D6323"/>
    <w:rsid w:val="008C273A"/>
    <w:rsid w:val="00902F13"/>
    <w:rsid w:val="0091717B"/>
    <w:rsid w:val="0096291A"/>
    <w:rsid w:val="00A758A4"/>
    <w:rsid w:val="00A95DB5"/>
    <w:rsid w:val="00B50EA5"/>
    <w:rsid w:val="00B60C1C"/>
    <w:rsid w:val="00BF600B"/>
    <w:rsid w:val="00C134B5"/>
    <w:rsid w:val="00C3470C"/>
    <w:rsid w:val="00CB2671"/>
    <w:rsid w:val="00CE6B7F"/>
    <w:rsid w:val="00DB28CC"/>
    <w:rsid w:val="00DB6DFF"/>
    <w:rsid w:val="00DF5224"/>
    <w:rsid w:val="00E55761"/>
    <w:rsid w:val="00E922D0"/>
    <w:rsid w:val="00EC5754"/>
    <w:rsid w:val="00EE4D8D"/>
    <w:rsid w:val="00F337B8"/>
    <w:rsid w:val="00F9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B3C1A-CAD4-4B90-B543-0765B620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BF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F600B"/>
  </w:style>
  <w:style w:type="paragraph" w:styleId="Podnoje">
    <w:name w:val="footer"/>
    <w:basedOn w:val="Normal"/>
    <w:link w:val="PodnojeChar"/>
    <w:uiPriority w:val="99"/>
    <w:unhideWhenUsed/>
    <w:rsid w:val="00BF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F600B"/>
  </w:style>
  <w:style w:type="paragraph" w:styleId="Tekstbalonia">
    <w:name w:val="Balloon Text"/>
    <w:basedOn w:val="Normal"/>
    <w:link w:val="TekstbaloniaChar"/>
    <w:uiPriority w:val="99"/>
    <w:semiHidden/>
    <w:unhideWhenUsed/>
    <w:rsid w:val="00917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17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01979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Mirela Kovač Jagar</cp:lastModifiedBy>
  <cp:revision>39</cp:revision>
  <cp:lastPrinted>2022-09-14T16:46:00Z</cp:lastPrinted>
  <dcterms:created xsi:type="dcterms:W3CDTF">2022-09-06T12:18:00Z</dcterms:created>
  <dcterms:modified xsi:type="dcterms:W3CDTF">2022-09-14T16:48:00Z</dcterms:modified>
</cp:coreProperties>
</file>