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E43" w:rsidRPr="00DD283F" w:rsidRDefault="002E1EDB">
      <w:pPr>
        <w:pStyle w:val="Naslov1"/>
        <w:spacing w:before="6000" w:beforeAutospacing="0" w:after="6000" w:afterAutospacing="0"/>
        <w:jc w:val="center"/>
        <w:divId w:val="210532421"/>
        <w:rPr>
          <w:rFonts w:ascii="Times New Roman" w:eastAsia="Times New Roman" w:hAnsi="Times New Roman" w:cs="Times New Roman"/>
        </w:rPr>
      </w:pPr>
      <w:r w:rsidRPr="00DD283F">
        <w:rPr>
          <w:rFonts w:ascii="Times New Roman" w:eastAsia="Times New Roman" w:hAnsi="Times New Roman" w:cs="Times New Roman"/>
        </w:rPr>
        <w:t xml:space="preserve">OBRAZLOŽENJE IZMJENA I DOPUNA FINANCIJSKOG PLANA HRVATSKE AGENCIJE ZA OSIGURANJE DEPOZITA ZA 2022. GODINU I PROJEKCIJA PLANA ZA 2023. I 2024. GODINU </w:t>
      </w:r>
    </w:p>
    <w:p w:rsidR="00536E43" w:rsidRPr="00DD283F" w:rsidRDefault="00536E43">
      <w:pPr>
        <w:spacing w:after="240"/>
        <w:divId w:val="210532421"/>
        <w:rPr>
          <w:rFonts w:ascii="Times New Roman" w:eastAsia="Times New Roman" w:hAnsi="Times New Roman" w:cs="Times New Roman"/>
        </w:rPr>
      </w:pPr>
    </w:p>
    <w:p w:rsidR="00DD283F" w:rsidRDefault="00DD283F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/>
          <w:u w:val="single"/>
        </w:rPr>
        <w:br w:type="page"/>
      </w:r>
    </w:p>
    <w:p w:rsidR="00536E43" w:rsidRPr="00DD283F" w:rsidRDefault="002E1EDB">
      <w:pPr>
        <w:pStyle w:val="Naslov2"/>
        <w:divId w:val="210532421"/>
        <w:rPr>
          <w:rFonts w:eastAsia="Times New Roman"/>
          <w:u w:val="single"/>
        </w:rPr>
      </w:pPr>
      <w:r w:rsidRPr="00DD283F">
        <w:rPr>
          <w:rFonts w:eastAsia="Times New Roman"/>
          <w:u w:val="single"/>
        </w:rPr>
        <w:lastRenderedPageBreak/>
        <w:t>PRIHODI</w:t>
      </w:r>
    </w:p>
    <w:p w:rsidR="00536E43" w:rsidRPr="00DD283F" w:rsidRDefault="00536E43">
      <w:pPr>
        <w:divId w:val="210532421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417"/>
        <w:gridCol w:w="1448"/>
        <w:gridCol w:w="962"/>
      </w:tblGrid>
      <w:tr w:rsidR="00DD283F" w:rsidRPr="00DD283F" w:rsidTr="00DD283F">
        <w:trPr>
          <w:divId w:val="210532421"/>
        </w:trPr>
        <w:tc>
          <w:tcPr>
            <w:tcW w:w="2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536E43" w:rsidRPr="00DD283F" w:rsidTr="00DD283F">
        <w:trPr>
          <w:divId w:val="210532421"/>
        </w:trPr>
        <w:tc>
          <w:tcPr>
            <w:tcW w:w="2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PRIHODI POSLOVANJA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258.207.712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82.815.339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341.023.051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132,07</w:t>
            </w:r>
          </w:p>
        </w:tc>
      </w:tr>
      <w:tr w:rsidR="00536E43" w:rsidRPr="00DD283F" w:rsidTr="00DD283F">
        <w:trPr>
          <w:divId w:val="210532421"/>
        </w:trPr>
        <w:tc>
          <w:tcPr>
            <w:tcW w:w="2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PRIHODI OD PRODAJE NEFINANCIJSKE IMOVINE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36E43" w:rsidRPr="00DD283F" w:rsidTr="00DD283F">
        <w:trPr>
          <w:divId w:val="210532421"/>
        </w:trPr>
        <w:tc>
          <w:tcPr>
            <w:tcW w:w="2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PRIHODI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258.207.712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82.815.339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341.023.051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132,07</w:t>
            </w:r>
          </w:p>
        </w:tc>
      </w:tr>
    </w:tbl>
    <w:p w:rsidR="00536E43" w:rsidRPr="00DD283F" w:rsidRDefault="00536E43">
      <w:pPr>
        <w:divId w:val="210532421"/>
        <w:rPr>
          <w:rFonts w:ascii="Times New Roman" w:eastAsia="Times New Roman" w:hAnsi="Times New Roman" w:cs="Times New Roman"/>
          <w:sz w:val="24"/>
          <w:szCs w:val="24"/>
        </w:rPr>
      </w:pPr>
    </w:p>
    <w:p w:rsidR="00536E43" w:rsidRPr="00DD283F" w:rsidRDefault="002E1EDB" w:rsidP="00DD283F">
      <w:pPr>
        <w:spacing w:before="100" w:beforeAutospacing="1" w:line="240" w:lineRule="auto"/>
        <w:jc w:val="both"/>
        <w:divId w:val="210532421"/>
        <w:rPr>
          <w:rFonts w:ascii="Times New Roman" w:hAnsi="Times New Roman" w:cs="Times New Roman"/>
          <w:sz w:val="24"/>
          <w:szCs w:val="24"/>
        </w:rPr>
      </w:pPr>
      <w:r w:rsidRPr="00DD283F">
        <w:rPr>
          <w:rStyle w:val="Jakoisticanje"/>
          <w:rFonts w:ascii="Times New Roman" w:hAnsi="Times New Roman" w:cs="Times New Roman"/>
          <w:sz w:val="24"/>
          <w:szCs w:val="24"/>
        </w:rPr>
        <w:t xml:space="preserve">Ukupni prihodi Agencije u odnosu na izvorno planirana sredstva u iznosu od 258.207.712 kn povećani su za 82.815.339 kn i u novom planu iznose 341.023.051 kn. Glavni razlozi povećanja odnose se na porast prihoda od naplate kroz stečajne i sanacijske postupke. </w:t>
      </w:r>
    </w:p>
    <w:p w:rsidR="00536E43" w:rsidRPr="00DD283F" w:rsidRDefault="002E1EDB" w:rsidP="00DD283F">
      <w:pPr>
        <w:spacing w:before="100" w:beforeAutospacing="1" w:line="240" w:lineRule="auto"/>
        <w:jc w:val="both"/>
        <w:divId w:val="210532421"/>
        <w:rPr>
          <w:rFonts w:ascii="Times New Roman" w:hAnsi="Times New Roman" w:cs="Times New Roman"/>
          <w:sz w:val="24"/>
          <w:szCs w:val="24"/>
        </w:rPr>
      </w:pPr>
      <w:r w:rsidRPr="00DD283F">
        <w:rPr>
          <w:rStyle w:val="Jakoisticanje"/>
          <w:rFonts w:ascii="Times New Roman" w:hAnsi="Times New Roman" w:cs="Times New Roman"/>
          <w:sz w:val="24"/>
          <w:szCs w:val="24"/>
        </w:rPr>
        <w:t xml:space="preserve">Naplata kroz stečajne i sanacijske postupke ovisi o eksternim faktorima (vođenju stečajnih postupaka koji nisu u nadležnosti Agencije) te o prihodima čija naplata nije linearna i kontinuirana, te su moguća značajna odstupanja realizacije u odnosu na plan u različitim izvještajnim razdobljima.  </w:t>
      </w:r>
    </w:p>
    <w:p w:rsidR="00536E43" w:rsidRPr="00DD283F" w:rsidRDefault="002E1EDB" w:rsidP="00DD283F">
      <w:pPr>
        <w:pStyle w:val="Bezproreda"/>
        <w:jc w:val="both"/>
        <w:divId w:val="210532421"/>
      </w:pPr>
      <w:r w:rsidRPr="00DD283F">
        <w:t>Prihodi od financijske imovine odnose se na kamate po vrijednosnim papirima (trezorski zapisi Ministarstva financija i obveznice Republike Hrvatske). </w:t>
      </w:r>
    </w:p>
    <w:p w:rsidR="00536E43" w:rsidRPr="00DD283F" w:rsidRDefault="00B91C8A" w:rsidP="00DD283F">
      <w:pPr>
        <w:pStyle w:val="Bezproreda"/>
        <w:jc w:val="both"/>
        <w:divId w:val="210532421"/>
      </w:pPr>
      <w:r>
        <w:t>U okviru Prihoda</w:t>
      </w:r>
      <w:r w:rsidR="002E1EDB" w:rsidRPr="00DD283F">
        <w:t xml:space="preserve"> od pruženih usluga iskazani su prihodi od mandatnih poslova koje Agencija obavlja za Ministarstvo financija, a koji se odnose na administriranje kredita FRZ-a (Fonda za razvoj i zapošljavanje), čija naplata nije kontinuirana i predvidiva, pa je plan povećan u skladu s realizacijom.</w:t>
      </w:r>
    </w:p>
    <w:p w:rsidR="00536E43" w:rsidRPr="00DD283F" w:rsidRDefault="00536E43">
      <w:pPr>
        <w:divId w:val="210532421"/>
        <w:rPr>
          <w:rFonts w:ascii="Times New Roman" w:eastAsia="Times New Roman" w:hAnsi="Times New Roman" w:cs="Times New Roman"/>
        </w:rPr>
      </w:pPr>
    </w:p>
    <w:p w:rsidR="00536E43" w:rsidRPr="00DD283F" w:rsidRDefault="002E1EDB">
      <w:pPr>
        <w:pStyle w:val="Naslov2"/>
        <w:divId w:val="210532421"/>
        <w:rPr>
          <w:rFonts w:eastAsia="Times New Roman"/>
          <w:u w:val="single"/>
        </w:rPr>
      </w:pPr>
      <w:r w:rsidRPr="00DD283F">
        <w:rPr>
          <w:rFonts w:eastAsia="Times New Roman"/>
          <w:u w:val="single"/>
        </w:rPr>
        <w:t>RASHODI</w:t>
      </w:r>
    </w:p>
    <w:p w:rsidR="00536E43" w:rsidRPr="00DD283F" w:rsidRDefault="00536E43">
      <w:pPr>
        <w:divId w:val="210532421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5"/>
        <w:gridCol w:w="1552"/>
        <w:gridCol w:w="1276"/>
        <w:gridCol w:w="1588"/>
        <w:gridCol w:w="821"/>
      </w:tblGrid>
      <w:tr w:rsidR="00DD283F" w:rsidRPr="00DD283F" w:rsidTr="00DD283F">
        <w:trPr>
          <w:divId w:val="210532421"/>
        </w:trPr>
        <w:tc>
          <w:tcPr>
            <w:tcW w:w="2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D283F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536E43" w:rsidRPr="00DD283F" w:rsidTr="00DD283F">
        <w:trPr>
          <w:divId w:val="210532421"/>
        </w:trPr>
        <w:tc>
          <w:tcPr>
            <w:tcW w:w="2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RASHODI POSLOVANJA</w:t>
            </w:r>
          </w:p>
        </w:tc>
        <w:tc>
          <w:tcPr>
            <w:tcW w:w="8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10.298.996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-900.000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9.398.996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91,26</w:t>
            </w:r>
          </w:p>
        </w:tc>
      </w:tr>
      <w:tr w:rsidR="00536E43" w:rsidRPr="00DD283F" w:rsidTr="00DD283F">
        <w:trPr>
          <w:divId w:val="210532421"/>
        </w:trPr>
        <w:tc>
          <w:tcPr>
            <w:tcW w:w="2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RASHODI ZA NABAVU NEFINANCIJSKE IMOVINE</w:t>
            </w:r>
          </w:p>
        </w:tc>
        <w:tc>
          <w:tcPr>
            <w:tcW w:w="8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185.000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900.000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1.085.000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586,49</w:t>
            </w:r>
          </w:p>
        </w:tc>
      </w:tr>
      <w:tr w:rsidR="00536E43" w:rsidRPr="00DD283F" w:rsidTr="00DD283F">
        <w:trPr>
          <w:divId w:val="210532421"/>
        </w:trPr>
        <w:tc>
          <w:tcPr>
            <w:tcW w:w="2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RASHODI</w:t>
            </w:r>
          </w:p>
        </w:tc>
        <w:tc>
          <w:tcPr>
            <w:tcW w:w="8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10.483.996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10.483.996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100</w:t>
            </w:r>
          </w:p>
        </w:tc>
      </w:tr>
    </w:tbl>
    <w:p w:rsidR="00536E43" w:rsidRPr="00DD283F" w:rsidRDefault="00536E43">
      <w:pPr>
        <w:divId w:val="210532421"/>
        <w:rPr>
          <w:rFonts w:ascii="Times New Roman" w:eastAsia="Times New Roman" w:hAnsi="Times New Roman" w:cs="Times New Roman"/>
          <w:sz w:val="24"/>
          <w:szCs w:val="24"/>
        </w:rPr>
      </w:pPr>
    </w:p>
    <w:p w:rsidR="00536E43" w:rsidRPr="00DD283F" w:rsidRDefault="002E1EDB">
      <w:pPr>
        <w:pStyle w:val="Bezproreda"/>
        <w:jc w:val="both"/>
        <w:divId w:val="210532421"/>
      </w:pPr>
      <w:r w:rsidRPr="00DD283F">
        <w:lastRenderedPageBreak/>
        <w:t>Što se tiče rashodovne strane plana, rashode Agencije čine rashodi poslovanja i rashodi za nabavu nefinancijske imovine.</w:t>
      </w:r>
    </w:p>
    <w:p w:rsidR="00536E43" w:rsidRPr="00DD283F" w:rsidRDefault="002E1EDB">
      <w:pPr>
        <w:pStyle w:val="Bezproreda"/>
        <w:jc w:val="both"/>
        <w:divId w:val="210532421"/>
      </w:pPr>
      <w:r w:rsidRPr="00DD283F">
        <w:t>Ukupni rashodi za 2022. godinu planirani su u iznosu 10.483.996 kn i nema promjena u odnosu na tekući plan za 2022. godinu.</w:t>
      </w:r>
    </w:p>
    <w:p w:rsidR="00536E43" w:rsidRPr="00DD283F" w:rsidRDefault="002E1EDB" w:rsidP="00B91C8A">
      <w:pPr>
        <w:spacing w:before="100" w:beforeAutospacing="1"/>
        <w:jc w:val="both"/>
        <w:divId w:val="210532421"/>
        <w:rPr>
          <w:rFonts w:ascii="Times New Roman" w:hAnsi="Times New Roman" w:cs="Times New Roman"/>
          <w:sz w:val="24"/>
          <w:szCs w:val="24"/>
        </w:rPr>
      </w:pPr>
      <w:r w:rsidRPr="00DD283F">
        <w:rPr>
          <w:rFonts w:ascii="Times New Roman" w:hAnsi="Times New Roman" w:cs="Times New Roman"/>
          <w:sz w:val="24"/>
          <w:szCs w:val="24"/>
        </w:rPr>
        <w:t>Obzirom na zahtjeve SRB-a (Jedinstveni sanacijski odbor) i obvezu nabavke softvera za podnošenje financijskih izvještaja svih kreditnih institucija (temeljem Sanacijskog regulatornog okvira), Agencija je u rebalans plana uključila nabavku navedenog softvera (nabava nematerijalne imovine) u procijenjenom iznosu od dodatnih 900.000 kn  (s uključenim PDV-om), a za što je proporcionalno smanjila druge rashode poslovanja, sukladno realizaciji do 31.</w:t>
      </w:r>
      <w:r w:rsidR="00B91C8A">
        <w:rPr>
          <w:rFonts w:ascii="Times New Roman" w:hAnsi="Times New Roman" w:cs="Times New Roman"/>
          <w:sz w:val="24"/>
          <w:szCs w:val="24"/>
        </w:rPr>
        <w:t xml:space="preserve"> kolovoza </w:t>
      </w:r>
      <w:r w:rsidRPr="00DD283F">
        <w:rPr>
          <w:rFonts w:ascii="Times New Roman" w:hAnsi="Times New Roman" w:cs="Times New Roman"/>
          <w:sz w:val="24"/>
          <w:szCs w:val="24"/>
        </w:rPr>
        <w:t>2022. godine.</w:t>
      </w:r>
    </w:p>
    <w:p w:rsidR="00536E43" w:rsidRDefault="00536E43">
      <w:pPr>
        <w:divId w:val="210532421"/>
        <w:rPr>
          <w:rFonts w:ascii="Times New Roman" w:eastAsia="Times New Roman" w:hAnsi="Times New Roman" w:cs="Times New Roman"/>
        </w:rPr>
      </w:pPr>
    </w:p>
    <w:p w:rsidR="00536E43" w:rsidRPr="00DD283F" w:rsidRDefault="002E1EDB">
      <w:pPr>
        <w:pStyle w:val="Naslov2"/>
        <w:divId w:val="210532421"/>
        <w:rPr>
          <w:rFonts w:eastAsia="Times New Roman"/>
          <w:u w:val="single"/>
        </w:rPr>
      </w:pPr>
      <w:r w:rsidRPr="00DD283F">
        <w:rPr>
          <w:rFonts w:eastAsia="Times New Roman"/>
          <w:u w:val="single"/>
        </w:rPr>
        <w:t>RAČUN FINANCIRANJA</w:t>
      </w:r>
    </w:p>
    <w:p w:rsidR="00536E43" w:rsidRPr="00DD283F" w:rsidRDefault="00536E43">
      <w:pPr>
        <w:divId w:val="210532421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0"/>
        <w:gridCol w:w="1419"/>
        <w:gridCol w:w="1274"/>
        <w:gridCol w:w="1448"/>
        <w:gridCol w:w="821"/>
      </w:tblGrid>
      <w:tr w:rsidR="00DD283F" w:rsidRPr="00DD283F" w:rsidTr="00DD283F">
        <w:trPr>
          <w:divId w:val="21053242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536E43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D283F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DD283F" w:rsidRPr="00DD283F" w:rsidTr="00DD283F">
        <w:trPr>
          <w:divId w:val="21053242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PRIMICI OD FINANCIJSKE IMOVINE I ZADUŽIVANJA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28.000.000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162.631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28.162.631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100,58</w:t>
            </w:r>
          </w:p>
        </w:tc>
      </w:tr>
      <w:tr w:rsidR="00DD283F" w:rsidRPr="00DD283F" w:rsidTr="00DD283F">
        <w:trPr>
          <w:divId w:val="21053242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IZDACI ZA FINANCIJSKU IMOVINU I OTPLATE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155.000.000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155.000.000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DD283F" w:rsidRPr="00DD283F" w:rsidTr="00DD283F">
        <w:trPr>
          <w:divId w:val="21053242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IZ PRETHODNE GODINE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462.714.711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462.714.711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DD283F" w:rsidRPr="00DD283F" w:rsidTr="00DD283F">
        <w:trPr>
          <w:divId w:val="21053242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U SLJEDEĆU GODINU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-583.438.427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-82.977.970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-666.416.397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sz w:val="18"/>
                <w:szCs w:val="16"/>
              </w:rPr>
              <w:t>114,22</w:t>
            </w:r>
          </w:p>
        </w:tc>
      </w:tr>
      <w:tr w:rsidR="00DD283F" w:rsidRPr="00DD283F" w:rsidTr="00DD283F">
        <w:trPr>
          <w:divId w:val="210532421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DD283F" w:rsidRDefault="002E1EDB" w:rsidP="00DD283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DD283F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NETO FINANCIRANJE</w:t>
            </w:r>
          </w:p>
        </w:tc>
        <w:tc>
          <w:tcPr>
            <w:tcW w:w="7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-247.723.716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-82.815.339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-330.539.055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36E43" w:rsidRPr="007B65BE" w:rsidRDefault="002E1EDB" w:rsidP="00DD28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7B65B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133,43</w:t>
            </w:r>
          </w:p>
        </w:tc>
      </w:tr>
    </w:tbl>
    <w:p w:rsidR="00536E43" w:rsidRPr="00DD283F" w:rsidRDefault="00536E43">
      <w:pPr>
        <w:spacing w:after="240"/>
        <w:divId w:val="210532421"/>
        <w:rPr>
          <w:rFonts w:ascii="Times New Roman" w:eastAsia="Times New Roman" w:hAnsi="Times New Roman" w:cs="Times New Roman"/>
          <w:sz w:val="24"/>
          <w:szCs w:val="24"/>
        </w:rPr>
      </w:pPr>
    </w:p>
    <w:p w:rsidR="00536E43" w:rsidRPr="00DD283F" w:rsidRDefault="002E1EDB">
      <w:pPr>
        <w:spacing w:before="100" w:beforeAutospacing="1"/>
        <w:jc w:val="both"/>
        <w:divId w:val="210532421"/>
        <w:rPr>
          <w:rFonts w:ascii="Times New Roman" w:hAnsi="Times New Roman" w:cs="Times New Roman"/>
          <w:sz w:val="24"/>
          <w:szCs w:val="24"/>
        </w:rPr>
      </w:pPr>
      <w:r w:rsidRPr="00DD283F">
        <w:rPr>
          <w:rFonts w:ascii="Times New Roman" w:hAnsi="Times New Roman" w:cs="Times New Roman"/>
          <w:sz w:val="24"/>
          <w:szCs w:val="24"/>
        </w:rPr>
        <w:t>Na poziciji 852 Primici za obveznice iskazan je primitak za obveznice koje dospijevaju u 07/2022. Kako je riječ o obveznicama s valutnom klauzulom, povećanje predmetne pozicije posljedica je tečajnih razlika.</w:t>
      </w:r>
      <w:bookmarkStart w:id="0" w:name="_GoBack"/>
      <w:bookmarkEnd w:id="0"/>
    </w:p>
    <w:sectPr w:rsidR="00536E43" w:rsidRPr="00DD283F" w:rsidSect="00B91C8A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8A" w:rsidRDefault="00B91C8A" w:rsidP="00B91C8A">
      <w:pPr>
        <w:spacing w:after="0" w:line="240" w:lineRule="auto"/>
      </w:pPr>
      <w:r>
        <w:separator/>
      </w:r>
    </w:p>
  </w:endnote>
  <w:endnote w:type="continuationSeparator" w:id="0">
    <w:p w:rsidR="00B91C8A" w:rsidRDefault="00B91C8A" w:rsidP="00B9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126907"/>
      <w:docPartObj>
        <w:docPartGallery w:val="Page Numbers (Bottom of Page)"/>
        <w:docPartUnique/>
      </w:docPartObj>
    </w:sdtPr>
    <w:sdtEndPr/>
    <w:sdtContent>
      <w:p w:rsidR="00B91C8A" w:rsidRDefault="00B91C8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5BE">
          <w:rPr>
            <w:noProof/>
          </w:rPr>
          <w:t>2</w:t>
        </w:r>
        <w:r>
          <w:fldChar w:fldCharType="end"/>
        </w:r>
      </w:p>
    </w:sdtContent>
  </w:sdt>
  <w:p w:rsidR="00B91C8A" w:rsidRDefault="00B91C8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8A" w:rsidRDefault="00B91C8A" w:rsidP="00B91C8A">
      <w:pPr>
        <w:spacing w:after="0" w:line="240" w:lineRule="auto"/>
      </w:pPr>
      <w:r>
        <w:separator/>
      </w:r>
    </w:p>
  </w:footnote>
  <w:footnote w:type="continuationSeparator" w:id="0">
    <w:p w:rsidR="00B91C8A" w:rsidRDefault="00B91C8A" w:rsidP="00B91C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0AA5"/>
    <w:rsid w:val="001E0AA5"/>
    <w:rsid w:val="002E1EDB"/>
    <w:rsid w:val="00536E43"/>
    <w:rsid w:val="007B65BE"/>
    <w:rsid w:val="00B91C8A"/>
    <w:rsid w:val="00DD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50464-041B-442A-9997-E3B30613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character" w:styleId="Jakoisticanje">
    <w:name w:val="Intense Emphasis"/>
    <w:basedOn w:val="Zadanifontodlomka"/>
    <w:uiPriority w:val="21"/>
    <w:qFormat/>
  </w:style>
  <w:style w:type="paragraph" w:styleId="Bezproreda">
    <w:name w:val="No Spacing"/>
    <w:basedOn w:val="Normal"/>
    <w:uiPriority w:val="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B9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91C8A"/>
  </w:style>
  <w:style w:type="paragraph" w:styleId="Podnoje">
    <w:name w:val="footer"/>
    <w:basedOn w:val="Normal"/>
    <w:link w:val="PodnojeChar"/>
    <w:uiPriority w:val="99"/>
    <w:unhideWhenUsed/>
    <w:rsid w:val="00B9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91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3242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5</cp:revision>
  <dcterms:created xsi:type="dcterms:W3CDTF">2022-10-14T09:13:00Z</dcterms:created>
  <dcterms:modified xsi:type="dcterms:W3CDTF">2022-10-14T11:55:00Z</dcterms:modified>
</cp:coreProperties>
</file>