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7E212E" w:rsidRDefault="00752569">
      <w:pPr>
        <w:pStyle w:val="Naslov1"/>
        <w:spacing w:before="6000" w:beforeAutospacing="0" w:after="6000" w:afterAutospacing="0"/>
        <w:jc w:val="center"/>
        <w:divId w:val="1130901881"/>
        <w:rPr>
          <w:rFonts w:ascii="Times New Roman" w:eastAsia="Times New Roman" w:hAnsi="Times New Roman" w:cs="Times New Roman"/>
        </w:rPr>
      </w:pPr>
      <w:r w:rsidRPr="007E212E">
        <w:rPr>
          <w:rFonts w:ascii="Times New Roman" w:eastAsia="Times New Roman" w:hAnsi="Times New Roman" w:cs="Times New Roman"/>
        </w:rPr>
        <w:t xml:space="preserve">OBRAZLOŽENJE IZMJENA I DOPUNA FINANCIJSKOG PLANA HŽ PUTNIČKOG PRIJEVOZA ZA 2022. GODINU I PROJEKCIJA PLANA ZA 2023. I 2024. GODINU </w:t>
      </w:r>
    </w:p>
    <w:p w:rsidR="00000000" w:rsidRPr="007E212E" w:rsidRDefault="00752569">
      <w:pPr>
        <w:spacing w:after="240"/>
        <w:divId w:val="1130901881"/>
        <w:rPr>
          <w:rFonts w:ascii="Times New Roman" w:eastAsia="Times New Roman" w:hAnsi="Times New Roman" w:cs="Times New Roman"/>
        </w:rPr>
      </w:pPr>
    </w:p>
    <w:p w:rsidR="007E212E" w:rsidRDefault="007E212E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eastAsia="Times New Roman"/>
          <w:u w:val="single"/>
        </w:rPr>
        <w:br w:type="page"/>
      </w:r>
    </w:p>
    <w:p w:rsidR="00000000" w:rsidRPr="007E212E" w:rsidRDefault="00752569">
      <w:pPr>
        <w:pStyle w:val="Naslov2"/>
        <w:divId w:val="1130901881"/>
        <w:rPr>
          <w:rFonts w:eastAsia="Times New Roman"/>
          <w:u w:val="single"/>
        </w:rPr>
      </w:pPr>
      <w:r w:rsidRPr="007E212E">
        <w:rPr>
          <w:rFonts w:eastAsia="Times New Roman"/>
          <w:u w:val="single"/>
        </w:rPr>
        <w:lastRenderedPageBreak/>
        <w:t>PRIHODI</w:t>
      </w:r>
    </w:p>
    <w:p w:rsidR="00000000" w:rsidRPr="007E212E" w:rsidRDefault="00752569">
      <w:pPr>
        <w:divId w:val="1130901881"/>
        <w:rPr>
          <w:rFonts w:ascii="Times New Roman" w:eastAsia="Times New Roman" w:hAnsi="Times New Roman" w:cs="Times New Roman"/>
        </w:rPr>
      </w:pP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0"/>
        <w:gridCol w:w="1481"/>
        <w:gridCol w:w="1381"/>
        <w:gridCol w:w="1279"/>
        <w:gridCol w:w="821"/>
      </w:tblGrid>
      <w:tr w:rsidR="007E212E" w:rsidRPr="007E212E" w:rsidTr="00B40E7E">
        <w:trPr>
          <w:divId w:val="1130901881"/>
        </w:trPr>
        <w:tc>
          <w:tcPr>
            <w:tcW w:w="2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Plan za 2022.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212E" w:rsidRDefault="00752569" w:rsidP="007E212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Povećanje/</w:t>
            </w:r>
          </w:p>
          <w:p w:rsidR="00000000" w:rsidRPr="007E212E" w:rsidRDefault="00752569" w:rsidP="007E212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Smanjenje</w:t>
            </w:r>
          </w:p>
        </w:tc>
        <w:tc>
          <w:tcPr>
            <w:tcW w:w="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Novi plan za 2022.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Indeks</w:t>
            </w:r>
          </w:p>
        </w:tc>
      </w:tr>
      <w:tr w:rsidR="00B40E7E" w:rsidRPr="007E212E" w:rsidTr="00B40E7E">
        <w:trPr>
          <w:divId w:val="1130901881"/>
        </w:trPr>
        <w:tc>
          <w:tcPr>
            <w:tcW w:w="2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PRIHODI POSLOVANJA</w:t>
            </w: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878.424.699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-127.808.620</w:t>
            </w:r>
          </w:p>
        </w:tc>
        <w:tc>
          <w:tcPr>
            <w:tcW w:w="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750.616.079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85,45</w:t>
            </w:r>
          </w:p>
        </w:tc>
      </w:tr>
      <w:tr w:rsidR="00B40E7E" w:rsidRPr="007E212E" w:rsidTr="00B40E7E">
        <w:trPr>
          <w:divId w:val="1130901881"/>
        </w:trPr>
        <w:tc>
          <w:tcPr>
            <w:tcW w:w="2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PRIHODI OD PRODAJE NEFINANCIJSKE IMOVINE</w:t>
            </w: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600.000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1.913.703</w:t>
            </w:r>
          </w:p>
        </w:tc>
        <w:tc>
          <w:tcPr>
            <w:tcW w:w="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2.513.703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418,95</w:t>
            </w:r>
          </w:p>
        </w:tc>
      </w:tr>
      <w:tr w:rsidR="00B40E7E" w:rsidRPr="007E212E" w:rsidTr="00B40E7E">
        <w:trPr>
          <w:divId w:val="1130901881"/>
        </w:trPr>
        <w:tc>
          <w:tcPr>
            <w:tcW w:w="2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UKUPNI PRIHODI</w:t>
            </w: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879.024.699</w:t>
            </w:r>
          </w:p>
        </w:tc>
        <w:tc>
          <w:tcPr>
            <w:tcW w:w="7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-125.894.917</w:t>
            </w:r>
          </w:p>
        </w:tc>
        <w:tc>
          <w:tcPr>
            <w:tcW w:w="7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753.129.782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85,68</w:t>
            </w:r>
          </w:p>
        </w:tc>
      </w:tr>
    </w:tbl>
    <w:p w:rsidR="00000000" w:rsidRPr="007E212E" w:rsidRDefault="00752569">
      <w:pPr>
        <w:divId w:val="1130901881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Pr="007E212E" w:rsidRDefault="00752569">
      <w:pPr>
        <w:pStyle w:val="StandardWeb"/>
        <w:spacing w:after="0" w:afterAutospacing="0"/>
        <w:jc w:val="both"/>
        <w:divId w:val="1130901881"/>
      </w:pPr>
      <w:r w:rsidRPr="007E212E">
        <w:rPr>
          <w:color w:val="000000" w:themeColor="text1"/>
        </w:rPr>
        <w:t xml:space="preserve">Ukupni prihodi u Prijedlogu izmjena i dopuna Financijskog </w:t>
      </w:r>
      <w:r w:rsidRPr="007E212E">
        <w:rPr>
          <w:color w:val="000000" w:themeColor="text1"/>
        </w:rPr>
        <w:t>plana za 2022. godinu iznose 753.129.782 kune te su za 125.894.917 kuna, odnosno 14,3 % manji u odnosu na usvojeni plan.</w:t>
      </w:r>
    </w:p>
    <w:p w:rsidR="00000000" w:rsidRPr="007E212E" w:rsidRDefault="00752569" w:rsidP="00752569">
      <w:pPr>
        <w:pStyle w:val="StandardWeb"/>
        <w:spacing w:after="0" w:afterAutospacing="0"/>
        <w:jc w:val="both"/>
        <w:divId w:val="1130901881"/>
      </w:pPr>
      <w:r w:rsidRPr="007E212E">
        <w:rPr>
          <w:color w:val="000000" w:themeColor="text1"/>
        </w:rPr>
        <w:t>Najveće odstupanje bilježi se na stavci 633 Pomoći proračunu iz drugih proračuna i izvanproračunskim korisnicima te stavci 638 Pomoći t</w:t>
      </w:r>
      <w:r w:rsidRPr="007E212E">
        <w:rPr>
          <w:color w:val="000000" w:themeColor="text1"/>
        </w:rPr>
        <w:t xml:space="preserve">emeljem prijenosa EU sredstava gdje je došlo </w:t>
      </w:r>
      <w:r w:rsidRPr="007E212E">
        <w:rPr>
          <w:color w:val="000000" w:themeColor="text1"/>
        </w:rPr>
        <w:t>do smanjenja prihoda za 118.934.000 kuna. Naime, zbog promjena u dinamici realizacije projekata povlačenje dijela sredstava  prenosi se u 2023. godinu.</w:t>
      </w:r>
    </w:p>
    <w:p w:rsidR="00000000" w:rsidRPr="007E212E" w:rsidRDefault="00752569">
      <w:pPr>
        <w:pStyle w:val="StandardWeb"/>
        <w:spacing w:after="0" w:afterAutospacing="0"/>
        <w:jc w:val="both"/>
        <w:divId w:val="1130901881"/>
      </w:pPr>
      <w:r w:rsidRPr="007E212E">
        <w:rPr>
          <w:color w:val="000000" w:themeColor="text1"/>
        </w:rPr>
        <w:t>Prihodi od pruženih usluga planiraju se u iznosu 177.091.0</w:t>
      </w:r>
      <w:r w:rsidRPr="007E212E">
        <w:rPr>
          <w:color w:val="000000" w:themeColor="text1"/>
        </w:rPr>
        <w:t>00 kuna dok se Prihodi od prodaje nefinancijske imovine planiraju se u iznosu od 2.513.703 kune.</w:t>
      </w:r>
    </w:p>
    <w:p w:rsidR="00000000" w:rsidRPr="007E212E" w:rsidRDefault="00752569">
      <w:pPr>
        <w:pStyle w:val="StandardWeb"/>
        <w:spacing w:after="0" w:afterAutospacing="0"/>
        <w:jc w:val="both"/>
        <w:divId w:val="1130901881"/>
      </w:pPr>
    </w:p>
    <w:p w:rsidR="00000000" w:rsidRPr="007E212E" w:rsidRDefault="00752569">
      <w:pPr>
        <w:divId w:val="1130901881"/>
        <w:rPr>
          <w:rFonts w:ascii="Times New Roman" w:eastAsia="Times New Roman" w:hAnsi="Times New Roman" w:cs="Times New Roman"/>
        </w:rPr>
      </w:pPr>
    </w:p>
    <w:p w:rsidR="00000000" w:rsidRPr="007E212E" w:rsidRDefault="00752569">
      <w:pPr>
        <w:pStyle w:val="Naslov2"/>
        <w:divId w:val="1130901881"/>
        <w:rPr>
          <w:rFonts w:eastAsia="Times New Roman"/>
          <w:u w:val="single"/>
        </w:rPr>
      </w:pPr>
      <w:r w:rsidRPr="007E212E">
        <w:rPr>
          <w:rFonts w:eastAsia="Times New Roman"/>
          <w:u w:val="single"/>
        </w:rPr>
        <w:t>RASHODI</w:t>
      </w:r>
    </w:p>
    <w:p w:rsidR="00000000" w:rsidRPr="007E212E" w:rsidRDefault="00752569">
      <w:pPr>
        <w:divId w:val="1130901881"/>
        <w:rPr>
          <w:rFonts w:ascii="Times New Roman" w:eastAsia="Times New Roman" w:hAnsi="Times New Roman" w:cs="Times New Roman"/>
        </w:rPr>
      </w:pP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1"/>
        <w:gridCol w:w="1413"/>
        <w:gridCol w:w="1422"/>
        <w:gridCol w:w="1305"/>
        <w:gridCol w:w="821"/>
      </w:tblGrid>
      <w:tr w:rsidR="00B40E7E" w:rsidRPr="007E212E" w:rsidTr="00B40E7E">
        <w:trPr>
          <w:divId w:val="1130901881"/>
        </w:trPr>
        <w:tc>
          <w:tcPr>
            <w:tcW w:w="22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7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Plan za 2022.</w:t>
            </w:r>
          </w:p>
        </w:tc>
        <w:tc>
          <w:tcPr>
            <w:tcW w:w="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212E" w:rsidRPr="007E212E" w:rsidRDefault="00752569" w:rsidP="007E212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Povećanje/</w:t>
            </w:r>
          </w:p>
          <w:p w:rsidR="00000000" w:rsidRPr="007E212E" w:rsidRDefault="00752569" w:rsidP="007E212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Smanjenje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Novi plan za 2022.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Indeks</w:t>
            </w:r>
          </w:p>
        </w:tc>
      </w:tr>
      <w:tr w:rsidR="00B40E7E" w:rsidRPr="007E212E" w:rsidTr="00B40E7E">
        <w:trPr>
          <w:divId w:val="1130901881"/>
        </w:trPr>
        <w:tc>
          <w:tcPr>
            <w:tcW w:w="22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RASHODI POSLOVANJA</w:t>
            </w:r>
          </w:p>
        </w:tc>
        <w:tc>
          <w:tcPr>
            <w:tcW w:w="7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688.146.038</w:t>
            </w:r>
          </w:p>
        </w:tc>
        <w:tc>
          <w:tcPr>
            <w:tcW w:w="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-5.640.225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682.505.813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99,18</w:t>
            </w:r>
          </w:p>
        </w:tc>
      </w:tr>
      <w:tr w:rsidR="00B40E7E" w:rsidRPr="007E212E" w:rsidTr="00B40E7E">
        <w:trPr>
          <w:divId w:val="1130901881"/>
        </w:trPr>
        <w:tc>
          <w:tcPr>
            <w:tcW w:w="22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RASHODI ZA NABAVU NEFINANCIJSKE IMOVINE</w:t>
            </w:r>
          </w:p>
        </w:tc>
        <w:tc>
          <w:tcPr>
            <w:tcW w:w="7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417.874.140</w:t>
            </w:r>
          </w:p>
        </w:tc>
        <w:tc>
          <w:tcPr>
            <w:tcW w:w="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-123.933.999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293.940.141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70,34</w:t>
            </w:r>
          </w:p>
        </w:tc>
      </w:tr>
      <w:tr w:rsidR="00B40E7E" w:rsidRPr="007E212E" w:rsidTr="00B40E7E">
        <w:trPr>
          <w:divId w:val="1130901881"/>
        </w:trPr>
        <w:tc>
          <w:tcPr>
            <w:tcW w:w="22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UKUPNI RASHODI</w:t>
            </w:r>
          </w:p>
        </w:tc>
        <w:tc>
          <w:tcPr>
            <w:tcW w:w="7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1.106.020.178</w:t>
            </w:r>
          </w:p>
        </w:tc>
        <w:tc>
          <w:tcPr>
            <w:tcW w:w="7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-129.574.224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976.445.954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88,28</w:t>
            </w:r>
          </w:p>
        </w:tc>
      </w:tr>
    </w:tbl>
    <w:p w:rsidR="00000000" w:rsidRPr="007E212E" w:rsidRDefault="00752569">
      <w:pPr>
        <w:divId w:val="1130901881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Pr="007E212E" w:rsidRDefault="00752569">
      <w:pPr>
        <w:pStyle w:val="StandardWeb"/>
        <w:spacing w:after="0" w:afterAutospacing="0"/>
        <w:jc w:val="both"/>
        <w:divId w:val="1130901881"/>
      </w:pPr>
      <w:r w:rsidRPr="007E212E">
        <w:rPr>
          <w:bCs/>
          <w:color w:val="000000" w:themeColor="text1"/>
        </w:rPr>
        <w:t>Ukupni rashodi</w:t>
      </w:r>
      <w:r w:rsidRPr="007E212E">
        <w:rPr>
          <w:b/>
          <w:bCs/>
          <w:color w:val="000000" w:themeColor="text1"/>
        </w:rPr>
        <w:t xml:space="preserve"> </w:t>
      </w:r>
      <w:r w:rsidRPr="007E212E">
        <w:rPr>
          <w:color w:val="000000" w:themeColor="text1"/>
        </w:rPr>
        <w:t xml:space="preserve">u Prijedlogu izmjena i dopuna Financijskog plana za 2022. </w:t>
      </w:r>
      <w:r w:rsidRPr="007E212E">
        <w:rPr>
          <w:color w:val="000000" w:themeColor="text1"/>
        </w:rPr>
        <w:t xml:space="preserve">godinu iznose 976.445.954 kune te su za 129.574.224 kune, odnosno 11,7 % manji  u odnosu na usvojeni plan. </w:t>
      </w:r>
    </w:p>
    <w:p w:rsidR="00000000" w:rsidRPr="007E212E" w:rsidRDefault="00752569">
      <w:pPr>
        <w:pStyle w:val="StandardWeb"/>
        <w:spacing w:after="0" w:afterAutospacing="0"/>
        <w:jc w:val="both"/>
        <w:divId w:val="1130901881"/>
      </w:pPr>
      <w:r w:rsidRPr="007E212E">
        <w:rPr>
          <w:color w:val="000000" w:themeColor="text1"/>
        </w:rPr>
        <w:lastRenderedPageBreak/>
        <w:t>Planirani rashodi za zaposlene veći su za 6.792.472 kune u odnosu na usvojeni plan, odnosno 2,9%.</w:t>
      </w:r>
    </w:p>
    <w:p w:rsidR="00000000" w:rsidRPr="007E212E" w:rsidRDefault="00752569">
      <w:pPr>
        <w:pStyle w:val="StandardWeb"/>
        <w:spacing w:after="0" w:afterAutospacing="0"/>
        <w:jc w:val="both"/>
        <w:divId w:val="1130901881"/>
      </w:pPr>
      <w:r w:rsidRPr="007E212E">
        <w:rPr>
          <w:color w:val="000000" w:themeColor="text1"/>
        </w:rPr>
        <w:t>Materijalni rashodi smanjeni su za 14.380.697 kuna</w:t>
      </w:r>
      <w:r w:rsidRPr="007E212E">
        <w:rPr>
          <w:color w:val="000000" w:themeColor="text1"/>
        </w:rPr>
        <w:t xml:space="preserve">, odnosno 3,3 % u odnosu na usvojeni plan. </w:t>
      </w:r>
    </w:p>
    <w:p w:rsidR="00000000" w:rsidRPr="007E212E" w:rsidRDefault="00752569">
      <w:pPr>
        <w:pStyle w:val="StandardWeb"/>
        <w:spacing w:after="0" w:afterAutospacing="0"/>
        <w:jc w:val="both"/>
        <w:divId w:val="1130901881"/>
      </w:pPr>
      <w:r w:rsidRPr="007E212E">
        <w:rPr>
          <w:color w:val="000000" w:themeColor="text1"/>
        </w:rPr>
        <w:t xml:space="preserve">Financijski rashodi iznose 14.511.000 kuna te su za 550.000 kuna veći u odnosu na usvojeni plan. </w:t>
      </w:r>
    </w:p>
    <w:p w:rsidR="00000000" w:rsidRPr="007E212E" w:rsidRDefault="00752569">
      <w:pPr>
        <w:pStyle w:val="StandardWeb"/>
        <w:spacing w:after="0" w:afterAutospacing="0"/>
        <w:jc w:val="both"/>
        <w:divId w:val="1130901881"/>
      </w:pPr>
      <w:r w:rsidRPr="007E212E">
        <w:t>Rashodi za nabavu nefinancijske imovine iznose 293.940.141 kunu te su manji za 123.933.999 kuna u odnosu na usvoje</w:t>
      </w:r>
      <w:r w:rsidRPr="007E212E">
        <w:t xml:space="preserve">ni plan </w:t>
      </w:r>
      <w:r w:rsidRPr="007E212E">
        <w:rPr>
          <w:color w:val="000000" w:themeColor="text1"/>
        </w:rPr>
        <w:t>zbog promjena u dinamici realizacije projekata</w:t>
      </w:r>
      <w:r w:rsidRPr="007E212E">
        <w:t>, a čine ih:</w:t>
      </w:r>
    </w:p>
    <w:p w:rsidR="00000000" w:rsidRPr="007E212E" w:rsidRDefault="00752569">
      <w:pPr>
        <w:pStyle w:val="StandardWeb"/>
        <w:autoSpaceDE w:val="0"/>
        <w:autoSpaceDN w:val="0"/>
        <w:adjustRightInd w:val="0"/>
        <w:spacing w:before="0" w:beforeAutospacing="0" w:after="0" w:afterAutospacing="0"/>
        <w:ind w:left="1080" w:hanging="360"/>
        <w:contextualSpacing/>
        <w:jc w:val="both"/>
        <w:divId w:val="1130901881"/>
      </w:pPr>
      <w:r w:rsidRPr="007E212E">
        <w:rPr>
          <w:rFonts w:eastAsia="Arial"/>
          <w:color w:val="000000" w:themeColor="text1"/>
        </w:rPr>
        <w:t>-</w:t>
      </w:r>
      <w:r w:rsidRPr="007E212E">
        <w:rPr>
          <w:rFonts w:eastAsia="Arial"/>
          <w:color w:val="000000" w:themeColor="text1"/>
          <w:sz w:val="14"/>
          <w:szCs w:val="14"/>
        </w:rPr>
        <w:t xml:space="preserve">       </w:t>
      </w:r>
      <w:r w:rsidRPr="007E212E">
        <w:rPr>
          <w:color w:val="000000" w:themeColor="text1"/>
        </w:rPr>
        <w:t xml:space="preserve">rashodi za nabavu proizvedene dugotrajne imovine u iznosu od 267.440.141 kunu koji se odnose na </w:t>
      </w:r>
      <w:bookmarkStart w:id="0" w:name="_Hlk22130048"/>
      <w:r w:rsidRPr="007E212E">
        <w:rPr>
          <w:color w:val="000000" w:themeColor="text1"/>
        </w:rPr>
        <w:t xml:space="preserve">prijevozna sredstva u iznosu od 259.140.141 </w:t>
      </w:r>
      <w:bookmarkEnd w:id="0"/>
      <w:r w:rsidRPr="007E212E">
        <w:rPr>
          <w:color w:val="000000" w:themeColor="text1"/>
        </w:rPr>
        <w:t xml:space="preserve">kunu i </w:t>
      </w:r>
      <w:bookmarkStart w:id="1" w:name="_Hlk22131282"/>
      <w:r w:rsidRPr="007E212E">
        <w:rPr>
          <w:color w:val="000000" w:themeColor="text1"/>
        </w:rPr>
        <w:t xml:space="preserve">nematerijalnu proizvedenu imovinu </w:t>
      </w:r>
      <w:r w:rsidRPr="007E212E">
        <w:rPr>
          <w:color w:val="000000" w:themeColor="text1"/>
        </w:rPr>
        <w:t>u iznosu od 8.300.000 kuna</w:t>
      </w:r>
    </w:p>
    <w:bookmarkEnd w:id="1"/>
    <w:p w:rsidR="00000000" w:rsidRPr="007E212E" w:rsidRDefault="00752569">
      <w:pPr>
        <w:pStyle w:val="StandardWeb"/>
        <w:autoSpaceDE w:val="0"/>
        <w:autoSpaceDN w:val="0"/>
        <w:adjustRightInd w:val="0"/>
        <w:spacing w:before="0" w:beforeAutospacing="0" w:after="0" w:afterAutospacing="0"/>
        <w:ind w:left="1080" w:hanging="360"/>
        <w:contextualSpacing/>
        <w:jc w:val="both"/>
        <w:divId w:val="1130901881"/>
      </w:pPr>
      <w:r w:rsidRPr="007E212E">
        <w:rPr>
          <w:rFonts w:eastAsia="Arial"/>
          <w:color w:val="000000" w:themeColor="text1"/>
        </w:rPr>
        <w:t>-</w:t>
      </w:r>
      <w:r w:rsidRPr="007E212E">
        <w:rPr>
          <w:rFonts w:eastAsia="Arial"/>
          <w:color w:val="000000" w:themeColor="text1"/>
          <w:sz w:val="14"/>
          <w:szCs w:val="14"/>
        </w:rPr>
        <w:t xml:space="preserve">       </w:t>
      </w:r>
      <w:r w:rsidRPr="007E212E">
        <w:rPr>
          <w:color w:val="000000" w:themeColor="text1"/>
        </w:rPr>
        <w:t>rashodi za dodatna ulaganja na nefinancijskoj imovini u iznosu od 26.500.000  kuna, a odnose na ulaganja u prijevozna sredstva, građevinske objekte te ostalu nefinancijsku imovinu.</w:t>
      </w:r>
    </w:p>
    <w:p w:rsidR="00000000" w:rsidRPr="007E212E" w:rsidRDefault="00752569">
      <w:pPr>
        <w:divId w:val="1130901881"/>
        <w:rPr>
          <w:rFonts w:ascii="Times New Roman" w:eastAsia="Times New Roman" w:hAnsi="Times New Roman" w:cs="Times New Roman"/>
        </w:rPr>
      </w:pPr>
    </w:p>
    <w:p w:rsidR="00000000" w:rsidRPr="007E212E" w:rsidRDefault="00752569">
      <w:pPr>
        <w:divId w:val="1130901881"/>
        <w:rPr>
          <w:rFonts w:ascii="Times New Roman" w:eastAsia="Times New Roman" w:hAnsi="Times New Roman" w:cs="Times New Roman"/>
        </w:rPr>
      </w:pPr>
    </w:p>
    <w:p w:rsidR="00000000" w:rsidRPr="007E212E" w:rsidRDefault="00752569">
      <w:pPr>
        <w:pStyle w:val="Naslov2"/>
        <w:divId w:val="1130901881"/>
        <w:rPr>
          <w:rFonts w:eastAsia="Times New Roman"/>
          <w:u w:val="single"/>
        </w:rPr>
      </w:pPr>
      <w:r w:rsidRPr="007E212E">
        <w:rPr>
          <w:rFonts w:eastAsia="Times New Roman"/>
          <w:u w:val="single"/>
        </w:rPr>
        <w:t>RAČUN FINANCIRANJA</w:t>
      </w:r>
    </w:p>
    <w:p w:rsidR="00000000" w:rsidRPr="007E212E" w:rsidRDefault="00752569">
      <w:pPr>
        <w:divId w:val="1130901881"/>
        <w:rPr>
          <w:rFonts w:ascii="Times New Roman" w:eastAsia="Times New Roman" w:hAnsi="Times New Roman" w:cs="Times New Roman"/>
        </w:rPr>
      </w:pP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04"/>
        <w:gridCol w:w="1242"/>
        <w:gridCol w:w="1130"/>
        <w:gridCol w:w="1575"/>
        <w:gridCol w:w="821"/>
      </w:tblGrid>
      <w:tr w:rsidR="00000000" w:rsidRPr="007E212E" w:rsidTr="007E212E">
        <w:trPr>
          <w:divId w:val="1130901881"/>
        </w:trPr>
        <w:tc>
          <w:tcPr>
            <w:tcW w:w="2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Plan za 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7E212E" w:rsidRPr="007E212E" w:rsidRDefault="00752569" w:rsidP="007E212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Povećanje/</w:t>
            </w:r>
          </w:p>
          <w:p w:rsidR="00000000" w:rsidRPr="007E212E" w:rsidRDefault="00752569" w:rsidP="007E212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Smanjenje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Novi plan za 2022.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Indeks</w:t>
            </w:r>
          </w:p>
        </w:tc>
      </w:tr>
      <w:tr w:rsidR="00000000" w:rsidRPr="007E212E" w:rsidTr="007E212E">
        <w:trPr>
          <w:divId w:val="1130901881"/>
        </w:trPr>
        <w:tc>
          <w:tcPr>
            <w:tcW w:w="2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PRIMICI OD FINANCIJSKE IMOVINE I ZADUŽIVANJA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207.305.019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-1.364.901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205.940.118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99,34</w:t>
            </w:r>
          </w:p>
        </w:tc>
      </w:tr>
      <w:tr w:rsidR="00000000" w:rsidRPr="007E212E" w:rsidTr="007E212E">
        <w:trPr>
          <w:divId w:val="1130901881"/>
        </w:trPr>
        <w:tc>
          <w:tcPr>
            <w:tcW w:w="2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IZDACI ZA FINANCIJSKU IMOVINU I OTPLATE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53.000.000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53.000.000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100</w:t>
            </w:r>
          </w:p>
        </w:tc>
      </w:tr>
      <w:tr w:rsidR="00000000" w:rsidRPr="007E212E" w:rsidTr="007E212E">
        <w:trPr>
          <w:divId w:val="1130901881"/>
        </w:trPr>
        <w:tc>
          <w:tcPr>
            <w:tcW w:w="2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PRIJENOS DEPOZITA IZ PRETHODNE GODINE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72.690.460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72.690.460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100</w:t>
            </w:r>
          </w:p>
        </w:tc>
      </w:tr>
      <w:tr w:rsidR="00000000" w:rsidRPr="007E212E" w:rsidTr="007E212E">
        <w:trPr>
          <w:divId w:val="1130901881"/>
        </w:trPr>
        <w:tc>
          <w:tcPr>
            <w:tcW w:w="2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PRIJENOS DEPOZITA U SLJEDEĆU GODINU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-2.314.406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sz w:val="18"/>
                <w:szCs w:val="16"/>
              </w:rPr>
              <w:t>-2.314.406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</w:p>
        </w:tc>
      </w:tr>
      <w:tr w:rsidR="00000000" w:rsidRPr="007E212E" w:rsidTr="007E212E">
        <w:trPr>
          <w:divId w:val="1130901881"/>
        </w:trPr>
        <w:tc>
          <w:tcPr>
            <w:tcW w:w="2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7E212E" w:rsidRDefault="00752569" w:rsidP="007E212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7E212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NETO FINANCIRANJE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D50B9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4D50B9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226.995.479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D50B9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4D50B9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-3.679.307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D50B9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4D50B9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223.316.172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D50B9" w:rsidRDefault="00752569" w:rsidP="007E212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4D50B9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98,38</w:t>
            </w:r>
          </w:p>
        </w:tc>
      </w:tr>
    </w:tbl>
    <w:p w:rsidR="00000000" w:rsidRPr="007E212E" w:rsidRDefault="00752569">
      <w:pPr>
        <w:spacing w:after="240"/>
        <w:divId w:val="1130901881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Pr="007E212E" w:rsidRDefault="00752569">
      <w:pPr>
        <w:pStyle w:val="StandardWeb"/>
        <w:autoSpaceDE w:val="0"/>
        <w:autoSpaceDN w:val="0"/>
        <w:adjustRightInd w:val="0"/>
        <w:spacing w:after="0" w:afterAutospacing="0"/>
        <w:jc w:val="both"/>
        <w:divId w:val="1130901881"/>
      </w:pPr>
      <w:r w:rsidRPr="007E212E">
        <w:rPr>
          <w:color w:val="000000" w:themeColor="text1"/>
        </w:rPr>
        <w:t xml:space="preserve">Prijedlog izmjena i dopuna Financijskog plana HŽ Putničkog prijevoza za 2022. rezultira manjkom </w:t>
      </w:r>
      <w:r w:rsidRPr="007E212E">
        <w:rPr>
          <w:color w:val="000000" w:themeColor="text1"/>
        </w:rPr>
        <w:t xml:space="preserve">prihoda u odnosu na rashode u iznosu od 223.316.172 kune. </w:t>
      </w:r>
    </w:p>
    <w:p w:rsidR="00000000" w:rsidRPr="007E212E" w:rsidRDefault="00752569" w:rsidP="00752569">
      <w:pPr>
        <w:pStyle w:val="StandardWeb"/>
        <w:autoSpaceDE w:val="0"/>
        <w:autoSpaceDN w:val="0"/>
        <w:adjustRightInd w:val="0"/>
        <w:spacing w:after="0" w:afterAutospacing="0"/>
        <w:jc w:val="both"/>
        <w:divId w:val="1130901881"/>
      </w:pPr>
      <w:r w:rsidRPr="007E212E">
        <w:rPr>
          <w:color w:val="000000" w:themeColor="text1"/>
        </w:rPr>
        <w:t>Planirani primici od financijske imovine i zaduživanja za 2022. godinu iznose 205.940.118 kuna</w:t>
      </w:r>
      <w:bookmarkStart w:id="2" w:name="_GoBack"/>
      <w:bookmarkEnd w:id="2"/>
      <w:r w:rsidRPr="007E212E">
        <w:rPr>
          <w:color w:val="000000" w:themeColor="text1"/>
        </w:rPr>
        <w:t>, a odnose se na planirana zaduženja kod inozemnih kreditnih institucija vezana uz nabavu novih motorn</w:t>
      </w:r>
      <w:r w:rsidRPr="007E212E">
        <w:rPr>
          <w:color w:val="000000" w:themeColor="text1"/>
        </w:rPr>
        <w:t xml:space="preserve">ih vlakova. </w:t>
      </w:r>
    </w:p>
    <w:p w:rsidR="00000000" w:rsidRPr="007E212E" w:rsidRDefault="00752569" w:rsidP="004D50B9">
      <w:pPr>
        <w:pStyle w:val="StandardWeb"/>
        <w:shd w:val="clear" w:color="auto" w:fill="FFFFFF" w:themeFill="background1"/>
        <w:autoSpaceDE w:val="0"/>
        <w:autoSpaceDN w:val="0"/>
        <w:adjustRightInd w:val="0"/>
        <w:spacing w:after="0" w:afterAutospacing="0"/>
        <w:jc w:val="both"/>
        <w:divId w:val="1130901881"/>
      </w:pPr>
      <w:r w:rsidRPr="007E212E">
        <w:rPr>
          <w:color w:val="000000" w:themeColor="text1"/>
        </w:rPr>
        <w:t xml:space="preserve">Planirani izdaci za otplatu glavnice primljenih kredita i zajmova za 2022. godinu iznose 53.000.000 kuna te su nepromijenjeni u odnosu na usvojeni plan. </w:t>
      </w:r>
    </w:p>
    <w:sectPr w:rsidR="00000000" w:rsidRPr="007E212E" w:rsidSect="00C46C4C">
      <w:footerReference w:type="default" r:id="rId6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C4C" w:rsidRDefault="00C46C4C" w:rsidP="00C46C4C">
      <w:pPr>
        <w:spacing w:after="0" w:line="240" w:lineRule="auto"/>
      </w:pPr>
      <w:r>
        <w:separator/>
      </w:r>
    </w:p>
  </w:endnote>
  <w:endnote w:type="continuationSeparator" w:id="0">
    <w:p w:rsidR="00C46C4C" w:rsidRDefault="00C46C4C" w:rsidP="00C46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2371814"/>
      <w:docPartObj>
        <w:docPartGallery w:val="Page Numbers (Bottom of Page)"/>
        <w:docPartUnique/>
      </w:docPartObj>
    </w:sdtPr>
    <w:sdtContent>
      <w:p w:rsidR="00C46C4C" w:rsidRDefault="00C46C4C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2569">
          <w:rPr>
            <w:noProof/>
          </w:rPr>
          <w:t>2</w:t>
        </w:r>
        <w:r>
          <w:fldChar w:fldCharType="end"/>
        </w:r>
      </w:p>
    </w:sdtContent>
  </w:sdt>
  <w:p w:rsidR="00C46C4C" w:rsidRDefault="00C46C4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C4C" w:rsidRDefault="00C46C4C" w:rsidP="00C46C4C">
      <w:pPr>
        <w:spacing w:after="0" w:line="240" w:lineRule="auto"/>
      </w:pPr>
      <w:r>
        <w:separator/>
      </w:r>
    </w:p>
  </w:footnote>
  <w:footnote w:type="continuationSeparator" w:id="0">
    <w:p w:rsidR="00C46C4C" w:rsidRDefault="00C46C4C" w:rsidP="00C46C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04F45"/>
    <w:rsid w:val="00404F45"/>
    <w:rsid w:val="004D50B9"/>
    <w:rsid w:val="00591E06"/>
    <w:rsid w:val="00752569"/>
    <w:rsid w:val="007E212E"/>
    <w:rsid w:val="00AB5417"/>
    <w:rsid w:val="00B40E7E"/>
    <w:rsid w:val="00C4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A81D5"/>
  <w15:docId w15:val="{777C078C-CE65-43B7-AE4F-B4728BE36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pPr>
      <w:spacing w:before="100" w:beforeAutospacing="1" w:after="100" w:afterAutospacing="1" w:line="240" w:lineRule="auto"/>
      <w:outlineLvl w:val="0"/>
    </w:pPr>
    <w:rPr>
      <w:rFonts w:ascii="Calibri" w:hAnsi="Calibri" w:cs="Calibri"/>
      <w:b/>
      <w:bCs/>
      <w:kern w:val="36"/>
      <w:sz w:val="28"/>
      <w:szCs w:val="28"/>
    </w:rPr>
  </w:style>
  <w:style w:type="paragraph" w:styleId="Naslov2">
    <w:name w:val="heading 2"/>
    <w:basedOn w:val="Normal"/>
    <w:link w:val="Naslov2Char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Pr>
      <w:rFonts w:ascii="Calibri" w:hAnsi="Calibri" w:cs="Calibri"/>
      <w:b/>
      <w:bCs/>
      <w:kern w:val="36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"/>
    <w:rPr>
      <w:rFonts w:ascii="Times New Roman" w:hAnsi="Times New Roman" w:cs="Times New Roman"/>
      <w:b/>
      <w:bCs/>
      <w:sz w:val="24"/>
      <w:szCs w:val="24"/>
    </w:rPr>
  </w:style>
  <w:style w:type="paragraph" w:styleId="Standard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C46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46C4C"/>
  </w:style>
  <w:style w:type="paragraph" w:styleId="Podnoje">
    <w:name w:val="footer"/>
    <w:basedOn w:val="Normal"/>
    <w:link w:val="PodnojeChar"/>
    <w:uiPriority w:val="99"/>
    <w:unhideWhenUsed/>
    <w:rsid w:val="00C46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46C4C"/>
  </w:style>
  <w:style w:type="paragraph" w:styleId="Tekstbalonia">
    <w:name w:val="Balloon Text"/>
    <w:basedOn w:val="Normal"/>
    <w:link w:val="TekstbaloniaChar"/>
    <w:uiPriority w:val="99"/>
    <w:semiHidden/>
    <w:unhideWhenUsed/>
    <w:rsid w:val="00B40E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40E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90188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Hohnjec</cp:lastModifiedBy>
  <cp:revision>8</cp:revision>
  <cp:lastPrinted>2022-10-14T12:50:00Z</cp:lastPrinted>
  <dcterms:created xsi:type="dcterms:W3CDTF">2022-10-14T12:45:00Z</dcterms:created>
  <dcterms:modified xsi:type="dcterms:W3CDTF">2022-10-14T12:53:00Z</dcterms:modified>
</cp:coreProperties>
</file>