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0BA" w:rsidRDefault="006A101A">
      <w:pPr>
        <w:spacing w:line="240" w:lineRule="auto"/>
        <w:jc w:val="center"/>
      </w:pP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  <w:t>OBRAZLOŽENJE IZMJENA I DOPUNA FINANCIJSKOG PLANA HRVATSKIH VODA ZA  2023. GODINU I PROJEKCIJA PLANA ZA 2024. I 2025. GODINU</w:t>
      </w:r>
      <w:r>
        <w:rPr>
          <w:rFonts w:ascii="Calibri" w:hAnsi="Calibri" w:cs="Calibri"/>
          <w:b/>
          <w:sz w:val="28"/>
        </w:rPr>
        <w:br w:type="page"/>
      </w:r>
    </w:p>
    <w:p w:rsidR="00B200BA" w:rsidRDefault="006A101A">
      <w:pPr>
        <w:spacing w:line="240" w:lineRule="auto"/>
      </w:pPr>
      <w:r>
        <w:rPr>
          <w:rFonts w:ascii="Calibri" w:hAnsi="Calibri" w:cs="Calibri"/>
          <w:b/>
          <w:u w:val="single"/>
        </w:rPr>
        <w:lastRenderedPageBreak/>
        <w:br/>
        <w:t>UVOD</w:t>
      </w:r>
    </w:p>
    <w:p w:rsidR="00B200BA" w:rsidRDefault="006A101A">
      <w:pPr>
        <w:spacing w:line="240" w:lineRule="auto"/>
        <w:jc w:val="both"/>
      </w:pPr>
      <w:r>
        <w:rPr>
          <w:rFonts w:ascii="Calibri" w:hAnsi="Calibri" w:cs="Calibri"/>
        </w:rPr>
        <w:t xml:space="preserve">Sukladno pozivu Ministarstva financija, izrađen je prijedlog Izmjena i dopuna </w:t>
      </w:r>
      <w:r w:rsidR="001A6FF7">
        <w:rPr>
          <w:rFonts w:ascii="Calibri" w:hAnsi="Calibri" w:cs="Calibri"/>
        </w:rPr>
        <w:t>F</w:t>
      </w:r>
      <w:r>
        <w:rPr>
          <w:rFonts w:ascii="Calibri" w:hAnsi="Calibri" w:cs="Calibri"/>
        </w:rPr>
        <w:t>inancijskog plana Hrvatskih voda za 2023. godinu.</w:t>
      </w:r>
    </w:p>
    <w:p w:rsidR="00B200BA" w:rsidRDefault="006A101A">
      <w:pPr>
        <w:spacing w:line="240" w:lineRule="auto"/>
        <w:jc w:val="both"/>
      </w:pPr>
      <w:r>
        <w:rPr>
          <w:rFonts w:ascii="Calibri" w:hAnsi="Calibri" w:cs="Calibri"/>
        </w:rPr>
        <w:t>Temeljna odrednica ovog prijedloga je ostvareni višak prihoda iz prethodnog razdoblja u ukupnom iznosu od 7.415.207 EUR koji se raspoređuje na aktivnostima opremanja, obnavljanje melioracijskih građevina za odvodnju i navodnjavanje, ulaganja u obnovu i razvitak vodoopskrbe te ulaganja u objekte zaštite voda i mora od zagađivanja.</w:t>
      </w:r>
    </w:p>
    <w:p w:rsidR="00B200BA" w:rsidRDefault="006A101A">
      <w:pPr>
        <w:spacing w:line="240" w:lineRule="auto"/>
        <w:jc w:val="both"/>
      </w:pPr>
      <w:r>
        <w:rPr>
          <w:rFonts w:ascii="Calibri" w:hAnsi="Calibri" w:cs="Calibri"/>
        </w:rPr>
        <w:t>U prijedlogu Izmjena i dopuna Financijskog plana Hrvatskih voda za 2023. godinu, ukupni prihodi iznose 918.840.547 EUR i veći su za 68.609 EUR što je 0,01% u odnosu na Plan, a ukupni rashodi iznose 959.303.733 EUR i veći su za 7.483.816 EUR što je 0,79% u odnosu na Plan.</w:t>
      </w:r>
    </w:p>
    <w:p w:rsidR="00B200BA" w:rsidRDefault="006A101A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PRIHODI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097"/>
        <w:gridCol w:w="1639"/>
        <w:gridCol w:w="1638"/>
        <w:gridCol w:w="1638"/>
        <w:gridCol w:w="820"/>
      </w:tblGrid>
      <w:tr w:rsidR="00B200BA">
        <w:tc>
          <w:tcPr>
            <w:tcW w:w="2000" w:type="pct"/>
            <w:shd w:val="clear" w:color="auto" w:fill="BCDFFB"/>
            <w:vAlign w:val="center"/>
          </w:tcPr>
          <w:p w:rsidR="00B200BA" w:rsidRDefault="00B200BA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B200BA" w:rsidRDefault="006A101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B200BA" w:rsidRDefault="006A101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B200BA" w:rsidRDefault="006A101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B200BA" w:rsidRDefault="006A101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B200BA">
        <w:tc>
          <w:tcPr>
            <w:tcW w:w="2000" w:type="pct"/>
            <w:vAlign w:val="bottom"/>
          </w:tcPr>
          <w:p w:rsidR="00B200BA" w:rsidRDefault="006A101A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POSLOVANJA</w:t>
            </w:r>
          </w:p>
        </w:tc>
        <w:tc>
          <w:tcPr>
            <w:tcW w:w="8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918.758.665</w:t>
            </w:r>
          </w:p>
        </w:tc>
        <w:tc>
          <w:tcPr>
            <w:tcW w:w="8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68.609</w:t>
            </w:r>
          </w:p>
        </w:tc>
        <w:tc>
          <w:tcPr>
            <w:tcW w:w="8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918.827.274</w:t>
            </w:r>
          </w:p>
        </w:tc>
        <w:tc>
          <w:tcPr>
            <w:tcW w:w="4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  <w:tr w:rsidR="00B200BA">
        <w:tc>
          <w:tcPr>
            <w:tcW w:w="2000" w:type="pct"/>
            <w:vAlign w:val="bottom"/>
          </w:tcPr>
          <w:p w:rsidR="00B200BA" w:rsidRDefault="006A101A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OD PRODAJE NEFINANCIJSKE IMOVINE</w:t>
            </w:r>
          </w:p>
        </w:tc>
        <w:tc>
          <w:tcPr>
            <w:tcW w:w="8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13.273</w:t>
            </w:r>
          </w:p>
        </w:tc>
        <w:tc>
          <w:tcPr>
            <w:tcW w:w="8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13.273</w:t>
            </w:r>
          </w:p>
        </w:tc>
        <w:tc>
          <w:tcPr>
            <w:tcW w:w="4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  <w:tr w:rsidR="00B200BA">
        <w:tc>
          <w:tcPr>
            <w:tcW w:w="2000" w:type="pct"/>
            <w:vAlign w:val="bottom"/>
          </w:tcPr>
          <w:p w:rsidR="00B200BA" w:rsidRDefault="006A101A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918.771.938</w:t>
            </w:r>
          </w:p>
        </w:tc>
        <w:tc>
          <w:tcPr>
            <w:tcW w:w="8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68.609</w:t>
            </w:r>
          </w:p>
        </w:tc>
        <w:tc>
          <w:tcPr>
            <w:tcW w:w="8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918.840.547</w:t>
            </w:r>
          </w:p>
        </w:tc>
        <w:tc>
          <w:tcPr>
            <w:tcW w:w="4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100,0</w:t>
            </w:r>
          </w:p>
        </w:tc>
      </w:tr>
    </w:tbl>
    <w:p w:rsidR="00B200BA" w:rsidRDefault="00B200BA">
      <w:pPr>
        <w:spacing w:after="0" w:line="240" w:lineRule="auto"/>
      </w:pPr>
    </w:p>
    <w:p w:rsidR="00B200BA" w:rsidRDefault="006A101A">
      <w:pPr>
        <w:spacing w:line="240" w:lineRule="auto"/>
        <w:jc w:val="both"/>
      </w:pPr>
      <w:r>
        <w:rPr>
          <w:rFonts w:ascii="Calibri" w:hAnsi="Calibri" w:cs="Calibri"/>
          <w:b/>
        </w:rPr>
        <w:t>PRIHODI POSLOVANJA</w:t>
      </w:r>
    </w:p>
    <w:p w:rsidR="00B200BA" w:rsidRDefault="006A101A">
      <w:pPr>
        <w:spacing w:line="240" w:lineRule="auto"/>
        <w:jc w:val="both"/>
      </w:pPr>
      <w:r>
        <w:rPr>
          <w:rFonts w:ascii="Calibri" w:hAnsi="Calibri" w:cs="Calibri"/>
        </w:rPr>
        <w:t>Ukupno povećanje prihoda iznosi 68.609 EUR, odnosno sa planiranih 918.771.938 EUR na 918.840.547 EUR. Ovim prijedlogom izmjena i dopuna smanjuju se prihodi iz Fonda za pomorstvo i ribarstvo za 4.167.482 EUR iz razloga što se objava javnog poziva Ministarstva poljoprivrede za dostavu projektnih prijedloga vezanih uz osposobljavanje dovodnih kanala ribnjaka ne očekuje prije listopada 2023.</w:t>
      </w:r>
      <w:r w:rsidR="001A6FF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godine te se sukladno tome ne može očekivati planirani prihod, a povećavaju se prihodi iz Fonda solidarnosti za 3.725.782 EUR sukladno povećanoj realizaciji i dodatno odobrenim sredstvima iz Fonda solidarnosti.  </w:t>
      </w:r>
    </w:p>
    <w:p w:rsidR="00B200BA" w:rsidRDefault="006A101A">
      <w:pPr>
        <w:spacing w:line="240" w:lineRule="auto"/>
        <w:jc w:val="both"/>
      </w:pPr>
      <w:r>
        <w:rPr>
          <w:rFonts w:ascii="Calibri" w:hAnsi="Calibri" w:cs="Calibri"/>
        </w:rPr>
        <w:t>Odobrenje povećanja Ugovora o dodjeli bespovratnih sredstava „Sanacija šteta nastalih potresom od 28. i 29. prosinca 2020. godine na regulacijskim i zaštitnim vodnim građevinama na području Sisačko-moslavačke županije“ temeljem 1. dodatka ugovora po javnom pozivu FSEU.2022.MINGOR.01, odobrenje novog Ugovora o dodjeli bespovratnih sredstava „Osiguranje preventivne infrastrukture oštećene potresom od 22.</w:t>
      </w:r>
      <w:r w:rsidR="001A6FF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ožujka 2020.</w:t>
      </w:r>
      <w:r w:rsidR="001A6FF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godine na području grada Zagreba, Zagrebačke županije i </w:t>
      </w:r>
      <w:r w:rsidR="001A6FF7">
        <w:rPr>
          <w:rFonts w:ascii="Calibri" w:hAnsi="Calibri" w:cs="Calibri"/>
        </w:rPr>
        <w:t>K</w:t>
      </w:r>
      <w:r>
        <w:rPr>
          <w:rFonts w:ascii="Calibri" w:hAnsi="Calibri" w:cs="Calibri"/>
        </w:rPr>
        <w:t>rapinsko-zagorske županije – NOVA PRIJAVA“ po javnom pozivu FSEU.2022.MINGOR.05., poznati su konačni ugovoreni iznosi po sekundarnim ugovorima u sklopu gore navedenih ugovora o dodjeli te planirano povećanje dinamike izvođenja radova.</w:t>
      </w:r>
    </w:p>
    <w:p w:rsidR="00BB131B" w:rsidRDefault="006A101A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Ostali nespomenuti prihodi se povećavaju u iznosu od 510.309 EUR sukladno očekivanom povećanju prihoda s osnove refundacije troškova iz ranijih godina.</w:t>
      </w:r>
    </w:p>
    <w:p w:rsidR="00B200BA" w:rsidRDefault="00B200BA">
      <w:pPr>
        <w:spacing w:line="240" w:lineRule="auto"/>
        <w:jc w:val="both"/>
      </w:pPr>
    </w:p>
    <w:p w:rsidR="00B200BA" w:rsidRDefault="006A101A">
      <w:pPr>
        <w:spacing w:line="240" w:lineRule="auto"/>
      </w:pPr>
      <w:r>
        <w:rPr>
          <w:rFonts w:ascii="Calibri" w:hAnsi="Calibri" w:cs="Calibri"/>
          <w:b/>
          <w:u w:val="single"/>
        </w:rPr>
        <w:t>RASHODI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097"/>
        <w:gridCol w:w="1639"/>
        <w:gridCol w:w="1638"/>
        <w:gridCol w:w="1638"/>
        <w:gridCol w:w="820"/>
      </w:tblGrid>
      <w:tr w:rsidR="00B200BA">
        <w:tc>
          <w:tcPr>
            <w:tcW w:w="2000" w:type="pct"/>
            <w:shd w:val="clear" w:color="auto" w:fill="BCDFFB"/>
            <w:vAlign w:val="center"/>
          </w:tcPr>
          <w:p w:rsidR="00B200BA" w:rsidRDefault="00B200BA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B200BA" w:rsidRDefault="006A101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B200BA" w:rsidRDefault="006A101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B200BA" w:rsidRDefault="006A101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B200BA" w:rsidRDefault="006A101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B200BA">
        <w:tc>
          <w:tcPr>
            <w:tcW w:w="2000" w:type="pct"/>
            <w:vAlign w:val="bottom"/>
          </w:tcPr>
          <w:p w:rsidR="00B200BA" w:rsidRDefault="006A101A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POSLOVANJA</w:t>
            </w:r>
          </w:p>
        </w:tc>
        <w:tc>
          <w:tcPr>
            <w:tcW w:w="8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865.191.438</w:t>
            </w:r>
          </w:p>
        </w:tc>
        <w:tc>
          <w:tcPr>
            <w:tcW w:w="8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6.303.816</w:t>
            </w:r>
          </w:p>
        </w:tc>
        <w:tc>
          <w:tcPr>
            <w:tcW w:w="8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871.495.254</w:t>
            </w:r>
          </w:p>
        </w:tc>
        <w:tc>
          <w:tcPr>
            <w:tcW w:w="4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100,7</w:t>
            </w:r>
          </w:p>
        </w:tc>
      </w:tr>
      <w:tr w:rsidR="00B200BA">
        <w:tc>
          <w:tcPr>
            <w:tcW w:w="2000" w:type="pct"/>
            <w:vAlign w:val="bottom"/>
          </w:tcPr>
          <w:p w:rsidR="00B200BA" w:rsidRDefault="006A101A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ZA NABAVU NEFINANCIJSKE IMOVINE</w:t>
            </w:r>
          </w:p>
        </w:tc>
        <w:tc>
          <w:tcPr>
            <w:tcW w:w="8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86.628.479</w:t>
            </w:r>
          </w:p>
        </w:tc>
        <w:tc>
          <w:tcPr>
            <w:tcW w:w="8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1.180.000</w:t>
            </w:r>
          </w:p>
        </w:tc>
        <w:tc>
          <w:tcPr>
            <w:tcW w:w="8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87.808.479</w:t>
            </w:r>
          </w:p>
        </w:tc>
        <w:tc>
          <w:tcPr>
            <w:tcW w:w="4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101,4</w:t>
            </w:r>
          </w:p>
        </w:tc>
      </w:tr>
      <w:tr w:rsidR="00B200BA">
        <w:tc>
          <w:tcPr>
            <w:tcW w:w="2000" w:type="pct"/>
            <w:vAlign w:val="bottom"/>
          </w:tcPr>
          <w:p w:rsidR="00B200BA" w:rsidRDefault="006A101A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951.819.917</w:t>
            </w:r>
          </w:p>
        </w:tc>
        <w:tc>
          <w:tcPr>
            <w:tcW w:w="8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7.483.816</w:t>
            </w:r>
          </w:p>
        </w:tc>
        <w:tc>
          <w:tcPr>
            <w:tcW w:w="8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959.303.733</w:t>
            </w:r>
          </w:p>
        </w:tc>
        <w:tc>
          <w:tcPr>
            <w:tcW w:w="4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100,8</w:t>
            </w:r>
          </w:p>
        </w:tc>
      </w:tr>
    </w:tbl>
    <w:p w:rsidR="00B200BA" w:rsidRDefault="00B200BA">
      <w:pPr>
        <w:spacing w:after="0" w:line="240" w:lineRule="auto"/>
      </w:pPr>
    </w:p>
    <w:p w:rsidR="00BB131B" w:rsidRDefault="00BB131B">
      <w:pPr>
        <w:spacing w:line="240" w:lineRule="auto"/>
        <w:jc w:val="both"/>
        <w:rPr>
          <w:rFonts w:ascii="Calibri" w:hAnsi="Calibri" w:cs="Calibri"/>
          <w:b/>
        </w:rPr>
      </w:pPr>
    </w:p>
    <w:p w:rsidR="00B200BA" w:rsidRDefault="006A101A">
      <w:pPr>
        <w:spacing w:line="240" w:lineRule="auto"/>
        <w:jc w:val="both"/>
      </w:pPr>
      <w:r>
        <w:rPr>
          <w:rFonts w:ascii="Calibri" w:hAnsi="Calibri" w:cs="Calibri"/>
          <w:b/>
        </w:rPr>
        <w:lastRenderedPageBreak/>
        <w:t>RASHODI</w:t>
      </w:r>
    </w:p>
    <w:p w:rsidR="00B200BA" w:rsidRDefault="006A101A">
      <w:pPr>
        <w:spacing w:line="240" w:lineRule="auto"/>
        <w:jc w:val="both"/>
      </w:pPr>
      <w:r>
        <w:rPr>
          <w:rFonts w:ascii="Calibri" w:hAnsi="Calibri" w:cs="Calibri"/>
          <w:b/>
        </w:rPr>
        <w:t>(II. Posebni dio Financijskog plana)</w:t>
      </w:r>
    </w:p>
    <w:p w:rsidR="00B200BA" w:rsidRDefault="006A101A">
      <w:pPr>
        <w:spacing w:line="240" w:lineRule="auto"/>
        <w:jc w:val="both"/>
      </w:pPr>
      <w:r>
        <w:rPr>
          <w:rFonts w:ascii="Calibri" w:hAnsi="Calibri" w:cs="Calibri"/>
        </w:rPr>
        <w:t>Sukladno prijedlogu Izmjena i dopuna prihoda izrađen je prijedlog rashodovnog dijela Izmjena i dopuna Financijskog plana za 2023. godinu.</w:t>
      </w:r>
    </w:p>
    <w:p w:rsidR="00B200BA" w:rsidRDefault="006A101A">
      <w:pPr>
        <w:spacing w:line="240" w:lineRule="auto"/>
        <w:jc w:val="both"/>
      </w:pPr>
      <w:r>
        <w:rPr>
          <w:rFonts w:ascii="Calibri" w:hAnsi="Calibri" w:cs="Calibri"/>
        </w:rPr>
        <w:t xml:space="preserve">U odnosu na Plan ukupni rashodi veći su za 7.483.816 EUR. </w:t>
      </w:r>
    </w:p>
    <w:p w:rsidR="00B200BA" w:rsidRDefault="006A101A">
      <w:pPr>
        <w:spacing w:line="240" w:lineRule="auto"/>
        <w:jc w:val="both"/>
      </w:pPr>
      <w:r>
        <w:rPr>
          <w:rFonts w:ascii="Calibri" w:hAnsi="Calibri" w:cs="Calibri"/>
        </w:rPr>
        <w:t>Izmjene – povećanja su na slijedećim stavkama:</w:t>
      </w:r>
    </w:p>
    <w:p w:rsidR="00B200BA" w:rsidRDefault="006A101A">
      <w:pPr>
        <w:spacing w:line="240" w:lineRule="auto"/>
        <w:jc w:val="both"/>
      </w:pPr>
      <w:r>
        <w:rPr>
          <w:rFonts w:ascii="Calibri" w:hAnsi="Calibri" w:cs="Calibri"/>
        </w:rPr>
        <w:t> </w:t>
      </w:r>
    </w:p>
    <w:p w:rsidR="00B200BA" w:rsidRDefault="006A101A">
      <w:pPr>
        <w:spacing w:line="240" w:lineRule="auto"/>
        <w:jc w:val="both"/>
      </w:pPr>
      <w:r>
        <w:rPr>
          <w:rFonts w:ascii="Calibri" w:hAnsi="Calibri" w:cs="Calibri"/>
          <w:b/>
        </w:rPr>
        <w:t>1000 ADMINISTRATIVNO UPRAVLJANJE I OPREMANJE</w:t>
      </w:r>
    </w:p>
    <w:p w:rsidR="00B200BA" w:rsidRDefault="006A101A">
      <w:pPr>
        <w:spacing w:line="240" w:lineRule="auto"/>
        <w:jc w:val="both"/>
      </w:pPr>
      <w:r>
        <w:rPr>
          <w:rFonts w:ascii="Calibri" w:hAnsi="Calibri" w:cs="Calibri"/>
        </w:rPr>
        <w:t>Ovaj program povećava se za 1.180.000 EUR, sa planiranih 43.669.787 EUR na 44.849.787 EUR, odnosno za 2,70% i to kako slijedi:</w:t>
      </w:r>
    </w:p>
    <w:p w:rsidR="00B200BA" w:rsidRDefault="006A101A">
      <w:pPr>
        <w:spacing w:line="240" w:lineRule="auto"/>
        <w:ind w:right="1311"/>
        <w:jc w:val="both"/>
      </w:pPr>
      <w:r>
        <w:rPr>
          <w:rFonts w:ascii="Calibri" w:hAnsi="Calibri" w:cs="Calibri"/>
          <w:b/>
        </w:rPr>
        <w:t> </w:t>
      </w:r>
    </w:p>
    <w:p w:rsidR="00B200BA" w:rsidRDefault="006A101A">
      <w:pPr>
        <w:spacing w:line="240" w:lineRule="auto"/>
        <w:ind w:right="1311"/>
        <w:jc w:val="both"/>
      </w:pPr>
      <w:r>
        <w:rPr>
          <w:rFonts w:ascii="Calibri" w:hAnsi="Calibri" w:cs="Calibri"/>
          <w:b/>
        </w:rPr>
        <w:t>K100000 OPREMANJE</w:t>
      </w:r>
    </w:p>
    <w:p w:rsidR="00B200BA" w:rsidRDefault="006A101A">
      <w:pPr>
        <w:spacing w:line="240" w:lineRule="auto"/>
        <w:ind w:right="1311"/>
        <w:jc w:val="both"/>
      </w:pPr>
      <w:r>
        <w:rPr>
          <w:rFonts w:ascii="Calibri" w:hAnsi="Calibri" w:cs="Calibri"/>
          <w:i/>
        </w:rPr>
        <w:t>/pozicija u Planu upravljanja vodama B.01./</w:t>
      </w:r>
    </w:p>
    <w:p w:rsidR="00B200BA" w:rsidRDefault="006A101A">
      <w:pPr>
        <w:spacing w:line="240" w:lineRule="auto"/>
        <w:jc w:val="both"/>
      </w:pPr>
      <w:r>
        <w:rPr>
          <w:rFonts w:ascii="Calibri" w:hAnsi="Calibri" w:cs="Calibri"/>
        </w:rPr>
        <w:t>Rashodi ove aktivnosti povećavaju se za 800.000 EUR u odnosu na Plan, odnosno sa 351.715 EUR na 1.151.715 EUR i to za nabavu box barijera, radi dopune skladišta i osiguranja dovoljnih količina istih na zalihama, a u svrhu potrebe hitnih intervencija obrane od poplave na svim branjenim područjima u Republici Hrvatskoj.</w:t>
      </w:r>
    </w:p>
    <w:p w:rsidR="00B200BA" w:rsidRDefault="006A101A">
      <w:pPr>
        <w:spacing w:line="240" w:lineRule="auto"/>
        <w:jc w:val="both"/>
      </w:pPr>
      <w:r>
        <w:rPr>
          <w:rFonts w:ascii="Calibri" w:hAnsi="Calibri" w:cs="Calibri"/>
        </w:rPr>
        <w:t>Povećanje rashoda za ovu aktivnost planira se osigurati iz viška prihoda.</w:t>
      </w:r>
    </w:p>
    <w:p w:rsidR="00B200BA" w:rsidRDefault="006A101A">
      <w:pPr>
        <w:spacing w:line="240" w:lineRule="auto"/>
        <w:jc w:val="both"/>
      </w:pPr>
      <w:r>
        <w:rPr>
          <w:rFonts w:ascii="Calibri" w:hAnsi="Calibri" w:cs="Calibri"/>
        </w:rPr>
        <w:t> </w:t>
      </w:r>
    </w:p>
    <w:p w:rsidR="00B200BA" w:rsidRDefault="006A101A">
      <w:pPr>
        <w:spacing w:line="240" w:lineRule="auto"/>
        <w:ind w:right="1311"/>
        <w:jc w:val="both"/>
      </w:pPr>
      <w:r>
        <w:rPr>
          <w:rFonts w:ascii="Calibri" w:hAnsi="Calibri" w:cs="Calibri"/>
          <w:b/>
        </w:rPr>
        <w:t>K100002 POSLOVNE ZGRADE</w:t>
      </w:r>
    </w:p>
    <w:p w:rsidR="00B200BA" w:rsidRDefault="006A101A">
      <w:pPr>
        <w:spacing w:line="240" w:lineRule="auto"/>
        <w:ind w:right="1311"/>
        <w:jc w:val="both"/>
      </w:pPr>
      <w:r>
        <w:rPr>
          <w:rFonts w:ascii="Calibri" w:hAnsi="Calibri" w:cs="Calibri"/>
          <w:i/>
        </w:rPr>
        <w:t>/pozicija u Planu upravljanja vodama B.01./</w:t>
      </w:r>
    </w:p>
    <w:p w:rsidR="00B200BA" w:rsidRDefault="006A101A">
      <w:pPr>
        <w:spacing w:line="240" w:lineRule="auto"/>
        <w:jc w:val="both"/>
      </w:pPr>
      <w:r>
        <w:rPr>
          <w:rFonts w:ascii="Calibri" w:hAnsi="Calibri" w:cs="Calibri"/>
        </w:rPr>
        <w:t>Rashodi ove aktivnosti povećavaju se za 380.000 EUR u odnosu na Plan, odnosno sa 3.128.144 EUR na 3.508.144 EUR i to zbog dovršetka radova na izgradnji novog poslovnog prostora i Centra obrane od poplava vodnogospodarske ispostave Opuzen, uključujući usluge nadzora i prateće troškove, kao i dovršenja radova na novim poslovnim objektima u Dardi, Donjem Miholjcu i Virovitici s pratećim troškovima, uz ostala ranije planirana ulaganja u poslovne objekte.</w:t>
      </w:r>
    </w:p>
    <w:p w:rsidR="00B200BA" w:rsidRDefault="006A101A">
      <w:pPr>
        <w:spacing w:line="240" w:lineRule="auto"/>
        <w:jc w:val="both"/>
      </w:pPr>
      <w:r>
        <w:rPr>
          <w:rFonts w:ascii="Calibri" w:hAnsi="Calibri" w:cs="Calibri"/>
        </w:rPr>
        <w:t> </w:t>
      </w:r>
    </w:p>
    <w:p w:rsidR="00B200BA" w:rsidRDefault="006A101A">
      <w:pPr>
        <w:spacing w:line="240" w:lineRule="auto"/>
        <w:jc w:val="both"/>
      </w:pPr>
      <w:r>
        <w:rPr>
          <w:rFonts w:ascii="Calibri" w:hAnsi="Calibri" w:cs="Calibri"/>
          <w:b/>
        </w:rPr>
        <w:t>1002 TEKUĆE TEHNIČKO I GOSPODARSKO ODRŽAVANJE VODOTOKOVA I VODNIH GRAĐEVINA</w:t>
      </w:r>
    </w:p>
    <w:p w:rsidR="00B200BA" w:rsidRDefault="006A101A">
      <w:pPr>
        <w:spacing w:line="240" w:lineRule="auto"/>
        <w:jc w:val="both"/>
      </w:pPr>
      <w:r>
        <w:rPr>
          <w:rFonts w:ascii="Calibri" w:hAnsi="Calibri" w:cs="Calibri"/>
        </w:rPr>
        <w:t>Ovaj program povećava se za 3.648.617 EUR u odnosu na Plan, odnosno sa 172.298.095 EUR na 175.946.712 EUR, odnosno za 2,12%.</w:t>
      </w:r>
    </w:p>
    <w:p w:rsidR="00B200BA" w:rsidRDefault="006A101A">
      <w:pPr>
        <w:spacing w:line="240" w:lineRule="auto"/>
        <w:jc w:val="both"/>
      </w:pPr>
      <w:r>
        <w:rPr>
          <w:rFonts w:ascii="Calibri" w:hAnsi="Calibri" w:cs="Calibri"/>
          <w:b/>
        </w:rPr>
        <w:t> </w:t>
      </w:r>
    </w:p>
    <w:p w:rsidR="00B200BA" w:rsidRDefault="006A101A">
      <w:pPr>
        <w:spacing w:line="240" w:lineRule="auto"/>
        <w:jc w:val="both"/>
      </w:pPr>
      <w:r>
        <w:rPr>
          <w:rFonts w:ascii="Calibri" w:hAnsi="Calibri" w:cs="Calibri"/>
          <w:b/>
        </w:rPr>
        <w:t xml:space="preserve">A100004 REDOVNO ODRŽAVANJE I OBNAVLJANJE VODOTOKA, VODNIH GRAĐEVINA I VODNOG DOBRA </w:t>
      </w:r>
    </w:p>
    <w:p w:rsidR="00B200BA" w:rsidRDefault="006A101A">
      <w:pPr>
        <w:spacing w:line="240" w:lineRule="auto"/>
        <w:jc w:val="both"/>
      </w:pPr>
      <w:r>
        <w:rPr>
          <w:rFonts w:ascii="Calibri" w:hAnsi="Calibri" w:cs="Calibri"/>
        </w:rPr>
        <w:t>/pozicija u Planu upravljanja vodama A.02./</w:t>
      </w:r>
    </w:p>
    <w:p w:rsidR="00B200BA" w:rsidRDefault="006A101A">
      <w:pPr>
        <w:spacing w:line="240" w:lineRule="auto"/>
        <w:jc w:val="both"/>
      </w:pPr>
      <w:r>
        <w:rPr>
          <w:rFonts w:ascii="Calibri" w:hAnsi="Calibri" w:cs="Calibri"/>
        </w:rPr>
        <w:t>Ova aktivnost se predlaže povećati za iznos od 3.648.617 EUR. Rashodi za materijal i energiju povećavaju se u iznosu od 353.547 EUR. Rashodi za usluge tekućeg i investicijskog održavanja se povećavaju za iznos od 3.295.070 EUR, kako slijedi:</w:t>
      </w:r>
    </w:p>
    <w:p w:rsidR="00B200BA" w:rsidRDefault="006A101A">
      <w:pPr>
        <w:spacing w:line="240" w:lineRule="auto"/>
        <w:jc w:val="both"/>
      </w:pPr>
      <w:r>
        <w:rPr>
          <w:rFonts w:ascii="Calibri" w:hAnsi="Calibri" w:cs="Calibri"/>
        </w:rPr>
        <w:lastRenderedPageBreak/>
        <w:t xml:space="preserve">Temeljem zahtjeva Ministarstva unutarnjih poslova, Ravnateljstva policije, Uprave za granicu granice potrebno je osigurati čišćenje puteva, uređivanje prosjeka i uređivanje riječne obale uz državnu granicu, a u cilju provedbe kvalitetnije zaštite državne granice (bolja vidljivost granične crte) </w:t>
      </w:r>
      <w:r w:rsidR="008C2F6E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iznos od 658.259 EUR i to za</w:t>
      </w:r>
    </w:p>
    <w:p w:rsidR="00B200BA" w:rsidRDefault="006A101A" w:rsidP="00BB131B">
      <w:pPr>
        <w:spacing w:after="0" w:line="240" w:lineRule="auto"/>
        <w:ind w:left="426" w:hanging="360"/>
        <w:jc w:val="both"/>
      </w:pPr>
      <w:r>
        <w:rPr>
          <w:rFonts w:ascii="Calibri" w:hAnsi="Calibri" w:cs="Calibri"/>
        </w:rPr>
        <w:t xml:space="preserve">·        područje maloga sliva Brodska Posavina </w:t>
      </w:r>
    </w:p>
    <w:p w:rsidR="00B200BA" w:rsidRDefault="006A101A" w:rsidP="00BB131B">
      <w:pPr>
        <w:spacing w:line="240" w:lineRule="auto"/>
        <w:ind w:left="426" w:firstLine="720"/>
        <w:jc w:val="both"/>
      </w:pPr>
      <w:r>
        <w:rPr>
          <w:rFonts w:ascii="Calibri" w:hAnsi="Calibri" w:cs="Calibri"/>
        </w:rPr>
        <w:t xml:space="preserve">(dio koji se odnosi na Brodsko-posavsku županiju)                                                        248.259 EUR </w:t>
      </w:r>
    </w:p>
    <w:p w:rsidR="00B200BA" w:rsidRDefault="006A101A" w:rsidP="00BB131B">
      <w:pPr>
        <w:spacing w:after="0" w:line="240" w:lineRule="auto"/>
        <w:ind w:left="426" w:hanging="360"/>
        <w:jc w:val="both"/>
      </w:pPr>
      <w:r>
        <w:rPr>
          <w:rFonts w:ascii="Calibri" w:hAnsi="Calibri" w:cs="Calibri"/>
        </w:rPr>
        <w:t xml:space="preserve">·        područje maloga sliva Šumetlica-Crnac </w:t>
      </w:r>
    </w:p>
    <w:p w:rsidR="00B200BA" w:rsidRDefault="006A101A" w:rsidP="00BB131B">
      <w:pPr>
        <w:spacing w:line="240" w:lineRule="auto"/>
        <w:ind w:left="426" w:firstLine="720"/>
        <w:jc w:val="both"/>
      </w:pPr>
      <w:r>
        <w:rPr>
          <w:rFonts w:ascii="Calibri" w:hAnsi="Calibri" w:cs="Calibri"/>
        </w:rPr>
        <w:t>(dio koji se odnosi na Brodsko-posavsku županiju)                                                        150.000 EUR</w:t>
      </w:r>
    </w:p>
    <w:p w:rsidR="00B200BA" w:rsidRDefault="006A101A" w:rsidP="00BB131B">
      <w:pPr>
        <w:spacing w:after="0" w:line="240" w:lineRule="auto"/>
        <w:ind w:left="426" w:hanging="360"/>
        <w:jc w:val="both"/>
      </w:pPr>
      <w:r>
        <w:rPr>
          <w:rFonts w:ascii="Calibri" w:hAnsi="Calibri" w:cs="Calibri"/>
        </w:rPr>
        <w:t>·        područje maloga sliva Subocka-Strug</w:t>
      </w:r>
    </w:p>
    <w:p w:rsidR="00B200BA" w:rsidRDefault="006A101A" w:rsidP="00BB131B">
      <w:pPr>
        <w:spacing w:line="240" w:lineRule="auto"/>
        <w:ind w:left="426" w:firstLine="720"/>
        <w:jc w:val="both"/>
      </w:pPr>
      <w:r>
        <w:rPr>
          <w:rFonts w:ascii="Calibri" w:hAnsi="Calibri" w:cs="Calibri"/>
        </w:rPr>
        <w:t>(dio koji se odnosi na Sisačko-moslavačku županiju)                                                     260.000 EUR</w:t>
      </w:r>
    </w:p>
    <w:p w:rsidR="00B200BA" w:rsidRDefault="006A101A">
      <w:pPr>
        <w:spacing w:line="240" w:lineRule="auto"/>
        <w:jc w:val="both"/>
      </w:pPr>
      <w:r>
        <w:rPr>
          <w:rFonts w:ascii="Calibri" w:hAnsi="Calibri" w:cs="Calibri"/>
        </w:rPr>
        <w:t>Za hitne intervencije za dovršetak sanacije lokacija manjih šteta na vodnim građevinama  pogođenih razornim potresima iz 2020. godine (Petrinjski i Zagrebački potres), a u svrhu uspostave funkcionalnog stanja nasipa, uspostave funkcionalnog stanja zaštite korita vodotoka od erozije uz osiguranje protočnosti, uspostave funkcionalnog stanja sustava odvodnje uz osiguranje protočnosti</w:t>
      </w:r>
      <w:r w:rsidR="008C2F6E">
        <w:rPr>
          <w:rFonts w:ascii="Calibri" w:hAnsi="Calibri" w:cs="Calibri"/>
        </w:rPr>
        <w:t xml:space="preserve"> -</w:t>
      </w:r>
      <w:r>
        <w:rPr>
          <w:rFonts w:ascii="Calibri" w:hAnsi="Calibri" w:cs="Calibri"/>
        </w:rPr>
        <w:t xml:space="preserve"> iznos od 1.243.983 EUR i to za:</w:t>
      </w:r>
    </w:p>
    <w:p w:rsidR="00B200BA" w:rsidRDefault="006A101A" w:rsidP="00BB131B">
      <w:pPr>
        <w:spacing w:line="240" w:lineRule="auto"/>
        <w:ind w:left="426" w:hanging="360"/>
        <w:jc w:val="both"/>
      </w:pPr>
      <w:r>
        <w:rPr>
          <w:rFonts w:ascii="Calibri" w:hAnsi="Calibri" w:cs="Calibri"/>
        </w:rPr>
        <w:t xml:space="preserve">·        područje maloga sliva Zelina-Lonja i područje općine Rugvica,                                    </w:t>
      </w:r>
      <w:r w:rsidR="00BB131B">
        <w:rPr>
          <w:rFonts w:ascii="Calibri" w:hAnsi="Calibri" w:cs="Calibri"/>
        </w:rPr>
        <w:t xml:space="preserve">           </w:t>
      </w:r>
      <w:r>
        <w:rPr>
          <w:rFonts w:ascii="Calibri" w:hAnsi="Calibri" w:cs="Calibri"/>
        </w:rPr>
        <w:t>  80.000 EUR  </w:t>
      </w:r>
    </w:p>
    <w:p w:rsidR="00B200BA" w:rsidRDefault="006A101A" w:rsidP="00BB131B">
      <w:pPr>
        <w:spacing w:after="0" w:line="240" w:lineRule="auto"/>
        <w:ind w:left="426" w:hanging="360"/>
        <w:jc w:val="both"/>
      </w:pPr>
      <w:r>
        <w:rPr>
          <w:rFonts w:ascii="Calibri" w:hAnsi="Calibri" w:cs="Calibri"/>
        </w:rPr>
        <w:t xml:space="preserve">·        područje maloga sliva Kupa i jugoistočni dio područja malog sliva </w:t>
      </w:r>
    </w:p>
    <w:p w:rsidR="00B200BA" w:rsidRDefault="006A101A" w:rsidP="00BB131B">
      <w:pPr>
        <w:spacing w:after="0" w:line="240" w:lineRule="auto"/>
        <w:ind w:left="426" w:firstLine="142"/>
        <w:jc w:val="both"/>
      </w:pPr>
      <w:r>
        <w:rPr>
          <w:rFonts w:ascii="Calibri" w:hAnsi="Calibri" w:cs="Calibri"/>
        </w:rPr>
        <w:t xml:space="preserve">„Zagrebačko Prisavlje“ što uključuje: Grad Jastrebarsko i općine </w:t>
      </w:r>
    </w:p>
    <w:p w:rsidR="00B200BA" w:rsidRDefault="006A101A" w:rsidP="00BB131B">
      <w:pPr>
        <w:spacing w:line="240" w:lineRule="auto"/>
        <w:ind w:left="426" w:firstLine="142"/>
        <w:jc w:val="both"/>
      </w:pPr>
      <w:r>
        <w:rPr>
          <w:rFonts w:ascii="Calibri" w:hAnsi="Calibri" w:cs="Calibri"/>
        </w:rPr>
        <w:t xml:space="preserve">Žumberak, Krašić, Klinča Sela i Pisarovina                                                            </w:t>
      </w:r>
      <w:r w:rsidR="00BB131B">
        <w:rPr>
          <w:rFonts w:ascii="Calibri" w:hAnsi="Calibri" w:cs="Calibri"/>
        </w:rPr>
        <w:tab/>
        <w:t xml:space="preserve">  </w:t>
      </w:r>
      <w:r>
        <w:rPr>
          <w:rFonts w:ascii="Calibri" w:hAnsi="Calibri" w:cs="Calibri"/>
        </w:rPr>
        <w:t>         663.983 EUR</w:t>
      </w:r>
    </w:p>
    <w:p w:rsidR="00B200BA" w:rsidRDefault="006A101A" w:rsidP="00BB131B">
      <w:pPr>
        <w:spacing w:after="0" w:line="240" w:lineRule="auto"/>
        <w:ind w:left="426" w:hanging="360"/>
        <w:jc w:val="both"/>
      </w:pPr>
      <w:r>
        <w:rPr>
          <w:rFonts w:ascii="Calibri" w:hAnsi="Calibri" w:cs="Calibri"/>
        </w:rPr>
        <w:t xml:space="preserve">·        područje maloga sliva Krapina-Sutla i sjeverni dio područja </w:t>
      </w:r>
    </w:p>
    <w:p w:rsidR="00B200BA" w:rsidRDefault="006A101A" w:rsidP="00BB131B">
      <w:pPr>
        <w:spacing w:after="0" w:line="240" w:lineRule="auto"/>
        <w:ind w:left="426" w:firstLine="142"/>
        <w:jc w:val="both"/>
      </w:pPr>
      <w:r>
        <w:rPr>
          <w:rFonts w:ascii="Calibri" w:hAnsi="Calibri" w:cs="Calibri"/>
        </w:rPr>
        <w:t xml:space="preserve">maloga sliva »Zagrebačko prisavlje« što uključuje: </w:t>
      </w:r>
    </w:p>
    <w:p w:rsidR="00B200BA" w:rsidRDefault="006A101A" w:rsidP="00BB131B">
      <w:pPr>
        <w:spacing w:after="0" w:line="240" w:lineRule="auto"/>
        <w:ind w:left="426" w:firstLine="142"/>
        <w:jc w:val="both"/>
      </w:pPr>
      <w:r>
        <w:rPr>
          <w:rFonts w:ascii="Calibri" w:hAnsi="Calibri" w:cs="Calibri"/>
        </w:rPr>
        <w:t xml:space="preserve">Grad Zaprešić i općine Brdovec, Marija Gorica, Dubravica, </w:t>
      </w:r>
    </w:p>
    <w:p w:rsidR="00B200BA" w:rsidRDefault="00BB131B" w:rsidP="00BB131B">
      <w:pPr>
        <w:spacing w:line="240" w:lineRule="auto"/>
        <w:ind w:left="426" w:firstLine="142"/>
        <w:jc w:val="both"/>
      </w:pPr>
      <w:r>
        <w:rPr>
          <w:rFonts w:ascii="Calibri" w:hAnsi="Calibri" w:cs="Calibri"/>
        </w:rPr>
        <w:t>Pušća, Luka, Jakovlje i Bistra</w:t>
      </w:r>
      <w:r w:rsidR="006A101A">
        <w:rPr>
          <w:rFonts w:ascii="Calibri" w:hAnsi="Calibri" w:cs="Calibri"/>
        </w:rPr>
        <w:t>                                                                       </w:t>
      </w:r>
      <w:r>
        <w:rPr>
          <w:rFonts w:ascii="Calibri" w:hAnsi="Calibri" w:cs="Calibri"/>
        </w:rPr>
        <w:tab/>
        <w:t xml:space="preserve">     </w:t>
      </w:r>
      <w:r w:rsidR="006A101A">
        <w:rPr>
          <w:rFonts w:ascii="Calibri" w:hAnsi="Calibri" w:cs="Calibri"/>
        </w:rPr>
        <w:t xml:space="preserve">                    500.000 EUR</w:t>
      </w:r>
    </w:p>
    <w:p w:rsidR="00B200BA" w:rsidRDefault="006A101A">
      <w:pPr>
        <w:spacing w:line="240" w:lineRule="auto"/>
        <w:jc w:val="both"/>
      </w:pPr>
      <w:r>
        <w:rPr>
          <w:rFonts w:ascii="Calibri" w:hAnsi="Calibri" w:cs="Calibri"/>
        </w:rPr>
        <w:t xml:space="preserve">Za ostale troškove za hitne intervencije u području zaštite od štetnog djelovanja voda, a u svrhu uspostave funkcionalnog stanja zaštite korita vodotoka od erozije uz osiguranje protočnosti, uspostave funkcionalnog stanja sustava odvodnje uz osiguranje protočnosti i uspostave funkcionalnog stanja na bujičnim tokovima uz osiguranje protočnosti </w:t>
      </w:r>
      <w:r w:rsidR="008C2F6E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iznos od 410.898 EUR i to za:</w:t>
      </w:r>
    </w:p>
    <w:p w:rsidR="00B200BA" w:rsidRDefault="006A101A" w:rsidP="00BB131B">
      <w:pPr>
        <w:spacing w:line="240" w:lineRule="auto"/>
        <w:ind w:left="426" w:hanging="360"/>
        <w:jc w:val="both"/>
      </w:pPr>
      <w:r>
        <w:rPr>
          <w:rFonts w:ascii="Calibri" w:hAnsi="Calibri" w:cs="Calibri"/>
        </w:rPr>
        <w:t xml:space="preserve">·        područje maloga sliva Baranja, osim međudržavnih rijeka Drave i Dunava                  </w:t>
      </w:r>
      <w:r w:rsidR="00BB131B">
        <w:rPr>
          <w:rFonts w:ascii="Calibri" w:hAnsi="Calibri" w:cs="Calibri"/>
        </w:rPr>
        <w:t xml:space="preserve">  </w:t>
      </w:r>
      <w:r>
        <w:rPr>
          <w:rFonts w:ascii="Calibri" w:hAnsi="Calibri" w:cs="Calibri"/>
        </w:rPr>
        <w:t xml:space="preserve">  </w:t>
      </w:r>
      <w:r w:rsidR="00BB131B">
        <w:rPr>
          <w:rFonts w:ascii="Calibri" w:hAnsi="Calibri" w:cs="Calibri"/>
        </w:rPr>
        <w:t xml:space="preserve">     </w:t>
      </w:r>
      <w:r>
        <w:rPr>
          <w:rFonts w:ascii="Calibri" w:hAnsi="Calibri" w:cs="Calibri"/>
        </w:rPr>
        <w:t> 43.750 EUR</w:t>
      </w:r>
    </w:p>
    <w:p w:rsidR="00B200BA" w:rsidRDefault="006A101A" w:rsidP="00BB131B">
      <w:pPr>
        <w:spacing w:line="240" w:lineRule="auto"/>
        <w:ind w:left="426" w:hanging="360"/>
        <w:jc w:val="both"/>
      </w:pPr>
      <w:r>
        <w:rPr>
          <w:rFonts w:ascii="Calibri" w:hAnsi="Calibri" w:cs="Calibri"/>
        </w:rPr>
        <w:t>·        područje maloga sliva Karašica-Vučica, osim međudržavne rijeke Drave                 </w:t>
      </w:r>
      <w:r w:rsidR="00BB131B">
        <w:rPr>
          <w:rFonts w:ascii="Calibri" w:hAnsi="Calibri" w:cs="Calibri"/>
        </w:rPr>
        <w:t xml:space="preserve">      </w:t>
      </w:r>
      <w:r>
        <w:rPr>
          <w:rFonts w:ascii="Calibri" w:hAnsi="Calibri" w:cs="Calibri"/>
        </w:rPr>
        <w:t xml:space="preserve">    </w:t>
      </w:r>
      <w:r w:rsidR="00BB131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 367.148 EUR</w:t>
      </w:r>
    </w:p>
    <w:p w:rsidR="00B200BA" w:rsidRDefault="006A101A">
      <w:pPr>
        <w:spacing w:line="240" w:lineRule="auto"/>
        <w:jc w:val="both"/>
      </w:pPr>
      <w:r>
        <w:rPr>
          <w:rFonts w:ascii="Calibri" w:hAnsi="Calibri" w:cs="Calibri"/>
        </w:rPr>
        <w:t>Za aktivnu obranu od poplava na vodnim područjima iznos od 1.335.477 EUR.</w:t>
      </w:r>
    </w:p>
    <w:p w:rsidR="00B200BA" w:rsidRDefault="006A101A">
      <w:pPr>
        <w:spacing w:line="240" w:lineRule="auto"/>
        <w:jc w:val="both"/>
      </w:pPr>
      <w:r>
        <w:rPr>
          <w:rFonts w:ascii="Calibri" w:hAnsi="Calibri" w:cs="Calibri"/>
        </w:rPr>
        <w:t> </w:t>
      </w:r>
      <w:r>
        <w:rPr>
          <w:rFonts w:ascii="Calibri" w:hAnsi="Calibri" w:cs="Calibri"/>
          <w:b/>
        </w:rPr>
        <w:t> </w:t>
      </w:r>
      <w:r>
        <w:rPr>
          <w:rFonts w:ascii="Calibri" w:hAnsi="Calibri" w:cs="Calibri"/>
        </w:rPr>
        <w:t> </w:t>
      </w:r>
    </w:p>
    <w:p w:rsidR="00B200BA" w:rsidRDefault="006A101A">
      <w:pPr>
        <w:spacing w:line="240" w:lineRule="auto"/>
        <w:jc w:val="both"/>
      </w:pPr>
      <w:r>
        <w:rPr>
          <w:rFonts w:ascii="Calibri" w:hAnsi="Calibri" w:cs="Calibri"/>
          <w:b/>
        </w:rPr>
        <w:t xml:space="preserve">1003 PROGRAM INVESTICIJSKIH AKTIVNOSTI </w:t>
      </w:r>
    </w:p>
    <w:p w:rsidR="00B200BA" w:rsidRDefault="006A101A">
      <w:pPr>
        <w:spacing w:line="240" w:lineRule="auto"/>
        <w:jc w:val="both"/>
      </w:pPr>
      <w:r>
        <w:rPr>
          <w:rFonts w:ascii="Calibri" w:hAnsi="Calibri" w:cs="Calibri"/>
        </w:rPr>
        <w:t>Ukupne investicijske aktivnosti povećavaju se za 2.655.199 EUR u odnosu na plan odnosno sa 73</w:t>
      </w:r>
      <w:r w:rsidR="008C2F6E">
        <w:rPr>
          <w:rFonts w:ascii="Calibri" w:hAnsi="Calibri" w:cs="Calibri"/>
        </w:rPr>
        <w:t>2</w:t>
      </w:r>
      <w:r>
        <w:rPr>
          <w:rFonts w:ascii="Calibri" w:hAnsi="Calibri" w:cs="Calibri"/>
        </w:rPr>
        <w:t>.230.826 EUR na 734.886.025 EUR (povećanje za 0,36%) po aktivnostima kako slijedi:</w:t>
      </w:r>
    </w:p>
    <w:p w:rsidR="00B200BA" w:rsidRDefault="006A101A">
      <w:pPr>
        <w:spacing w:line="240" w:lineRule="auto"/>
        <w:jc w:val="both"/>
      </w:pPr>
      <w:r>
        <w:rPr>
          <w:rFonts w:ascii="Calibri" w:hAnsi="Calibri" w:cs="Calibri"/>
        </w:rPr>
        <w:t> </w:t>
      </w:r>
    </w:p>
    <w:p w:rsidR="00B200BA" w:rsidRDefault="006A101A">
      <w:pPr>
        <w:spacing w:line="240" w:lineRule="auto"/>
        <w:jc w:val="both"/>
      </w:pPr>
      <w:r>
        <w:rPr>
          <w:rFonts w:ascii="Calibri" w:hAnsi="Calibri" w:cs="Calibri"/>
          <w:b/>
        </w:rPr>
        <w:t>K100003 KAPITALNI RASHODI I TRANSFERI U PODRUČJU ZAŠTITE OD ŠTETNOG DJELOVANJA VODA I NAVODNJAVANJA</w:t>
      </w:r>
    </w:p>
    <w:p w:rsidR="00B200BA" w:rsidRDefault="006A101A">
      <w:pPr>
        <w:spacing w:line="240" w:lineRule="auto"/>
        <w:ind w:right="1311"/>
        <w:jc w:val="both"/>
      </w:pPr>
      <w:r>
        <w:rPr>
          <w:rFonts w:ascii="Calibri" w:hAnsi="Calibri" w:cs="Calibri"/>
          <w:i/>
        </w:rPr>
        <w:t>/pozicija u Planu upravljanja vodama B.02./</w:t>
      </w:r>
      <w:r>
        <w:rPr>
          <w:rFonts w:ascii="Calibri" w:hAnsi="Calibri" w:cs="Calibri"/>
        </w:rPr>
        <w:t> </w:t>
      </w:r>
    </w:p>
    <w:p w:rsidR="00B200BA" w:rsidRDefault="006A101A">
      <w:pPr>
        <w:spacing w:line="240" w:lineRule="auto"/>
        <w:jc w:val="both"/>
      </w:pPr>
      <w:r>
        <w:rPr>
          <w:rFonts w:ascii="Calibri" w:hAnsi="Calibri" w:cs="Calibri"/>
        </w:rPr>
        <w:t>U okviru ove aktivnosti  predlaže se povećanje od 125.000 EUR.</w:t>
      </w:r>
    </w:p>
    <w:p w:rsidR="00B200BA" w:rsidRDefault="006A101A">
      <w:pPr>
        <w:spacing w:line="240" w:lineRule="auto"/>
        <w:jc w:val="both"/>
      </w:pPr>
      <w:r>
        <w:rPr>
          <w:rFonts w:ascii="Calibri" w:hAnsi="Calibri" w:cs="Calibri"/>
        </w:rPr>
        <w:t>Za učešće u sufinanciranju vodnih sustava na jadranskom vodnom području iznos od 125.000 EUR i to na kapitalnim pomoćima unutar općeg proračuna:</w:t>
      </w:r>
    </w:p>
    <w:p w:rsidR="00B200BA" w:rsidRDefault="006A101A" w:rsidP="00BB131B">
      <w:pPr>
        <w:spacing w:after="0" w:line="240" w:lineRule="auto"/>
        <w:ind w:left="426" w:hanging="360"/>
        <w:jc w:val="both"/>
      </w:pPr>
      <w:r>
        <w:rPr>
          <w:rFonts w:ascii="Calibri" w:hAnsi="Calibri" w:cs="Calibri"/>
        </w:rPr>
        <w:lastRenderedPageBreak/>
        <w:t>·     </w:t>
      </w:r>
      <w:r w:rsidR="0082287F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sufinanciranje radova u Šibensko - kninskoj županiji na </w:t>
      </w:r>
    </w:p>
    <w:p w:rsidR="00B200BA" w:rsidRDefault="006A101A" w:rsidP="00BB131B">
      <w:pPr>
        <w:spacing w:line="240" w:lineRule="auto"/>
        <w:ind w:left="426"/>
        <w:jc w:val="both"/>
      </w:pPr>
      <w:r>
        <w:rPr>
          <w:rFonts w:ascii="Calibri" w:hAnsi="Calibri" w:cs="Calibri"/>
        </w:rPr>
        <w:t>rijeci Butižnici u Raškovićima kod Knina                                                                                         25.000 EUR</w:t>
      </w:r>
    </w:p>
    <w:p w:rsidR="00B200BA" w:rsidRDefault="006A101A" w:rsidP="00BB131B">
      <w:pPr>
        <w:spacing w:after="0" w:line="240" w:lineRule="auto"/>
        <w:ind w:left="426" w:hanging="360"/>
        <w:jc w:val="both"/>
      </w:pPr>
      <w:r>
        <w:rPr>
          <w:rFonts w:ascii="Calibri" w:hAnsi="Calibri" w:cs="Calibri"/>
        </w:rPr>
        <w:t xml:space="preserve">·      sufinanciranje uređenja oborinske odvodnje naselja </w:t>
      </w:r>
    </w:p>
    <w:p w:rsidR="00B200BA" w:rsidRDefault="002A7A1E" w:rsidP="0082287F">
      <w:pPr>
        <w:spacing w:line="240" w:lineRule="auto"/>
        <w:ind w:firstLine="426"/>
        <w:jc w:val="both"/>
      </w:pPr>
      <w:r>
        <w:rPr>
          <w:rFonts w:ascii="Calibri" w:hAnsi="Calibri" w:cs="Calibri"/>
        </w:rPr>
        <w:t>Bokanjac s G</w:t>
      </w:r>
      <w:r w:rsidR="006A101A">
        <w:rPr>
          <w:rFonts w:ascii="Calibri" w:hAnsi="Calibri" w:cs="Calibri"/>
        </w:rPr>
        <w:t xml:space="preserve">radom Zadrom                                                                                 </w:t>
      </w:r>
      <w:r w:rsidR="0082287F">
        <w:rPr>
          <w:rFonts w:ascii="Calibri" w:hAnsi="Calibri" w:cs="Calibri"/>
        </w:rPr>
        <w:tab/>
      </w:r>
      <w:r w:rsidR="0082287F">
        <w:rPr>
          <w:rFonts w:ascii="Calibri" w:hAnsi="Calibri" w:cs="Calibri"/>
        </w:rPr>
        <w:tab/>
        <w:t xml:space="preserve"> </w:t>
      </w:r>
      <w:r w:rsidR="006A101A">
        <w:rPr>
          <w:rFonts w:ascii="Calibri" w:hAnsi="Calibri" w:cs="Calibri"/>
        </w:rPr>
        <w:t xml:space="preserve">        100.000 EUR</w:t>
      </w:r>
    </w:p>
    <w:p w:rsidR="00B200BA" w:rsidRDefault="006A101A">
      <w:pPr>
        <w:spacing w:line="240" w:lineRule="auto"/>
        <w:jc w:val="both"/>
      </w:pPr>
      <w:r>
        <w:rPr>
          <w:rFonts w:ascii="Calibri" w:hAnsi="Calibri" w:cs="Calibri"/>
        </w:rPr>
        <w:t> </w:t>
      </w:r>
    </w:p>
    <w:p w:rsidR="00B200BA" w:rsidRDefault="006A101A">
      <w:pPr>
        <w:spacing w:line="240" w:lineRule="auto"/>
        <w:jc w:val="both"/>
      </w:pPr>
      <w:r>
        <w:rPr>
          <w:rFonts w:ascii="Calibri" w:hAnsi="Calibri" w:cs="Calibri"/>
          <w:b/>
        </w:rPr>
        <w:t>K10004 ULAGANJA U OBNOVU I RAZVITAK VODOOPSKRBE</w:t>
      </w:r>
    </w:p>
    <w:p w:rsidR="00B200BA" w:rsidRDefault="006A101A">
      <w:pPr>
        <w:spacing w:line="240" w:lineRule="auto"/>
        <w:jc w:val="both"/>
      </w:pPr>
      <w:r>
        <w:rPr>
          <w:rFonts w:ascii="Calibri" w:hAnsi="Calibri" w:cs="Calibri"/>
          <w:i/>
        </w:rPr>
        <w:t>/pozicija u Planu upravljanja vodama B.03./</w:t>
      </w:r>
    </w:p>
    <w:p w:rsidR="00B200BA" w:rsidRDefault="006A101A">
      <w:pPr>
        <w:spacing w:line="240" w:lineRule="auto"/>
        <w:jc w:val="both"/>
      </w:pPr>
      <w:r>
        <w:rPr>
          <w:rFonts w:ascii="Calibri" w:hAnsi="Calibri" w:cs="Calibri"/>
        </w:rPr>
        <w:t>U okviru kapitalnih pomoći predlaže se povećanje u iznosu 772.010 EUR radi potrebe ulaganja u izgradnju manjih sustava javne vodoopskrbe koji nisu u obuhvatu aglomeracija sufinanciranih bespovratnim EU sredstvima (Biograd, Imotski, Benkovac, Đakovo, Senj, Neum, Šibenik i ostali).</w:t>
      </w:r>
    </w:p>
    <w:p w:rsidR="00B200BA" w:rsidRDefault="006A101A">
      <w:pPr>
        <w:spacing w:line="240" w:lineRule="auto"/>
        <w:jc w:val="both"/>
      </w:pPr>
      <w:r>
        <w:rPr>
          <w:rFonts w:ascii="Calibri" w:hAnsi="Calibri" w:cs="Calibri"/>
        </w:rPr>
        <w:t>Povećanje rashoda za ovu aktivnost planira se osigurati iz viška prihoda.</w:t>
      </w:r>
    </w:p>
    <w:p w:rsidR="00B200BA" w:rsidRDefault="006A101A">
      <w:pPr>
        <w:spacing w:line="240" w:lineRule="auto"/>
        <w:jc w:val="both"/>
      </w:pPr>
      <w:r>
        <w:rPr>
          <w:rFonts w:ascii="Calibri" w:hAnsi="Calibri" w:cs="Calibri"/>
        </w:rPr>
        <w:t> </w:t>
      </w:r>
    </w:p>
    <w:p w:rsidR="00B200BA" w:rsidRDefault="006A101A">
      <w:pPr>
        <w:spacing w:line="240" w:lineRule="auto"/>
        <w:jc w:val="both"/>
      </w:pPr>
      <w:r>
        <w:rPr>
          <w:rFonts w:ascii="Calibri" w:hAnsi="Calibri" w:cs="Calibri"/>
          <w:b/>
        </w:rPr>
        <w:t>K100005 ULAGANJA U OBJEKTE ZAŠTITE VODA I MORA OD ZAGAĐIVANJA</w:t>
      </w:r>
    </w:p>
    <w:p w:rsidR="00B200BA" w:rsidRDefault="006A101A">
      <w:pPr>
        <w:spacing w:line="240" w:lineRule="auto"/>
        <w:jc w:val="both"/>
      </w:pPr>
      <w:r>
        <w:rPr>
          <w:rFonts w:ascii="Calibri" w:hAnsi="Calibri" w:cs="Calibri"/>
        </w:rPr>
        <w:t>/</w:t>
      </w:r>
      <w:r>
        <w:rPr>
          <w:rFonts w:ascii="Calibri" w:hAnsi="Calibri" w:cs="Calibri"/>
          <w:i/>
        </w:rPr>
        <w:t>pozicija u Planu upravljanja vodama B.04./</w:t>
      </w:r>
    </w:p>
    <w:p w:rsidR="00B200BA" w:rsidRDefault="006A101A">
      <w:pPr>
        <w:spacing w:line="240" w:lineRule="auto"/>
        <w:jc w:val="both"/>
      </w:pPr>
      <w:r>
        <w:rPr>
          <w:rFonts w:ascii="Calibri" w:hAnsi="Calibri" w:cs="Calibri"/>
        </w:rPr>
        <w:t>U okviru kapitalnih pomoći predlaže se povećanje u iznosu 1.758.189 EUR u skladu s novoutvrđenom dinamikom realizacije investicija. Sredstva su prvenstveno nužna za nastavak i završetak projekata započetih u prethodnom razdoblju kako bi se dijelovi sustava javne odvodnje stavili u funkciju i stvorili preduvjeti za priključenje novih stanovnika. Izuzev navedenog dodatno osiguranim sredstvima sufinancirat će se i nove investicije na manjim sustavima odvodnje (Biograd, Bibinje Sukošan, Vrgorac, Blato, Opuzen, Vela Luka, Trpanj, Vodice, Buzet, Senj, Zaprešić, Punitovci, Đakovo, Berek, Grubišno polje, Stara Subocka, Pitomača, Jasenovac i ostali).</w:t>
      </w:r>
    </w:p>
    <w:p w:rsidR="00BB131B" w:rsidRDefault="006A101A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Povećanje rashoda za ovu aktivnost planira se osigurati iz viška prihoda 1.675.714 EUR i iz vlastitih prihoda 82.475 EUR.</w:t>
      </w:r>
    </w:p>
    <w:p w:rsidR="00B200BA" w:rsidRDefault="00B200BA">
      <w:pPr>
        <w:spacing w:line="240" w:lineRule="auto"/>
        <w:jc w:val="both"/>
      </w:pPr>
    </w:p>
    <w:p w:rsidR="00B200BA" w:rsidRDefault="006A101A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UKUPNI VIŠAK/MANJAK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097"/>
        <w:gridCol w:w="1639"/>
        <w:gridCol w:w="1638"/>
        <w:gridCol w:w="1638"/>
        <w:gridCol w:w="820"/>
      </w:tblGrid>
      <w:tr w:rsidR="00B200BA">
        <w:tc>
          <w:tcPr>
            <w:tcW w:w="2000" w:type="pct"/>
            <w:shd w:val="clear" w:color="auto" w:fill="BCDFFB"/>
            <w:vAlign w:val="center"/>
          </w:tcPr>
          <w:p w:rsidR="00B200BA" w:rsidRDefault="00B200BA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B200BA" w:rsidRDefault="006A101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B200BA" w:rsidRDefault="006A101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B200BA" w:rsidRDefault="006A101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B200BA" w:rsidRDefault="006A101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B200BA">
        <w:tc>
          <w:tcPr>
            <w:tcW w:w="2000" w:type="pct"/>
            <w:vAlign w:val="bottom"/>
          </w:tcPr>
          <w:p w:rsidR="00B200BA" w:rsidRDefault="006A101A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918.771.938</w:t>
            </w:r>
          </w:p>
        </w:tc>
        <w:tc>
          <w:tcPr>
            <w:tcW w:w="8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68.609</w:t>
            </w:r>
          </w:p>
        </w:tc>
        <w:tc>
          <w:tcPr>
            <w:tcW w:w="8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918.840.547</w:t>
            </w:r>
          </w:p>
        </w:tc>
        <w:tc>
          <w:tcPr>
            <w:tcW w:w="4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  <w:tr w:rsidR="00B200BA">
        <w:tc>
          <w:tcPr>
            <w:tcW w:w="2000" w:type="pct"/>
            <w:vAlign w:val="bottom"/>
          </w:tcPr>
          <w:p w:rsidR="00B200BA" w:rsidRDefault="006A101A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951.819.917</w:t>
            </w:r>
          </w:p>
        </w:tc>
        <w:tc>
          <w:tcPr>
            <w:tcW w:w="8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7.483.816</w:t>
            </w:r>
          </w:p>
        </w:tc>
        <w:tc>
          <w:tcPr>
            <w:tcW w:w="8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959.303.733</w:t>
            </w:r>
          </w:p>
        </w:tc>
        <w:tc>
          <w:tcPr>
            <w:tcW w:w="4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100,8</w:t>
            </w:r>
          </w:p>
        </w:tc>
      </w:tr>
      <w:tr w:rsidR="00B200BA">
        <w:tc>
          <w:tcPr>
            <w:tcW w:w="2000" w:type="pct"/>
            <w:vAlign w:val="bottom"/>
          </w:tcPr>
          <w:p w:rsidR="00B200BA" w:rsidRDefault="006A101A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RAZLIKA - VIŠAK/MANJAK</w:t>
            </w:r>
          </w:p>
        </w:tc>
        <w:tc>
          <w:tcPr>
            <w:tcW w:w="8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-33.047.979</w:t>
            </w:r>
          </w:p>
        </w:tc>
        <w:tc>
          <w:tcPr>
            <w:tcW w:w="8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-7.415.207</w:t>
            </w:r>
          </w:p>
        </w:tc>
        <w:tc>
          <w:tcPr>
            <w:tcW w:w="8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-40.463.186</w:t>
            </w:r>
          </w:p>
        </w:tc>
        <w:tc>
          <w:tcPr>
            <w:tcW w:w="4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122,4</w:t>
            </w:r>
          </w:p>
        </w:tc>
      </w:tr>
    </w:tbl>
    <w:p w:rsidR="00B200BA" w:rsidRDefault="00B200BA">
      <w:pPr>
        <w:spacing w:after="0" w:line="240" w:lineRule="auto"/>
      </w:pPr>
    </w:p>
    <w:p w:rsidR="00B200BA" w:rsidRDefault="006A101A">
      <w:pPr>
        <w:spacing w:line="240" w:lineRule="auto"/>
        <w:jc w:val="both"/>
      </w:pPr>
      <w:r>
        <w:rPr>
          <w:rFonts w:ascii="Calibri" w:hAnsi="Calibri" w:cs="Calibri"/>
        </w:rPr>
        <w:t>Ukupni manjak povećava se s -33.047.979 EUR na -40.463.186 EUR odnosno u iznosu 7.415.207 EUR sukladno Odluci o rasporedu viška prihoda i primitaka po godišnjim financijskim izvještajima za 2022. godinu koji su raspoređeni na programske aktivnosti kako je obrazloženo kroz posebni dio</w:t>
      </w:r>
      <w:r w:rsidR="002A7A1E">
        <w:rPr>
          <w:rFonts w:ascii="Calibri" w:hAnsi="Calibri" w:cs="Calibri"/>
        </w:rPr>
        <w:t xml:space="preserve"> rashoda ovih Izmjena i dopuna F</w:t>
      </w:r>
      <w:r>
        <w:rPr>
          <w:rFonts w:ascii="Calibri" w:hAnsi="Calibri" w:cs="Calibri"/>
        </w:rPr>
        <w:t>inancijskog plana Hrvatskih voda za 2023. i projekcija plana za 2024. i 2025. godinu.</w:t>
      </w:r>
    </w:p>
    <w:p w:rsidR="00BB131B" w:rsidRDefault="00BB131B">
      <w:pPr>
        <w:spacing w:line="240" w:lineRule="auto"/>
        <w:rPr>
          <w:rFonts w:ascii="Calibri" w:hAnsi="Calibri" w:cs="Calibri"/>
          <w:b/>
          <w:u w:val="single"/>
        </w:rPr>
      </w:pPr>
    </w:p>
    <w:p w:rsidR="00BB131B" w:rsidRDefault="00BB131B">
      <w:pPr>
        <w:spacing w:line="240" w:lineRule="auto"/>
        <w:rPr>
          <w:rFonts w:ascii="Calibri" w:hAnsi="Calibri" w:cs="Calibri"/>
          <w:b/>
          <w:u w:val="single"/>
        </w:rPr>
      </w:pPr>
    </w:p>
    <w:p w:rsidR="00BB131B" w:rsidRDefault="00BB131B">
      <w:pPr>
        <w:spacing w:line="240" w:lineRule="auto"/>
        <w:rPr>
          <w:rFonts w:ascii="Calibri" w:hAnsi="Calibri" w:cs="Calibri"/>
          <w:b/>
          <w:u w:val="single"/>
        </w:rPr>
      </w:pPr>
    </w:p>
    <w:p w:rsidR="00BB131B" w:rsidRDefault="00BB131B">
      <w:pPr>
        <w:spacing w:line="240" w:lineRule="auto"/>
        <w:rPr>
          <w:rFonts w:ascii="Calibri" w:hAnsi="Calibri" w:cs="Calibri"/>
          <w:b/>
          <w:u w:val="single"/>
        </w:rPr>
      </w:pPr>
    </w:p>
    <w:p w:rsidR="00B200BA" w:rsidRDefault="006A101A">
      <w:pPr>
        <w:spacing w:line="240" w:lineRule="auto"/>
      </w:pPr>
      <w:r>
        <w:rPr>
          <w:rFonts w:ascii="Calibri" w:hAnsi="Calibri" w:cs="Calibri"/>
          <w:b/>
          <w:u w:val="single"/>
        </w:rPr>
        <w:lastRenderedPageBreak/>
        <w:t>RAČUN FINANCIRANJA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097"/>
        <w:gridCol w:w="1639"/>
        <w:gridCol w:w="1638"/>
        <w:gridCol w:w="1638"/>
        <w:gridCol w:w="820"/>
      </w:tblGrid>
      <w:tr w:rsidR="00B200BA">
        <w:tc>
          <w:tcPr>
            <w:tcW w:w="2000" w:type="pct"/>
            <w:shd w:val="clear" w:color="auto" w:fill="BCDFFB"/>
            <w:vAlign w:val="center"/>
          </w:tcPr>
          <w:p w:rsidR="00B200BA" w:rsidRDefault="00B200BA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B200BA" w:rsidRDefault="006A101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B200BA" w:rsidRDefault="006A101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B200BA" w:rsidRDefault="006A101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B200BA" w:rsidRDefault="006A101A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B200BA">
        <w:tc>
          <w:tcPr>
            <w:tcW w:w="2000" w:type="pct"/>
            <w:vAlign w:val="bottom"/>
          </w:tcPr>
          <w:p w:rsidR="00B200BA" w:rsidRDefault="006A101A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PRIMICI OD FINANCIJSKE IMOVINE I ZADUŽIVANJA</w:t>
            </w:r>
          </w:p>
        </w:tc>
        <w:tc>
          <w:tcPr>
            <w:tcW w:w="8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79.633.685</w:t>
            </w:r>
          </w:p>
        </w:tc>
        <w:tc>
          <w:tcPr>
            <w:tcW w:w="8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79.633.685</w:t>
            </w:r>
          </w:p>
        </w:tc>
        <w:tc>
          <w:tcPr>
            <w:tcW w:w="4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  <w:tr w:rsidR="00B200BA">
        <w:tc>
          <w:tcPr>
            <w:tcW w:w="2000" w:type="pct"/>
            <w:vAlign w:val="bottom"/>
          </w:tcPr>
          <w:p w:rsidR="00B200BA" w:rsidRDefault="006A101A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IZDACI ZA FINANCIJSKU IMOVINU I OTPLATE ZAJMOVA</w:t>
            </w:r>
          </w:p>
        </w:tc>
        <w:tc>
          <w:tcPr>
            <w:tcW w:w="8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46.585.706</w:t>
            </w:r>
          </w:p>
        </w:tc>
        <w:tc>
          <w:tcPr>
            <w:tcW w:w="8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46.585.706</w:t>
            </w:r>
          </w:p>
        </w:tc>
        <w:tc>
          <w:tcPr>
            <w:tcW w:w="4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  <w:tr w:rsidR="00B200BA">
        <w:tc>
          <w:tcPr>
            <w:tcW w:w="2000" w:type="pct"/>
            <w:vAlign w:val="bottom"/>
          </w:tcPr>
          <w:p w:rsidR="00B200BA" w:rsidRDefault="006A101A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IZ PRETHODNE GODINE</w:t>
            </w:r>
          </w:p>
        </w:tc>
        <w:tc>
          <w:tcPr>
            <w:tcW w:w="8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7.415.207</w:t>
            </w:r>
          </w:p>
        </w:tc>
        <w:tc>
          <w:tcPr>
            <w:tcW w:w="8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7.415.207</w:t>
            </w:r>
          </w:p>
        </w:tc>
        <w:tc>
          <w:tcPr>
            <w:tcW w:w="400" w:type="pct"/>
            <w:vAlign w:val="bottom"/>
          </w:tcPr>
          <w:p w:rsidR="00B200BA" w:rsidRDefault="00B200BA">
            <w:pPr>
              <w:spacing w:after="0" w:line="240" w:lineRule="auto"/>
              <w:jc w:val="right"/>
            </w:pPr>
          </w:p>
        </w:tc>
      </w:tr>
      <w:tr w:rsidR="00B200BA">
        <w:tc>
          <w:tcPr>
            <w:tcW w:w="2000" w:type="pct"/>
            <w:vAlign w:val="bottom"/>
          </w:tcPr>
          <w:p w:rsidR="00B200BA" w:rsidRDefault="006A101A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U SLJEDEĆU GODINU</w:t>
            </w:r>
          </w:p>
        </w:tc>
        <w:tc>
          <w:tcPr>
            <w:tcW w:w="8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400" w:type="pct"/>
            <w:vAlign w:val="bottom"/>
          </w:tcPr>
          <w:p w:rsidR="00B200BA" w:rsidRDefault="00B200BA">
            <w:pPr>
              <w:spacing w:after="0" w:line="240" w:lineRule="auto"/>
              <w:jc w:val="right"/>
            </w:pPr>
          </w:p>
        </w:tc>
      </w:tr>
      <w:tr w:rsidR="00B200BA">
        <w:tc>
          <w:tcPr>
            <w:tcW w:w="2000" w:type="pct"/>
            <w:vAlign w:val="bottom"/>
          </w:tcPr>
          <w:p w:rsidR="00B200BA" w:rsidRDefault="006A101A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NETO FINANCIRANJE</w:t>
            </w:r>
          </w:p>
        </w:tc>
        <w:tc>
          <w:tcPr>
            <w:tcW w:w="8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33.047.979</w:t>
            </w:r>
          </w:p>
        </w:tc>
        <w:tc>
          <w:tcPr>
            <w:tcW w:w="8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7.415.207</w:t>
            </w:r>
          </w:p>
        </w:tc>
        <w:tc>
          <w:tcPr>
            <w:tcW w:w="8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40.463.186</w:t>
            </w:r>
          </w:p>
        </w:tc>
        <w:tc>
          <w:tcPr>
            <w:tcW w:w="400" w:type="pct"/>
            <w:vAlign w:val="bottom"/>
          </w:tcPr>
          <w:p w:rsidR="00B200BA" w:rsidRDefault="006A101A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122,4</w:t>
            </w:r>
          </w:p>
        </w:tc>
      </w:tr>
    </w:tbl>
    <w:p w:rsidR="00B200BA" w:rsidRDefault="00B200BA">
      <w:pPr>
        <w:spacing w:after="0" w:line="240" w:lineRule="auto"/>
      </w:pPr>
    </w:p>
    <w:p w:rsidR="00B200BA" w:rsidRDefault="006A101A">
      <w:pPr>
        <w:spacing w:line="240" w:lineRule="auto"/>
        <w:jc w:val="both"/>
      </w:pPr>
      <w:r>
        <w:rPr>
          <w:rFonts w:ascii="Calibri" w:hAnsi="Calibri" w:cs="Calibri"/>
        </w:rPr>
        <w:t>Ukupni primici od financijske imovine i zaduživanja, te izdaci za financijsku imovinu i otplate zajmova ovim Izmjena</w:t>
      </w:r>
      <w:r w:rsidR="002A7A1E">
        <w:rPr>
          <w:rFonts w:ascii="Calibri" w:hAnsi="Calibri" w:cs="Calibri"/>
        </w:rPr>
        <w:t>ma</w:t>
      </w:r>
      <w:r>
        <w:rPr>
          <w:rFonts w:ascii="Calibri" w:hAnsi="Calibri" w:cs="Calibri"/>
        </w:rPr>
        <w:t xml:space="preserve"> i dopuna</w:t>
      </w:r>
      <w:r w:rsidR="002A7A1E">
        <w:rPr>
          <w:rFonts w:ascii="Calibri" w:hAnsi="Calibri" w:cs="Calibri"/>
        </w:rPr>
        <w:t>ma</w:t>
      </w:r>
      <w:r>
        <w:rPr>
          <w:rFonts w:ascii="Calibri" w:hAnsi="Calibri" w:cs="Calibri"/>
        </w:rPr>
        <w:t xml:space="preserve"> </w:t>
      </w:r>
      <w:r w:rsidR="002A7A1E">
        <w:rPr>
          <w:rFonts w:ascii="Calibri" w:hAnsi="Calibri" w:cs="Calibri"/>
        </w:rPr>
        <w:t>F</w:t>
      </w:r>
      <w:r>
        <w:rPr>
          <w:rFonts w:ascii="Calibri" w:hAnsi="Calibri" w:cs="Calibri"/>
        </w:rPr>
        <w:t xml:space="preserve">inancijskog plana Hrvatskih voda za 2023. i projekcija plana za 2024. i 2025. godinu se ne mijenjaju. U račun financiranja uvršten je iznos 7.415.207 EUR koji se odnosi na prijenos </w:t>
      </w:r>
      <w:r w:rsidR="002A7A1E">
        <w:rPr>
          <w:rFonts w:ascii="Calibri" w:hAnsi="Calibri" w:cs="Calibri"/>
        </w:rPr>
        <w:t>sredstava</w:t>
      </w:r>
      <w:bookmarkStart w:id="0" w:name="_GoBack"/>
      <w:bookmarkEnd w:id="0"/>
      <w:r>
        <w:rPr>
          <w:rFonts w:ascii="Calibri" w:hAnsi="Calibri" w:cs="Calibri"/>
        </w:rPr>
        <w:t xml:space="preserve"> iz prethodne godine.</w:t>
      </w:r>
    </w:p>
    <w:sectPr w:rsidR="00B200BA">
      <w:footerReference w:type="default" r:id="rId6"/>
      <w:footerReference w:type="first" r:id="rId7"/>
      <w:pgSz w:w="12240" w:h="15840"/>
      <w:pgMar w:top="1152" w:right="1152" w:bottom="1152" w:left="1152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758" w:rsidRDefault="006A101A">
      <w:pPr>
        <w:spacing w:after="0" w:line="240" w:lineRule="auto"/>
      </w:pPr>
      <w:r>
        <w:separator/>
      </w:r>
    </w:p>
  </w:endnote>
  <w:endnote w:type="continuationSeparator" w:id="0">
    <w:p w:rsidR="00897758" w:rsidRDefault="006A1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00BA" w:rsidRDefault="006A101A">
    <w:pPr>
      <w:jc w:val="right"/>
    </w:pPr>
    <w:r>
      <w:fldChar w:fldCharType="begin"/>
    </w:r>
    <w:r>
      <w:instrText>Page</w:instrText>
    </w:r>
    <w:r>
      <w:fldChar w:fldCharType="separate"/>
    </w:r>
    <w:r w:rsidR="002A7A1E">
      <w:rPr>
        <w:noProof/>
      </w:rPr>
      <w:t>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7758" w:rsidRDefault="006A101A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758" w:rsidRDefault="006A101A">
      <w:pPr>
        <w:spacing w:after="0" w:line="240" w:lineRule="auto"/>
      </w:pPr>
      <w:r>
        <w:separator/>
      </w:r>
    </w:p>
  </w:footnote>
  <w:footnote w:type="continuationSeparator" w:id="0">
    <w:p w:rsidR="00897758" w:rsidRDefault="006A10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200BA"/>
    <w:rsid w:val="001A6FF7"/>
    <w:rsid w:val="002A7A1E"/>
    <w:rsid w:val="004940CC"/>
    <w:rsid w:val="006A101A"/>
    <w:rsid w:val="0082287F"/>
    <w:rsid w:val="00897758"/>
    <w:rsid w:val="008C2F6E"/>
    <w:rsid w:val="00B200BA"/>
    <w:rsid w:val="00BB1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30F708"/>
  <w15:docId w15:val="{BEFC2F4B-1F22-43C6-B6E9-7F1BF67BF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6</Pages>
  <Words>1679</Words>
  <Characters>9575</Characters>
  <Application>Microsoft Office Word</Application>
  <DocSecurity>0</DocSecurity>
  <Lines>79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Ida Hohnjec</cp:lastModifiedBy>
  <cp:revision>6</cp:revision>
  <dcterms:created xsi:type="dcterms:W3CDTF">2023-05-08T12:45:00Z</dcterms:created>
  <dcterms:modified xsi:type="dcterms:W3CDTF">2023-05-09T09:40:00Z</dcterms:modified>
</cp:coreProperties>
</file>