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er1.xml" ContentType="application/vnd.openxmlformats-officedocument.wordprocessingml.footer+xml"/>
  <Override PartName="/word/footer2.xml" ContentType="application/vnd.openxmlformats-officedocument.wordprocessingml.footer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ef3126671fe84a13" /></Relationships>
</file>

<file path=word/document.xml><?xml version="1.0" encoding="utf-8"?>
<w:document xmlns:w="http://schemas.openxmlformats.org/wordprocessingml/2006/main">
  <w:body>
    <w:sectPr>
      <w:footerReference xmlns:r="http://schemas.openxmlformats.org/officeDocument/2006/relationships" w:type="first" r:id="r97"/>
      <w:footerReference xmlns:r="http://schemas.openxmlformats.org/officeDocument/2006/relationships" w:type="default" r:id="r98"/>
      <w:type w:val="nextPage"/>
      <w:titlePg/>
      <w:pgNumType w:start="0"/>
      <w:pgMar w:top="1152" w:right="1152" w:bottom="1152" w:left="1152"/>
      <w:p>
        <w:pPr>
          <w:spacing w:line="240"/>
          <w:jc w:val="center"/>
        </w:pPr>
        <w:r>
          <w:rPr>
            <w:b/>
            <w:sz w:val="28"/>
            <w:rFonts w:ascii="Calibri" w:hAnsi="Calibri" w:cs="Calibri"/>
          </w:rPr>
          <w:br/>
          <w:br/>
          <w:br/>
          <w:br/>
          <w:br/>
          <w:br/>
          <w:br/>
          <w:br/>
          <w:br/>
          <w:br/>
          <w:br/>
          <w:br/>
          <w:br/>
          <w:br/>
          <w:t xml:space="preserve">OBRAZLOŽENJE IZMJENA I DOPUNA FINANCIJSKOG PLANA HRVATSKIH CESTA ZA  2023. GODINU I PROJEKCIJA PLANA ZA 2024. I 2025. GODINU</w:t>
          <w:br w:type="page"/>
        </w:r>
      </w:p>
      <w:p>
        <w:pPr>
          <w:spacing w:line="240"/>
          <w:jc w:val="left"/>
        </w:pPr>
        <w:r>
          <w:rPr>
            <w:b/>
            <w:u w:val="single"/>
            <w:sz w:val="22"/>
            <w:rFonts w:ascii="Calibri" w:hAnsi="Calibri" w:cs="Calibri"/>
          </w:rPr>
          <w:br/>
          <w:t xml:space="preserve">UVOD</w:t>
        </w:r>
      </w:p>
      <w:p>
        <w:pPr>
          <w:spacing w:line="240"/>
          <w:jc w:val="both"/>
        </w:pPr>
        <w:r>
          <w:rPr>
            <w:rFonts w:ascii="Calibri" w:hAnsi="Calibri" w:cs="Calibri"/>
            <w:sz w:val="22"/>
          </w:rPr>
          <w:t xml:space="preserve">Poslovanje društva Hrvatske ceste d.o.o.
određeno je Zakonom o cestama, Izjavom o osnivanju, Zakonom o trgovačkim
društvima, Zakonom o proračunu, odlukama Vlade Republike Hrvatske te drugim
zakonima i pravilnicima vezanima uz djelatnost Društva. Osnovna djelatnost
Društva je upravljanje, građenje, rekonstrukcija i održavanje državnih cesta.
Planiranje poslovnih aktivnosti Društva u skladu je sa Strategijom prometnog
razvitka, četverogodišnjim Programom građenja i održavanja javnih cesta koji
donosi Vlada Republike Hrvatske na prijedlog Ministarstva mora, prometa i
infrastrukture. Temeljem četverogodišnjeg Programa, Hrvatske ceste izrađuju
godišnji plan ulaganja u građenje i održavanje državnih cesta.</w:t>
        </w:r>
      </w:p>
      <w:p>
        <w:pPr>
          <w:spacing w:line="240"/>
          <w:jc w:val="both"/>
        </w:pPr>
        <w:r>
          <w:rPr>
            <w:rFonts w:ascii="Calibri" w:hAnsi="Calibri" w:cs="Calibri"/>
            <w:sz w:val="22"/>
          </w:rPr>
          <w:t xml:space="preserve">Hrvatski sabor je na svojoj sjednici 29. studenoga
2022. donio Odluku o davanju suglasnosti na Financijski plan Hrvatskih cesta za
2023. godinu i projekcije plana za 2024. i 2025. godinu. </w:t>
        </w:r>
      </w:p>
      <w:p>
        <w:pPr>
          <w:spacing w:line="240"/>
          <w:jc w:val="both"/>
        </w:pPr>
        <w:r>
          <w:rPr>
            <w:rFonts w:ascii="Calibri" w:hAnsi="Calibri" w:cs="Calibri"/>
            <w:sz w:val="22"/>
          </w:rPr>
          <w:t xml:space="preserve">U sklopu izrade Prijedloga Izmjena i dopuna
Državnog proračuna Republike Hrvatske za 2023. godinu Društvo je pripremilo Izmjene i dopune Financijskog plana za 2023. godinu.</w:t>
        </w:r>
      </w:p>
      <w:p>
        <w:pPr>
          <w:spacing w:line="240"/>
          <w:jc w:val="left"/>
        </w:pPr>
        <w:r>
          <w:rPr>
            <w:b/>
            <w:u w:val="single"/>
            <w:sz w:val="22"/>
            <w:rFonts w:ascii="Calibri" w:hAnsi="Calibri" w:cs="Calibri"/>
          </w:rPr>
          <w:br/>
          <w:t xml:space="preserve">PRIHODI</w:t>
        </w:r>
      </w:p>
      <w:tbl>
        <w:tblPr>
          <w:tblW w:w="4850" w:type="pct"/>
          <w:tblBorders>
            <w:top w:val="single" w:sz="5"/>
            <w:bottom w:val="single" w:sz="5"/>
            <w:left w:val="single" w:sz="5"/>
            <w:right w:val="single" w:sz="5"/>
            <w:insideH w:val="single" w:sz="5"/>
            <w:insideV w:val="single" w:sz="5"/>
          </w:tblBorders>
          <w:tblCellMar>
            <w:top w:w="0" w:type="dxa"/>
            <w:start w:w="100" w:type="dxa"/>
            <w:bottom w:w="0" w:type="dxa"/>
            <w:end w:w="100" w:type="dxa"/>
          </w:tblCellMar>
        </w:tblPr>
        <w:tr>
          <w:tc>
            <w:tcPr>
              <w:tcW w:w="2000" w:type="pct"/>
              <w:vAlign w:val="center"/>
              <w:shd w:val="clear" w:color="auto" w:fill="#bcdffb"/>
            </w:tcPr>
            <w:p>
              <w:pPr>
                <w:spacing w:after="0" w:line="240"/>
                <w:jc w:val="center"/>
              </w:pPr>
              <w:r>
                <w:rPr>
                  <w:b/>
                  <w:sz w:val="18"/>
                  <w:rFonts w:ascii="Calibri" w:hAnsi="Calibri" w:cs="Calibri"/>
                </w:rPr>
                <w:t/>
              </w:r>
            </w:p>
          </w:tc>
          <w:tc>
            <w:tcPr>
              <w:tcW w:w="800" w:type="pct"/>
              <w:vAlign w:val="center"/>
              <w:shd w:val="clear" w:color="auto" w:fill="#bcdffb"/>
            </w:tcPr>
            <w:p>
              <w:pPr>
                <w:spacing w:after="0" w:line="240"/>
                <w:jc w:val="center"/>
              </w:pPr>
              <w:r>
                <w:rPr>
                  <w:b/>
                  <w:sz w:val="18"/>
                  <w:rFonts w:ascii="Calibri" w:hAnsi="Calibri" w:cs="Calibri"/>
                </w:rPr>
                <w:t>Plan za 2023.</w:t>
              </w:r>
            </w:p>
          </w:tc>
          <w:tc>
            <w:tcPr>
              <w:tcW w:w="800" w:type="pct"/>
              <w:vAlign w:val="center"/>
              <w:shd w:val="clear" w:color="auto" w:fill="#bcdffb"/>
            </w:tcPr>
            <w:p>
              <w:pPr>
                <w:spacing w:after="0" w:line="240"/>
                <w:jc w:val="center"/>
              </w:pPr>
              <w:r>
                <w:rPr>
                  <w:b/>
                  <w:sz w:val="18"/>
                  <w:rFonts w:ascii="Calibri" w:hAnsi="Calibri" w:cs="Calibri"/>
                </w:rPr>
                <w:t>Povećanje/</w:t>
                <w:br/>
                <w:t>Smanjenje</w:t>
              </w:r>
            </w:p>
          </w:tc>
          <w:tc>
            <w:tcPr>
              <w:tcW w:w="800" w:type="pct"/>
              <w:vAlign w:val="center"/>
              <w:shd w:val="clear" w:color="auto" w:fill="#bcdffb"/>
            </w:tcPr>
            <w:p>
              <w:pPr>
                <w:spacing w:after="0" w:line="240"/>
                <w:jc w:val="center"/>
              </w:pPr>
              <w:r>
                <w:rPr>
                  <w:b/>
                  <w:sz w:val="18"/>
                  <w:rFonts w:ascii="Calibri" w:hAnsi="Calibri" w:cs="Calibri"/>
                </w:rPr>
                <w:t>Novi plan za</w:t>
                <w:br/>
                <w:t>2023.</w:t>
              </w:r>
            </w:p>
          </w:tc>
          <w:tc>
            <w:tcPr>
              <w:tcW w:w="400" w:type="pct"/>
              <w:vAlign w:val="center"/>
              <w:shd w:val="clear" w:color="auto" w:fill="#bcdffb"/>
            </w:tcPr>
            <w:p>
              <w:pPr>
                <w:spacing w:after="0" w:line="240"/>
                <w:jc w:val="center"/>
              </w:pPr>
              <w:r>
                <w:rPr>
                  <w:b/>
                  <w:sz w:val="18"/>
                  <w:rFonts w:ascii="Calibri" w:hAnsi="Calibri" w:cs="Calibri"/>
                </w:rPr>
                <w:t>Indeks</w:t>
              </w:r>
            </w:p>
          </w:tc>
        </w:tr>
        <w:tr>
          <w:tc>
            <w:tcPr>
              <w:tcW w:w="2000" w:type="pct"/>
              <w:vAlign w:val="bottom"/>
            </w:tcPr>
            <w:p>
              <w:pPr>
                <w:spacing w:after="0" w:line="240"/>
                <w:jc w:val="left"/>
              </w:pPr>
              <w:r>
                <w:rPr>
                  <w:sz w:val="18"/>
                  <w:rFonts w:ascii="Calibri" w:hAnsi="Calibri" w:cs="Calibri"/>
                </w:rPr>
                <w:t>PRIHODI POSLOVANJA</w:t>
              </w:r>
            </w:p>
          </w:tc>
          <w:tc>
            <w:tcPr>
              <w:tcW w:w="800" w:type="pct"/>
              <w:vAlign w:val="bottom"/>
            </w:tcPr>
            <w:p>
              <w:pPr>
                <w:spacing w:after="0" w:line="240"/>
                <w:jc w:val="right"/>
              </w:pPr>
              <w:r>
                <w:rPr>
                  <w:sz w:val="18"/>
                  <w:rFonts w:ascii="Calibri" w:hAnsi="Calibri" w:cs="Calibri"/>
                </w:rPr>
                <w:t>337.684.309</w:t>
              </w:r>
            </w:p>
          </w:tc>
          <w:tc>
            <w:tcPr>
              <w:tcW w:w="800" w:type="pct"/>
              <w:vAlign w:val="bottom"/>
            </w:tcPr>
            <w:p>
              <w:pPr>
                <w:spacing w:after="0" w:line="240"/>
                <w:jc w:val="right"/>
              </w:pPr>
              <w:r>
                <w:rPr>
                  <w:sz w:val="18"/>
                  <w:rFonts w:ascii="Calibri" w:hAnsi="Calibri" w:cs="Calibri"/>
                </w:rPr>
                <w:t>723.905</w:t>
              </w:r>
            </w:p>
          </w:tc>
          <w:tc>
            <w:tcPr>
              <w:tcW w:w="800" w:type="pct"/>
              <w:vAlign w:val="bottom"/>
            </w:tcPr>
            <w:p>
              <w:pPr>
                <w:spacing w:after="0" w:line="240"/>
                <w:jc w:val="right"/>
              </w:pPr>
              <w:r>
                <w:rPr>
                  <w:sz w:val="18"/>
                  <w:rFonts w:ascii="Calibri" w:hAnsi="Calibri" w:cs="Calibri"/>
                </w:rPr>
                <w:t>338.408.214</w:t>
              </w:r>
            </w:p>
          </w:tc>
          <w:tc>
            <w:tcPr>
              <w:tcW w:w="400" w:type="pct"/>
              <w:vAlign w:val="bottom"/>
            </w:tcPr>
            <w:p>
              <w:pPr>
                <w:spacing w:after="0" w:line="240"/>
                <w:jc w:val="right"/>
              </w:pPr>
              <w:r>
                <w:rPr>
                  <w:sz w:val="18"/>
                  <w:rFonts w:ascii="Calibri" w:hAnsi="Calibri" w:cs="Calibri"/>
                </w:rPr>
                <w:t>100,2</w:t>
              </w:r>
            </w:p>
          </w:tc>
        </w:tr>
        <w:tr>
          <w:tc>
            <w:tcPr>
              <w:tcW w:w="2000" w:type="pct"/>
              <w:vAlign w:val="bottom"/>
            </w:tcPr>
            <w:p>
              <w:pPr>
                <w:spacing w:after="0" w:line="240"/>
                <w:jc w:val="left"/>
              </w:pPr>
              <w:r>
                <w:rPr>
                  <w:sz w:val="18"/>
                  <w:rFonts w:ascii="Calibri" w:hAnsi="Calibri" w:cs="Calibri"/>
                </w:rPr>
                <w:t>PRIHODI OD PRODAJE NEFINANCIJSKE IMOVINE</w:t>
              </w:r>
            </w:p>
          </w:tc>
          <w:tc>
            <w:tcPr>
              <w:tcW w:w="800" w:type="pct"/>
              <w:vAlign w:val="bottom"/>
            </w:tcPr>
            <w:p>
              <w:pPr>
                <w:spacing w:after="0" w:line="240"/>
                <w:jc w:val="right"/>
              </w:pPr>
              <w:r>
                <w:rPr>
                  <w:sz w:val="18"/>
                  <w:rFonts w:ascii="Calibri" w:hAnsi="Calibri" w:cs="Calibri"/>
                </w:rPr>
                <w:t>1.963.614</w:t>
              </w:r>
            </w:p>
          </w:tc>
          <w:tc>
            <w:tcPr>
              <w:tcW w:w="800" w:type="pct"/>
              <w:vAlign w:val="bottom"/>
            </w:tcPr>
            <w:p>
              <w:pPr>
                <w:spacing w:after="0" w:line="240"/>
                <w:jc w:val="right"/>
              </w:pPr>
              <w:r>
                <w:rPr>
                  <w:sz w:val="18"/>
                  <w:rFonts w:ascii="Calibri" w:hAnsi="Calibri" w:cs="Calibri"/>
                </w:rPr>
                <w:t>-1.903.614</w:t>
              </w:r>
            </w:p>
          </w:tc>
          <w:tc>
            <w:tcPr>
              <w:tcW w:w="800" w:type="pct"/>
              <w:vAlign w:val="bottom"/>
            </w:tcPr>
            <w:p>
              <w:pPr>
                <w:spacing w:after="0" w:line="240"/>
                <w:jc w:val="right"/>
              </w:pPr>
              <w:r>
                <w:rPr>
                  <w:sz w:val="18"/>
                  <w:rFonts w:ascii="Calibri" w:hAnsi="Calibri" w:cs="Calibri"/>
                </w:rPr>
                <w:t>60.000</w:t>
              </w:r>
            </w:p>
          </w:tc>
          <w:tc>
            <w:tcPr>
              <w:tcW w:w="400" w:type="pct"/>
              <w:vAlign w:val="bottom"/>
            </w:tcPr>
            <w:p>
              <w:pPr>
                <w:spacing w:after="0" w:line="240"/>
                <w:jc w:val="right"/>
              </w:pPr>
              <w:r>
                <w:rPr>
                  <w:sz w:val="18"/>
                  <w:rFonts w:ascii="Calibri" w:hAnsi="Calibri" w:cs="Calibri"/>
                </w:rPr>
                <w:t>3,1</w:t>
              </w:r>
            </w:p>
          </w:tc>
        </w:tr>
        <w:tr>
          <w:tc>
            <w:tcPr>
              <w:tcW w:w="2000" w:type="pct"/>
              <w:vAlign w:val="bottom"/>
            </w:tcPr>
            <w:p>
              <w:pPr>
                <w:spacing w:after="0" w:line="240"/>
                <w:jc w:val="left"/>
              </w:pPr>
              <w:r>
                <w:rPr>
                  <w:b/>
                  <w:sz w:val="18"/>
                  <w:rFonts w:ascii="Calibri" w:hAnsi="Calibri" w:cs="Calibri"/>
                </w:rPr>
                <w:t>UKUPNI PRIHODI</w:t>
              </w:r>
            </w:p>
          </w:tc>
          <w:tc>
            <w:tcPr>
              <w:tcW w:w="800" w:type="pct"/>
              <w:vAlign w:val="bottom"/>
            </w:tcPr>
            <w:p>
              <w:pPr>
                <w:spacing w:after="0" w:line="240"/>
                <w:jc w:val="right"/>
              </w:pPr>
              <w:r>
                <w:rPr>
                  <w:b/>
                  <w:sz w:val="18"/>
                  <w:rFonts w:ascii="Calibri" w:hAnsi="Calibri" w:cs="Calibri"/>
                </w:rPr>
                <w:t>339.647.923</w:t>
              </w:r>
            </w:p>
          </w:tc>
          <w:tc>
            <w:tcPr>
              <w:tcW w:w="800" w:type="pct"/>
              <w:vAlign w:val="bottom"/>
            </w:tcPr>
            <w:p>
              <w:pPr>
                <w:spacing w:after="0" w:line="240"/>
                <w:jc w:val="right"/>
              </w:pPr>
              <w:r>
                <w:rPr>
                  <w:b/>
                  <w:sz w:val="18"/>
                  <w:rFonts w:ascii="Calibri" w:hAnsi="Calibri" w:cs="Calibri"/>
                </w:rPr>
                <w:t>-1.179.709</w:t>
              </w:r>
            </w:p>
          </w:tc>
          <w:tc>
            <w:tcPr>
              <w:tcW w:w="800" w:type="pct"/>
              <w:vAlign w:val="bottom"/>
            </w:tcPr>
            <w:p>
              <w:pPr>
                <w:spacing w:after="0" w:line="240"/>
                <w:jc w:val="right"/>
              </w:pPr>
              <w:r>
                <w:rPr>
                  <w:b/>
                  <w:sz w:val="18"/>
                  <w:rFonts w:ascii="Calibri" w:hAnsi="Calibri" w:cs="Calibri"/>
                </w:rPr>
                <w:t>338.468.214</w:t>
              </w:r>
            </w:p>
          </w:tc>
          <w:tc>
            <w:tcPr>
              <w:tcW w:w="400" w:type="pct"/>
              <w:vAlign w:val="bottom"/>
            </w:tcPr>
            <w:p>
              <w:pPr>
                <w:spacing w:after="0" w:line="240"/>
                <w:jc w:val="right"/>
              </w:pPr>
              <w:r>
                <w:rPr>
                  <w:b/>
                  <w:sz w:val="18"/>
                  <w:rFonts w:ascii="Calibri" w:hAnsi="Calibri" w:cs="Calibri"/>
                </w:rPr>
                <w:t>99,7</w:t>
              </w:r>
            </w:p>
          </w:tc>
        </w:tr>
      </w:tbl>
      <w:p>
        <w:pPr>
          <w:spacing w:after="0" w:line="240"/>
        </w:pPr>
      </w:p>
      <w:p>
        <w:pPr>
          <w:spacing w:line="240"/>
          <w:jc w:val="both"/>
        </w:pPr>
        <w:r>
          <w:rPr>
            <w:rFonts w:ascii="Calibri" w:hAnsi="Calibri" w:cs="Calibri"/>
            <w:sz w:val="22"/>
          </w:rPr>
          <w:t xml:space="preserve">Ukupni planirani
prihodi Hrvatskih cesta u prijedlogu Izmjena i dopuna Financijskog plana za 2023.
godinu iznose 338,47 milijuna eura, što predstavlja smanjenje od 0,35 % u
odnosu na originalni Plan. </w:t>
        </w:r>
      </w:p>
      <w:p>
        <w:pPr>
          <w:spacing w:line="240"/>
          <w:jc w:val="both"/>
        </w:pPr>
        <w:r>
          <w:rPr>
            <w:rFonts w:ascii="Calibri" w:hAnsi="Calibri" w:cs="Calibri"/>
            <w:sz w:val="22"/>
          </w:rPr>
          <w:t xml:space="preserve">Prihodi poslovanja povećani
su za 0,21 % na 338,41 milijuna eura. Najznačajniju stavku prihoda poslovanja
čini naknada za financiranje građenja i održavanja javnih cesta propisana
Zakonom o cestama, a uplaćuje se iz Državnog proračuna. Prihodi od naknade iz
goriva planirani su u jednakom iznosu kao i u originalnom Planu, te iznose 246,12 milijuna eura.</w:t>
        </w:r>
      </w:p>
      <w:p>
        <w:pPr>
          <w:spacing w:line="240"/>
          <w:jc w:val="both"/>
        </w:pPr>
        <w:r>
          <w:rPr>
            <w:rFonts w:ascii="Calibri" w:hAnsi="Calibri" w:cs="Calibri"/>
            <w:sz w:val="22"/>
          </w:rPr>
          <w:t xml:space="preserve">Sredstva za
financiranje EU projekata i programa sastoje se od tekućih i kapitalnih pomoći
temeljem prijenosa sredstava iz EU fondova, tekućih i kapitalnih pomoći iz
proračuna (nacionalna komponenta) te direktnih kapitalnih pomoći od institucija
i tijela EU. Ukupan planirani iznos za povlačenja sredstava za financiranje EU
projekata i programa iznosi 83,30 milijuna eura, što je povećanje od 1,03 milijuna eura, odnosno 1,25 % u odnosu na prvotno planirano. Povećanje se odnosi na veće planirano povlačenje sredstava za sanaciju državnih cesta oštećenih u potresu.</w:t>
        </w:r>
      </w:p>
      <w:p>
        <w:pPr>
          <w:spacing w:line="240"/>
          <w:jc w:val="both"/>
        </w:pPr>
        <w:r>
          <w:rPr>
            <w:rFonts w:ascii="Calibri" w:hAnsi="Calibri" w:cs="Calibri"/>
            <w:sz w:val="22"/>
          </w:rPr>
          <w:t xml:space="preserve">Planirani
prihodi od prodaje nefinancijske imovine smanjeni su za iznos od 1,90 milijuna eura,
te sada iznose 0,06 milijuna eura. Razlog je produženje postupka planirane prodaje
stambenih i poslovnih objekata.</w:t>
        </w:r>
        <w:r>
          <w:rPr>
            <w:rFonts w:ascii="Calibri" w:hAnsi="Calibri" w:cs="Calibri"/>
            <w:sz w:val="22"/>
          </w:rPr>
          <w:br/>
        </w:r>
      </w:p>
      <w:p>
        <w:pPr>
          <w:spacing w:line="240"/>
          <w:jc w:val="left"/>
        </w:pPr>
        <w:r>
          <w:rPr>
            <w:b/>
            <w:u w:val="single"/>
            <w:sz w:val="22"/>
            <w:rFonts w:ascii="Calibri" w:hAnsi="Calibri" w:cs="Calibri"/>
          </w:rPr>
          <w:br/>
          <w:t xml:space="preserve">RASHODI</w:t>
        </w:r>
      </w:p>
      <w:tbl>
        <w:tblPr>
          <w:tblW w:w="4850" w:type="pct"/>
          <w:tblBorders>
            <w:top w:val="single" w:sz="5"/>
            <w:bottom w:val="single" w:sz="5"/>
            <w:left w:val="single" w:sz="5"/>
            <w:right w:val="single" w:sz="5"/>
            <w:insideH w:val="single" w:sz="5"/>
            <w:insideV w:val="single" w:sz="5"/>
          </w:tblBorders>
          <w:tblCellMar>
            <w:top w:w="0" w:type="dxa"/>
            <w:start w:w="100" w:type="dxa"/>
            <w:bottom w:w="0" w:type="dxa"/>
            <w:end w:w="100" w:type="dxa"/>
          </w:tblCellMar>
        </w:tblPr>
        <w:tr>
          <w:tc>
            <w:tcPr>
              <w:tcW w:w="2000" w:type="pct"/>
              <w:vAlign w:val="center"/>
              <w:shd w:val="clear" w:color="auto" w:fill="#bcdffb"/>
            </w:tcPr>
            <w:p>
              <w:pPr>
                <w:spacing w:after="0" w:line="240"/>
                <w:jc w:val="center"/>
              </w:pPr>
              <w:r>
                <w:rPr>
                  <w:b/>
                  <w:sz w:val="18"/>
                  <w:rFonts w:ascii="Calibri" w:hAnsi="Calibri" w:cs="Calibri"/>
                </w:rPr>
                <w:t/>
              </w:r>
            </w:p>
          </w:tc>
          <w:tc>
            <w:tcPr>
              <w:tcW w:w="800" w:type="pct"/>
              <w:vAlign w:val="center"/>
              <w:shd w:val="clear" w:color="auto" w:fill="#bcdffb"/>
            </w:tcPr>
            <w:p>
              <w:pPr>
                <w:spacing w:after="0" w:line="240"/>
                <w:jc w:val="center"/>
              </w:pPr>
              <w:r>
                <w:rPr>
                  <w:b/>
                  <w:sz w:val="18"/>
                  <w:rFonts w:ascii="Calibri" w:hAnsi="Calibri" w:cs="Calibri"/>
                </w:rPr>
                <w:t>Plan za 2023.</w:t>
              </w:r>
            </w:p>
          </w:tc>
          <w:tc>
            <w:tcPr>
              <w:tcW w:w="800" w:type="pct"/>
              <w:vAlign w:val="center"/>
              <w:shd w:val="clear" w:color="auto" w:fill="#bcdffb"/>
            </w:tcPr>
            <w:p>
              <w:pPr>
                <w:spacing w:after="0" w:line="240"/>
                <w:jc w:val="center"/>
              </w:pPr>
              <w:r>
                <w:rPr>
                  <w:b/>
                  <w:sz w:val="18"/>
                  <w:rFonts w:ascii="Calibri" w:hAnsi="Calibri" w:cs="Calibri"/>
                </w:rPr>
                <w:t>Povećanje/</w:t>
                <w:br/>
                <w:t>Smanjenje</w:t>
              </w:r>
            </w:p>
          </w:tc>
          <w:tc>
            <w:tcPr>
              <w:tcW w:w="800" w:type="pct"/>
              <w:vAlign w:val="center"/>
              <w:shd w:val="clear" w:color="auto" w:fill="#bcdffb"/>
            </w:tcPr>
            <w:p>
              <w:pPr>
                <w:spacing w:after="0" w:line="240"/>
                <w:jc w:val="center"/>
              </w:pPr>
              <w:r>
                <w:rPr>
                  <w:b/>
                  <w:sz w:val="18"/>
                  <w:rFonts w:ascii="Calibri" w:hAnsi="Calibri" w:cs="Calibri"/>
                </w:rPr>
                <w:t>Novi plan za</w:t>
                <w:br/>
                <w:t>2023.</w:t>
              </w:r>
            </w:p>
          </w:tc>
          <w:tc>
            <w:tcPr>
              <w:tcW w:w="400" w:type="pct"/>
              <w:vAlign w:val="center"/>
              <w:shd w:val="clear" w:color="auto" w:fill="#bcdffb"/>
            </w:tcPr>
            <w:p>
              <w:pPr>
                <w:spacing w:after="0" w:line="240"/>
                <w:jc w:val="center"/>
              </w:pPr>
              <w:r>
                <w:rPr>
                  <w:b/>
                  <w:sz w:val="18"/>
                  <w:rFonts w:ascii="Calibri" w:hAnsi="Calibri" w:cs="Calibri"/>
                </w:rPr>
                <w:t>Indeks</w:t>
              </w:r>
            </w:p>
          </w:tc>
        </w:tr>
        <w:tr>
          <w:tc>
            <w:tcPr>
              <w:tcW w:w="2000" w:type="pct"/>
              <w:vAlign w:val="bottom"/>
            </w:tcPr>
            <w:p>
              <w:pPr>
                <w:spacing w:after="0" w:line="240"/>
                <w:jc w:val="left"/>
              </w:pPr>
              <w:r>
                <w:rPr>
                  <w:sz w:val="18"/>
                  <w:rFonts w:ascii="Calibri" w:hAnsi="Calibri" w:cs="Calibri"/>
                </w:rPr>
                <w:t>RASHODI POSLOVANJA</w:t>
              </w:r>
            </w:p>
          </w:tc>
          <w:tc>
            <w:tcPr>
              <w:tcW w:w="800" w:type="pct"/>
              <w:vAlign w:val="bottom"/>
            </w:tcPr>
            <w:p>
              <w:pPr>
                <w:spacing w:after="0" w:line="240"/>
                <w:jc w:val="right"/>
              </w:pPr>
              <w:r>
                <w:rPr>
                  <w:sz w:val="18"/>
                  <w:rFonts w:ascii="Calibri" w:hAnsi="Calibri" w:cs="Calibri"/>
                </w:rPr>
                <w:t>165.618.304</w:t>
              </w:r>
            </w:p>
          </w:tc>
          <w:tc>
            <w:tcPr>
              <w:tcW w:w="800" w:type="pct"/>
              <w:vAlign w:val="bottom"/>
            </w:tcPr>
            <w:p>
              <w:pPr>
                <w:spacing w:after="0" w:line="240"/>
                <w:jc w:val="right"/>
              </w:pPr>
              <w:r>
                <w:rPr>
                  <w:sz w:val="18"/>
                  <w:rFonts w:ascii="Calibri" w:hAnsi="Calibri" w:cs="Calibri"/>
                </w:rPr>
                <w:t>13.485.964</w:t>
              </w:r>
            </w:p>
          </w:tc>
          <w:tc>
            <w:tcPr>
              <w:tcW w:w="800" w:type="pct"/>
              <w:vAlign w:val="bottom"/>
            </w:tcPr>
            <w:p>
              <w:pPr>
                <w:spacing w:after="0" w:line="240"/>
                <w:jc w:val="right"/>
              </w:pPr>
              <w:r>
                <w:rPr>
                  <w:sz w:val="18"/>
                  <w:rFonts w:ascii="Calibri" w:hAnsi="Calibri" w:cs="Calibri"/>
                </w:rPr>
                <w:t>179.104.268</w:t>
              </w:r>
            </w:p>
          </w:tc>
          <w:tc>
            <w:tcPr>
              <w:tcW w:w="400" w:type="pct"/>
              <w:vAlign w:val="bottom"/>
            </w:tcPr>
            <w:p>
              <w:pPr>
                <w:spacing w:after="0" w:line="240"/>
                <w:jc w:val="right"/>
              </w:pPr>
              <w:r>
                <w:rPr>
                  <w:sz w:val="18"/>
                  <w:rFonts w:ascii="Calibri" w:hAnsi="Calibri" w:cs="Calibri"/>
                </w:rPr>
                <w:t>108,1</w:t>
              </w:r>
            </w:p>
          </w:tc>
        </w:tr>
        <w:tr>
          <w:tc>
            <w:tcPr>
              <w:tcW w:w="2000" w:type="pct"/>
              <w:vAlign w:val="bottom"/>
            </w:tcPr>
            <w:p>
              <w:pPr>
                <w:spacing w:after="0" w:line="240"/>
                <w:jc w:val="left"/>
              </w:pPr>
              <w:r>
                <w:rPr>
                  <w:sz w:val="18"/>
                  <w:rFonts w:ascii="Calibri" w:hAnsi="Calibri" w:cs="Calibri"/>
                </w:rPr>
                <w:t>RASHODI ZA NABAVU NEFINANCIJSKE IMOVINE</w:t>
              </w:r>
            </w:p>
          </w:tc>
          <w:tc>
            <w:tcPr>
              <w:tcW w:w="800" w:type="pct"/>
              <w:vAlign w:val="bottom"/>
            </w:tcPr>
            <w:p>
              <w:pPr>
                <w:spacing w:after="0" w:line="240"/>
                <w:jc w:val="right"/>
              </w:pPr>
              <w:r>
                <w:rPr>
                  <w:sz w:val="18"/>
                  <w:rFonts w:ascii="Calibri" w:hAnsi="Calibri" w:cs="Calibri"/>
                </w:rPr>
                <w:t>217.900.529</w:t>
              </w:r>
            </w:p>
          </w:tc>
          <w:tc>
            <w:tcPr>
              <w:tcW w:w="800" w:type="pct"/>
              <w:vAlign w:val="bottom"/>
            </w:tcPr>
            <w:p>
              <w:pPr>
                <w:spacing w:after="0" w:line="240"/>
                <w:jc w:val="right"/>
              </w:pPr>
              <w:r>
                <w:rPr>
                  <w:sz w:val="18"/>
                  <w:rFonts w:ascii="Calibri" w:hAnsi="Calibri" w:cs="Calibri"/>
                </w:rPr>
                <w:t>-580.432</w:t>
              </w:r>
            </w:p>
          </w:tc>
          <w:tc>
            <w:tcPr>
              <w:tcW w:w="800" w:type="pct"/>
              <w:vAlign w:val="bottom"/>
            </w:tcPr>
            <w:p>
              <w:pPr>
                <w:spacing w:after="0" w:line="240"/>
                <w:jc w:val="right"/>
              </w:pPr>
              <w:r>
                <w:rPr>
                  <w:sz w:val="18"/>
                  <w:rFonts w:ascii="Calibri" w:hAnsi="Calibri" w:cs="Calibri"/>
                </w:rPr>
                <w:t>217.320.097</w:t>
              </w:r>
            </w:p>
          </w:tc>
          <w:tc>
            <w:tcPr>
              <w:tcW w:w="400" w:type="pct"/>
              <w:vAlign w:val="bottom"/>
            </w:tcPr>
            <w:p>
              <w:pPr>
                <w:spacing w:after="0" w:line="240"/>
                <w:jc w:val="right"/>
              </w:pPr>
              <w:r>
                <w:rPr>
                  <w:sz w:val="18"/>
                  <w:rFonts w:ascii="Calibri" w:hAnsi="Calibri" w:cs="Calibri"/>
                </w:rPr>
                <w:t>99,7</w:t>
              </w:r>
            </w:p>
          </w:tc>
        </w:tr>
        <w:tr>
          <w:tc>
            <w:tcPr>
              <w:tcW w:w="2000" w:type="pct"/>
              <w:vAlign w:val="bottom"/>
            </w:tcPr>
            <w:p>
              <w:pPr>
                <w:spacing w:after="0" w:line="240"/>
                <w:jc w:val="left"/>
              </w:pPr>
              <w:r>
                <w:rPr>
                  <w:b/>
                  <w:sz w:val="18"/>
                  <w:rFonts w:ascii="Calibri" w:hAnsi="Calibri" w:cs="Calibri"/>
                </w:rPr>
                <w:t>UKUPNI RASHODI</w:t>
              </w:r>
            </w:p>
          </w:tc>
          <w:tc>
            <w:tcPr>
              <w:tcW w:w="800" w:type="pct"/>
              <w:vAlign w:val="bottom"/>
            </w:tcPr>
            <w:p>
              <w:pPr>
                <w:spacing w:after="0" w:line="240"/>
                <w:jc w:val="right"/>
              </w:pPr>
              <w:r>
                <w:rPr>
                  <w:b/>
                  <w:sz w:val="18"/>
                  <w:rFonts w:ascii="Calibri" w:hAnsi="Calibri" w:cs="Calibri"/>
                </w:rPr>
                <w:t>383.518.833</w:t>
              </w:r>
            </w:p>
          </w:tc>
          <w:tc>
            <w:tcPr>
              <w:tcW w:w="800" w:type="pct"/>
              <w:vAlign w:val="bottom"/>
            </w:tcPr>
            <w:p>
              <w:pPr>
                <w:spacing w:after="0" w:line="240"/>
                <w:jc w:val="right"/>
              </w:pPr>
              <w:r>
                <w:rPr>
                  <w:b/>
                  <w:sz w:val="18"/>
                  <w:rFonts w:ascii="Calibri" w:hAnsi="Calibri" w:cs="Calibri"/>
                </w:rPr>
                <w:t>12.905.532</w:t>
              </w:r>
            </w:p>
          </w:tc>
          <w:tc>
            <w:tcPr>
              <w:tcW w:w="800" w:type="pct"/>
              <w:vAlign w:val="bottom"/>
            </w:tcPr>
            <w:p>
              <w:pPr>
                <w:spacing w:after="0" w:line="240"/>
                <w:jc w:val="right"/>
              </w:pPr>
              <w:r>
                <w:rPr>
                  <w:b/>
                  <w:sz w:val="18"/>
                  <w:rFonts w:ascii="Calibri" w:hAnsi="Calibri" w:cs="Calibri"/>
                </w:rPr>
                <w:t>396.424.365</w:t>
              </w:r>
            </w:p>
          </w:tc>
          <w:tc>
            <w:tcPr>
              <w:tcW w:w="400" w:type="pct"/>
              <w:vAlign w:val="bottom"/>
            </w:tcPr>
            <w:p>
              <w:pPr>
                <w:spacing w:after="0" w:line="240"/>
                <w:jc w:val="right"/>
              </w:pPr>
              <w:r>
                <w:rPr>
                  <w:b/>
                  <w:sz w:val="18"/>
                  <w:rFonts w:ascii="Calibri" w:hAnsi="Calibri" w:cs="Calibri"/>
                </w:rPr>
                <w:t>103,4</w:t>
              </w:r>
            </w:p>
          </w:tc>
        </w:tr>
      </w:tbl>
      <w:p>
        <w:pPr>
          <w:spacing w:after="0" w:line="240"/>
        </w:pPr>
      </w:p>
      <w:p>
        <w:pPr>
          <w:spacing w:line="240"/>
          <w:jc w:val="both"/>
        </w:pPr>
        <w:r>
          <w:rPr>
            <w:rFonts w:ascii="Calibri" w:hAnsi="Calibri" w:cs="Calibri"/>
            <w:sz w:val="22"/>
          </w:rPr>
          <w:t xml:space="preserve">Rashodi poslovanja u Izmjenama Plana
iznose 179,10 milijuna eura, a povećani su u odnosu na originalni plan za 8,14
%. </w:t>
        </w:r>
      </w:p>
      <w:p>
        <w:pPr>
          <w:spacing w:line="240"/>
          <w:jc w:val="both"/>
        </w:pPr>
        <w:r>
          <w:rPr>
            <w:rFonts w:ascii="Calibri" w:hAnsi="Calibri" w:cs="Calibri"/>
            <w:sz w:val="22"/>
          </w:rPr>
          <w:t xml:space="preserve">Najveće povećanje u iznosu od 5,82 milijuna
eura je na stavci Materijalni rashodi, a najvećim dijelom uzrokovano je
povećanjem troškova za redovito održavanje državnih cesta. Navedeno je vidljivo u Posebnom dijelu
na aktivnosti A300003 – Redovito održavanje. Razlog povećanja je poskupljenje
cijena radova što je kao posljedicu imalo da je najniža ponuda na javnoj nabavi
bila viša od procijenjene vrijednosti.</w:t>
        </w:r>
      </w:p>
      <w:p>
        <w:pPr>
          <w:spacing w:line="240"/>
          <w:jc w:val="both"/>
        </w:pPr>
        <w:r>
          <w:rPr>
            <w:rFonts w:ascii="Calibri" w:hAnsi="Calibri" w:cs="Calibri"/>
            <w:sz w:val="22"/>
          </w:rPr>
          <w:t xml:space="preserve">Drugo veliko povećanje odnosi se na
stavku Financijskih rashoda i iznosi 7,13 milijuna eura. Ovo je direktna
posljedica rasta kamatnih stopa na financijskom tržištu, a vidljivo je u posebnom dijelu u sklopu
aktivnosti A300001 - Zajmovi od tuzemnih banaka i ostalih financijskih
institucija izvan javnog sektora.</w:t>
        </w:r>
      </w:p>
      <w:p>
        <w:pPr>
          <w:spacing w:line="240"/>
          <w:jc w:val="both"/>
        </w:pPr>
        <w:r>
          <w:rPr>
            <w:rFonts w:ascii="Calibri" w:hAnsi="Calibri" w:cs="Calibri"/>
            <w:sz w:val="22"/>
          </w:rPr>
          <w:t xml:space="preserve">Rashodi za nabavu nefinancijske imovine u
Izmjenama Plana iznose 217,32 milijuna eura i smanjeni su u odnosu na
originalni Plan za 0,3 %. Smanjenje se odnosi na plan rashoda za nabavu poslovnih objekata.</w:t>
        </w:r>
      </w:p>
      <w:p>
        <w:pPr>
          <w:spacing w:line="240"/>
          <w:jc w:val="left"/>
        </w:pPr>
        <w:r>
          <w:rPr>
            <w:b/>
            <w:u w:val="single"/>
            <w:sz w:val="22"/>
            <w:rFonts w:ascii="Calibri" w:hAnsi="Calibri" w:cs="Calibri"/>
          </w:rPr>
          <w:br/>
          <w:t xml:space="preserve">UKUPNI VIŠAK/MANJAK</w:t>
        </w:r>
      </w:p>
      <w:tbl>
        <w:tblPr>
          <w:tblW w:w="4850" w:type="pct"/>
          <w:tblBorders>
            <w:top w:val="single" w:sz="5"/>
            <w:bottom w:val="single" w:sz="5"/>
            <w:left w:val="single" w:sz="5"/>
            <w:right w:val="single" w:sz="5"/>
            <w:insideH w:val="single" w:sz="5"/>
            <w:insideV w:val="single" w:sz="5"/>
          </w:tblBorders>
          <w:tblCellMar>
            <w:top w:w="0" w:type="dxa"/>
            <w:start w:w="100" w:type="dxa"/>
            <w:bottom w:w="0" w:type="dxa"/>
            <w:end w:w="100" w:type="dxa"/>
          </w:tblCellMar>
        </w:tblPr>
        <w:tr>
          <w:tc>
            <w:tcPr>
              <w:tcW w:w="2000" w:type="pct"/>
              <w:vAlign w:val="center"/>
              <w:shd w:val="clear" w:color="auto" w:fill="#bcdffb"/>
            </w:tcPr>
            <w:p>
              <w:pPr>
                <w:spacing w:after="0" w:line="240"/>
                <w:jc w:val="center"/>
              </w:pPr>
              <w:r>
                <w:rPr>
                  <w:b/>
                  <w:sz w:val="18"/>
                  <w:rFonts w:ascii="Calibri" w:hAnsi="Calibri" w:cs="Calibri"/>
                </w:rPr>
                <w:t/>
              </w:r>
            </w:p>
          </w:tc>
          <w:tc>
            <w:tcPr>
              <w:tcW w:w="800" w:type="pct"/>
              <w:vAlign w:val="center"/>
              <w:shd w:val="clear" w:color="auto" w:fill="#bcdffb"/>
            </w:tcPr>
            <w:p>
              <w:pPr>
                <w:spacing w:after="0" w:line="240"/>
                <w:jc w:val="center"/>
              </w:pPr>
              <w:r>
                <w:rPr>
                  <w:b/>
                  <w:sz w:val="18"/>
                  <w:rFonts w:ascii="Calibri" w:hAnsi="Calibri" w:cs="Calibri"/>
                </w:rPr>
                <w:t>Plan za 2023.</w:t>
              </w:r>
            </w:p>
          </w:tc>
          <w:tc>
            <w:tcPr>
              <w:tcW w:w="800" w:type="pct"/>
              <w:vAlign w:val="center"/>
              <w:shd w:val="clear" w:color="auto" w:fill="#bcdffb"/>
            </w:tcPr>
            <w:p>
              <w:pPr>
                <w:spacing w:after="0" w:line="240"/>
                <w:jc w:val="center"/>
              </w:pPr>
              <w:r>
                <w:rPr>
                  <w:b/>
                  <w:sz w:val="18"/>
                  <w:rFonts w:ascii="Calibri" w:hAnsi="Calibri" w:cs="Calibri"/>
                </w:rPr>
                <w:t>Povećanje/</w:t>
                <w:br/>
                <w:t>Smanjenje</w:t>
              </w:r>
            </w:p>
          </w:tc>
          <w:tc>
            <w:tcPr>
              <w:tcW w:w="800" w:type="pct"/>
              <w:vAlign w:val="center"/>
              <w:shd w:val="clear" w:color="auto" w:fill="#bcdffb"/>
            </w:tcPr>
            <w:p>
              <w:pPr>
                <w:spacing w:after="0" w:line="240"/>
                <w:jc w:val="center"/>
              </w:pPr>
              <w:r>
                <w:rPr>
                  <w:b/>
                  <w:sz w:val="18"/>
                  <w:rFonts w:ascii="Calibri" w:hAnsi="Calibri" w:cs="Calibri"/>
                </w:rPr>
                <w:t>Novi plan za</w:t>
                <w:br/>
                <w:t>2023.</w:t>
              </w:r>
            </w:p>
          </w:tc>
          <w:tc>
            <w:tcPr>
              <w:tcW w:w="400" w:type="pct"/>
              <w:vAlign w:val="center"/>
              <w:shd w:val="clear" w:color="auto" w:fill="#bcdffb"/>
            </w:tcPr>
            <w:p>
              <w:pPr>
                <w:spacing w:after="0" w:line="240"/>
                <w:jc w:val="center"/>
              </w:pPr>
              <w:r>
                <w:rPr>
                  <w:b/>
                  <w:sz w:val="18"/>
                  <w:rFonts w:ascii="Calibri" w:hAnsi="Calibri" w:cs="Calibri"/>
                </w:rPr>
                <w:t>Indeks</w:t>
              </w:r>
            </w:p>
          </w:tc>
        </w:tr>
        <w:tr>
          <w:tc>
            <w:tcPr>
              <w:tcW w:w="2000" w:type="pct"/>
              <w:vAlign w:val="bottom"/>
            </w:tcPr>
            <w:p>
              <w:pPr>
                <w:spacing w:after="0" w:line="240"/>
                <w:jc w:val="left"/>
              </w:pPr>
              <w:r>
                <w:rPr>
                  <w:sz w:val="18"/>
                  <w:rFonts w:ascii="Calibri" w:hAnsi="Calibri" w:cs="Calibri"/>
                </w:rPr>
                <w:t>UKUPNI PRIHODI</w:t>
              </w:r>
            </w:p>
          </w:tc>
          <w:tc>
            <w:tcPr>
              <w:tcW w:w="800" w:type="pct"/>
              <w:vAlign w:val="bottom"/>
            </w:tcPr>
            <w:p>
              <w:pPr>
                <w:spacing w:after="0" w:line="240"/>
                <w:jc w:val="right"/>
              </w:pPr>
              <w:r>
                <w:rPr>
                  <w:sz w:val="18"/>
                  <w:rFonts w:ascii="Calibri" w:hAnsi="Calibri" w:cs="Calibri"/>
                </w:rPr>
                <w:t>339.647.923</w:t>
              </w:r>
            </w:p>
          </w:tc>
          <w:tc>
            <w:tcPr>
              <w:tcW w:w="800" w:type="pct"/>
              <w:vAlign w:val="bottom"/>
            </w:tcPr>
            <w:p>
              <w:pPr>
                <w:spacing w:after="0" w:line="240"/>
                <w:jc w:val="right"/>
              </w:pPr>
              <w:r>
                <w:rPr>
                  <w:sz w:val="18"/>
                  <w:rFonts w:ascii="Calibri" w:hAnsi="Calibri" w:cs="Calibri"/>
                </w:rPr>
                <w:t>-1.179.709</w:t>
              </w:r>
            </w:p>
          </w:tc>
          <w:tc>
            <w:tcPr>
              <w:tcW w:w="800" w:type="pct"/>
              <w:vAlign w:val="bottom"/>
            </w:tcPr>
            <w:p>
              <w:pPr>
                <w:spacing w:after="0" w:line="240"/>
                <w:jc w:val="right"/>
              </w:pPr>
              <w:r>
                <w:rPr>
                  <w:sz w:val="18"/>
                  <w:rFonts w:ascii="Calibri" w:hAnsi="Calibri" w:cs="Calibri"/>
                </w:rPr>
                <w:t>338.468.214</w:t>
              </w:r>
            </w:p>
          </w:tc>
          <w:tc>
            <w:tcPr>
              <w:tcW w:w="400" w:type="pct"/>
              <w:vAlign w:val="bottom"/>
            </w:tcPr>
            <w:p>
              <w:pPr>
                <w:spacing w:after="0" w:line="240"/>
                <w:jc w:val="right"/>
              </w:pPr>
              <w:r>
                <w:rPr>
                  <w:sz w:val="18"/>
                  <w:rFonts w:ascii="Calibri" w:hAnsi="Calibri" w:cs="Calibri"/>
                </w:rPr>
                <w:t>99,7</w:t>
              </w:r>
            </w:p>
          </w:tc>
        </w:tr>
        <w:tr>
          <w:tc>
            <w:tcPr>
              <w:tcW w:w="2000" w:type="pct"/>
              <w:vAlign w:val="bottom"/>
            </w:tcPr>
            <w:p>
              <w:pPr>
                <w:spacing w:after="0" w:line="240"/>
                <w:jc w:val="left"/>
              </w:pPr>
              <w:r>
                <w:rPr>
                  <w:sz w:val="18"/>
                  <w:rFonts w:ascii="Calibri" w:hAnsi="Calibri" w:cs="Calibri"/>
                </w:rPr>
                <w:t>UKUPNI RASHODI</w:t>
              </w:r>
            </w:p>
          </w:tc>
          <w:tc>
            <w:tcPr>
              <w:tcW w:w="800" w:type="pct"/>
              <w:vAlign w:val="bottom"/>
            </w:tcPr>
            <w:p>
              <w:pPr>
                <w:spacing w:after="0" w:line="240"/>
                <w:jc w:val="right"/>
              </w:pPr>
              <w:r>
                <w:rPr>
                  <w:sz w:val="18"/>
                  <w:rFonts w:ascii="Calibri" w:hAnsi="Calibri" w:cs="Calibri"/>
                </w:rPr>
                <w:t>383.518.833</w:t>
              </w:r>
            </w:p>
          </w:tc>
          <w:tc>
            <w:tcPr>
              <w:tcW w:w="800" w:type="pct"/>
              <w:vAlign w:val="bottom"/>
            </w:tcPr>
            <w:p>
              <w:pPr>
                <w:spacing w:after="0" w:line="240"/>
                <w:jc w:val="right"/>
              </w:pPr>
              <w:r>
                <w:rPr>
                  <w:sz w:val="18"/>
                  <w:rFonts w:ascii="Calibri" w:hAnsi="Calibri" w:cs="Calibri"/>
                </w:rPr>
                <w:t>12.905.532</w:t>
              </w:r>
            </w:p>
          </w:tc>
          <w:tc>
            <w:tcPr>
              <w:tcW w:w="800" w:type="pct"/>
              <w:vAlign w:val="bottom"/>
            </w:tcPr>
            <w:p>
              <w:pPr>
                <w:spacing w:after="0" w:line="240"/>
                <w:jc w:val="right"/>
              </w:pPr>
              <w:r>
                <w:rPr>
                  <w:sz w:val="18"/>
                  <w:rFonts w:ascii="Calibri" w:hAnsi="Calibri" w:cs="Calibri"/>
                </w:rPr>
                <w:t>396.424.365</w:t>
              </w:r>
            </w:p>
          </w:tc>
          <w:tc>
            <w:tcPr>
              <w:tcW w:w="400" w:type="pct"/>
              <w:vAlign w:val="bottom"/>
            </w:tcPr>
            <w:p>
              <w:pPr>
                <w:spacing w:after="0" w:line="240"/>
                <w:jc w:val="right"/>
              </w:pPr>
              <w:r>
                <w:rPr>
                  <w:sz w:val="18"/>
                  <w:rFonts w:ascii="Calibri" w:hAnsi="Calibri" w:cs="Calibri"/>
                </w:rPr>
                <w:t>103,4</w:t>
              </w:r>
            </w:p>
          </w:tc>
        </w:tr>
        <w:tr>
          <w:tc>
            <w:tcPr>
              <w:tcW w:w="2000" w:type="pct"/>
              <w:vAlign w:val="bottom"/>
            </w:tcPr>
            <w:p>
              <w:pPr>
                <w:spacing w:after="0" w:line="240"/>
                <w:jc w:val="left"/>
              </w:pPr>
              <w:r>
                <w:rPr>
                  <w:b/>
                  <w:sz w:val="18"/>
                  <w:rFonts w:ascii="Calibri" w:hAnsi="Calibri" w:cs="Calibri"/>
                </w:rPr>
                <w:t>RAZLIKA - VIŠAK/MANJAK</w:t>
              </w:r>
            </w:p>
          </w:tc>
          <w:tc>
            <w:tcPr>
              <w:tcW w:w="800" w:type="pct"/>
              <w:vAlign w:val="bottom"/>
            </w:tcPr>
            <w:p>
              <w:pPr>
                <w:spacing w:after="0" w:line="240"/>
                <w:jc w:val="right"/>
              </w:pPr>
              <w:r>
                <w:rPr>
                  <w:b/>
                  <w:sz w:val="18"/>
                  <w:rFonts w:ascii="Calibri" w:hAnsi="Calibri" w:cs="Calibri"/>
                </w:rPr>
                <w:t>-43.870.910</w:t>
              </w:r>
            </w:p>
          </w:tc>
          <w:tc>
            <w:tcPr>
              <w:tcW w:w="800" w:type="pct"/>
              <w:vAlign w:val="bottom"/>
            </w:tcPr>
            <w:p>
              <w:pPr>
                <w:spacing w:after="0" w:line="240"/>
                <w:jc w:val="right"/>
              </w:pPr>
              <w:r>
                <w:rPr>
                  <w:b/>
                  <w:sz w:val="18"/>
                  <w:rFonts w:ascii="Calibri" w:hAnsi="Calibri" w:cs="Calibri"/>
                </w:rPr>
                <w:t>-14.085.241</w:t>
              </w:r>
            </w:p>
          </w:tc>
          <w:tc>
            <w:tcPr>
              <w:tcW w:w="800" w:type="pct"/>
              <w:vAlign w:val="bottom"/>
            </w:tcPr>
            <w:p>
              <w:pPr>
                <w:spacing w:after="0" w:line="240"/>
                <w:jc w:val="right"/>
              </w:pPr>
              <w:r>
                <w:rPr>
                  <w:b/>
                  <w:sz w:val="18"/>
                  <w:rFonts w:ascii="Calibri" w:hAnsi="Calibri" w:cs="Calibri"/>
                </w:rPr>
                <w:t>-57.956.151</w:t>
              </w:r>
            </w:p>
          </w:tc>
          <w:tc>
            <w:tcPr>
              <w:tcW w:w="400" w:type="pct"/>
              <w:vAlign w:val="bottom"/>
            </w:tcPr>
            <w:p>
              <w:pPr>
                <w:spacing w:after="0" w:line="240"/>
                <w:jc w:val="right"/>
              </w:pPr>
              <w:r>
                <w:rPr>
                  <w:b/>
                  <w:sz w:val="18"/>
                  <w:rFonts w:ascii="Calibri" w:hAnsi="Calibri" w:cs="Calibri"/>
                </w:rPr>
                <w:t>132,1</w:t>
              </w:r>
            </w:p>
          </w:tc>
        </w:tr>
      </w:tbl>
      <w:p>
        <w:pPr>
          <w:spacing w:after="0" w:line="240"/>
        </w:pPr>
      </w:p>
      <w:p>
        <w:pPr>
          <w:spacing w:line="240"/>
          <w:jc w:val="both"/>
        </w:pPr>
        <w:r>
          <w:rPr>
            <w:rFonts w:ascii="Calibri" w:hAnsi="Calibri" w:cs="Calibri"/>
            <w:sz w:val="22"/>
          </w:rPr>
          <w:t xml:space="preserve">Kao rezultat razlike između planiranih
prihoda i rashoda u prijedlogu Izmjena Financijskog plana Hrvatske ceste imaju
predviđen manjak u iznosu od 57,96 milijuna eura, što je povećanje od 14,09
milijuna eura, a uzrokovano je povećanjem cijena radova i povećanjem kamatnih
stopa na tržištu.</w:t>
        </w:r>
      </w:p>
      <w:p>
        <w:pPr>
          <w:spacing w:line="240"/>
          <w:jc w:val="left"/>
        </w:pPr>
        <w:r>
          <w:rPr>
            <w:b/>
            <w:u w:val="single"/>
            <w:sz w:val="22"/>
            <w:rFonts w:ascii="Calibri" w:hAnsi="Calibri" w:cs="Calibri"/>
          </w:rPr>
          <w:br/>
          <w:t xml:space="preserve">RAČUN FINANCIRANJA</w:t>
        </w:r>
      </w:p>
      <w:tbl>
        <w:tblPr>
          <w:tblW w:w="4850" w:type="pct"/>
          <w:tblBorders>
            <w:top w:val="single" w:sz="5"/>
            <w:bottom w:val="single" w:sz="5"/>
            <w:left w:val="single" w:sz="5"/>
            <w:right w:val="single" w:sz="5"/>
            <w:insideH w:val="single" w:sz="5"/>
            <w:insideV w:val="single" w:sz="5"/>
          </w:tblBorders>
          <w:tblCellMar>
            <w:top w:w="0" w:type="dxa"/>
            <w:start w:w="100" w:type="dxa"/>
            <w:bottom w:w="0" w:type="dxa"/>
            <w:end w:w="100" w:type="dxa"/>
          </w:tblCellMar>
        </w:tblPr>
        <w:tr>
          <w:tc>
            <w:tcPr>
              <w:tcW w:w="2000" w:type="pct"/>
              <w:vAlign w:val="center"/>
              <w:shd w:val="clear" w:color="auto" w:fill="#bcdffb"/>
            </w:tcPr>
            <w:p>
              <w:pPr>
                <w:spacing w:after="0" w:line="240"/>
                <w:jc w:val="center"/>
              </w:pPr>
              <w:r>
                <w:rPr>
                  <w:b/>
                  <w:sz w:val="18"/>
                  <w:rFonts w:ascii="Calibri" w:hAnsi="Calibri" w:cs="Calibri"/>
                </w:rPr>
                <w:t/>
              </w:r>
            </w:p>
          </w:tc>
          <w:tc>
            <w:tcPr>
              <w:tcW w:w="800" w:type="pct"/>
              <w:vAlign w:val="center"/>
              <w:shd w:val="clear" w:color="auto" w:fill="#bcdffb"/>
            </w:tcPr>
            <w:p>
              <w:pPr>
                <w:spacing w:after="0" w:line="240"/>
                <w:jc w:val="center"/>
              </w:pPr>
              <w:r>
                <w:rPr>
                  <w:b/>
                  <w:sz w:val="18"/>
                  <w:rFonts w:ascii="Calibri" w:hAnsi="Calibri" w:cs="Calibri"/>
                </w:rPr>
                <w:t>Plan za 2023.</w:t>
              </w:r>
            </w:p>
          </w:tc>
          <w:tc>
            <w:tcPr>
              <w:tcW w:w="800" w:type="pct"/>
              <w:vAlign w:val="center"/>
              <w:shd w:val="clear" w:color="auto" w:fill="#bcdffb"/>
            </w:tcPr>
            <w:p>
              <w:pPr>
                <w:spacing w:after="0" w:line="240"/>
                <w:jc w:val="center"/>
              </w:pPr>
              <w:r>
                <w:rPr>
                  <w:b/>
                  <w:sz w:val="18"/>
                  <w:rFonts w:ascii="Calibri" w:hAnsi="Calibri" w:cs="Calibri"/>
                </w:rPr>
                <w:t>Povećanje/</w:t>
                <w:br/>
                <w:t>Smanjenje</w:t>
              </w:r>
            </w:p>
          </w:tc>
          <w:tc>
            <w:tcPr>
              <w:tcW w:w="800" w:type="pct"/>
              <w:vAlign w:val="center"/>
              <w:shd w:val="clear" w:color="auto" w:fill="#bcdffb"/>
            </w:tcPr>
            <w:p>
              <w:pPr>
                <w:spacing w:after="0" w:line="240"/>
                <w:jc w:val="center"/>
              </w:pPr>
              <w:r>
                <w:rPr>
                  <w:b/>
                  <w:sz w:val="18"/>
                  <w:rFonts w:ascii="Calibri" w:hAnsi="Calibri" w:cs="Calibri"/>
                </w:rPr>
                <w:t>Novi plan za</w:t>
                <w:br/>
                <w:t>2023.</w:t>
              </w:r>
            </w:p>
          </w:tc>
          <w:tc>
            <w:tcPr>
              <w:tcW w:w="400" w:type="pct"/>
              <w:vAlign w:val="center"/>
              <w:shd w:val="clear" w:color="auto" w:fill="#bcdffb"/>
            </w:tcPr>
            <w:p>
              <w:pPr>
                <w:spacing w:after="0" w:line="240"/>
                <w:jc w:val="center"/>
              </w:pPr>
              <w:r>
                <w:rPr>
                  <w:b/>
                  <w:sz w:val="18"/>
                  <w:rFonts w:ascii="Calibri" w:hAnsi="Calibri" w:cs="Calibri"/>
                </w:rPr>
                <w:t>Indeks</w:t>
              </w:r>
            </w:p>
          </w:tc>
        </w:tr>
        <w:tr>
          <w:tc>
            <w:tcPr>
              <w:tcW w:w="2000" w:type="pct"/>
              <w:vAlign w:val="bottom"/>
            </w:tcPr>
            <w:p>
              <w:pPr>
                <w:spacing w:after="0" w:line="240"/>
                <w:jc w:val="left"/>
              </w:pPr>
              <w:r>
                <w:rPr>
                  <w:sz w:val="18"/>
                  <w:rFonts w:ascii="Calibri" w:hAnsi="Calibri" w:cs="Calibri"/>
                </w:rPr>
                <w:t>PRIMICI OD FINANCIJSKE IMOVINE I ZADUŽIVANJA</w:t>
              </w:r>
            </w:p>
          </w:tc>
          <w:tc>
            <w:tcPr>
              <w:tcW w:w="800" w:type="pct"/>
              <w:vAlign w:val="bottom"/>
            </w:tcPr>
            <w:p>
              <w:pPr>
                <w:spacing w:after="0" w:line="240"/>
                <w:jc w:val="right"/>
              </w:pPr>
              <w:r>
                <w:rPr>
                  <w:sz w:val="18"/>
                  <w:rFonts w:ascii="Calibri" w:hAnsi="Calibri" w:cs="Calibri"/>
                </w:rPr>
                <w:t>116.701.094</w:t>
              </w:r>
            </w:p>
          </w:tc>
          <w:tc>
            <w:tcPr>
              <w:tcW w:w="800" w:type="pct"/>
              <w:vAlign w:val="bottom"/>
            </w:tcPr>
            <w:p>
              <w:pPr>
                <w:spacing w:after="0" w:line="240"/>
                <w:jc w:val="right"/>
              </w:pPr>
              <w:r>
                <w:rPr>
                  <w:sz w:val="18"/>
                  <w:rFonts w:ascii="Calibri" w:hAnsi="Calibri" w:cs="Calibri"/>
                </w:rPr>
                <w:t>14.085.241</w:t>
              </w:r>
            </w:p>
          </w:tc>
          <w:tc>
            <w:tcPr>
              <w:tcW w:w="800" w:type="pct"/>
              <w:vAlign w:val="bottom"/>
            </w:tcPr>
            <w:p>
              <w:pPr>
                <w:spacing w:after="0" w:line="240"/>
                <w:jc w:val="right"/>
              </w:pPr>
              <w:r>
                <w:rPr>
                  <w:sz w:val="18"/>
                  <w:rFonts w:ascii="Calibri" w:hAnsi="Calibri" w:cs="Calibri"/>
                </w:rPr>
                <w:t>130.786.335</w:t>
              </w:r>
            </w:p>
          </w:tc>
          <w:tc>
            <w:tcPr>
              <w:tcW w:w="400" w:type="pct"/>
              <w:vAlign w:val="bottom"/>
            </w:tcPr>
            <w:p>
              <w:pPr>
                <w:spacing w:after="0" w:line="240"/>
                <w:jc w:val="right"/>
              </w:pPr>
              <w:r>
                <w:rPr>
                  <w:sz w:val="18"/>
                  <w:rFonts w:ascii="Calibri" w:hAnsi="Calibri" w:cs="Calibri"/>
                </w:rPr>
                <w:t>112,1</w:t>
              </w:r>
            </w:p>
          </w:tc>
        </w:tr>
        <w:tr>
          <w:tc>
            <w:tcPr>
              <w:tcW w:w="2000" w:type="pct"/>
              <w:vAlign w:val="bottom"/>
            </w:tcPr>
            <w:p>
              <w:pPr>
                <w:spacing w:after="0" w:line="240"/>
                <w:jc w:val="left"/>
              </w:pPr>
              <w:r>
                <w:rPr>
                  <w:sz w:val="18"/>
                  <w:rFonts w:ascii="Calibri" w:hAnsi="Calibri" w:cs="Calibri"/>
                </w:rPr>
                <w:t>IZDACI ZA FINANCIJSKU IMOVINU I OTPLATE ZAJMOVA</w:t>
              </w:r>
            </w:p>
          </w:tc>
          <w:tc>
            <w:tcPr>
              <w:tcW w:w="800" w:type="pct"/>
              <w:vAlign w:val="bottom"/>
            </w:tcPr>
            <w:p>
              <w:pPr>
                <w:spacing w:after="0" w:line="240"/>
                <w:jc w:val="right"/>
              </w:pPr>
              <w:r>
                <w:rPr>
                  <w:sz w:val="18"/>
                  <w:rFonts w:ascii="Calibri" w:hAnsi="Calibri" w:cs="Calibri"/>
                </w:rPr>
                <w:t>72.830.184</w:t>
              </w:r>
            </w:p>
          </w:tc>
          <w:tc>
            <w:tcPr>
              <w:tcW w:w="800" w:type="pct"/>
              <w:vAlign w:val="bottom"/>
            </w:tcPr>
            <w:p>
              <w:pPr>
                <w:spacing w:after="0" w:line="240"/>
                <w:jc w:val="right"/>
              </w:pPr>
              <w:r>
                <w:rPr>
                  <w:sz w:val="18"/>
                  <w:rFonts w:ascii="Calibri" w:hAnsi="Calibri" w:cs="Calibri"/>
                </w:rPr>
                <w:t>0</w:t>
              </w:r>
            </w:p>
          </w:tc>
          <w:tc>
            <w:tcPr>
              <w:tcW w:w="800" w:type="pct"/>
              <w:vAlign w:val="bottom"/>
            </w:tcPr>
            <w:p>
              <w:pPr>
                <w:spacing w:after="0" w:line="240"/>
                <w:jc w:val="right"/>
              </w:pPr>
              <w:r>
                <w:rPr>
                  <w:sz w:val="18"/>
                  <w:rFonts w:ascii="Calibri" w:hAnsi="Calibri" w:cs="Calibri"/>
                </w:rPr>
                <w:t>72.830.184</w:t>
              </w:r>
            </w:p>
          </w:tc>
          <w:tc>
            <w:tcPr>
              <w:tcW w:w="400" w:type="pct"/>
              <w:vAlign w:val="bottom"/>
            </w:tcPr>
            <w:p>
              <w:pPr>
                <w:spacing w:after="0" w:line="240"/>
                <w:jc w:val="right"/>
              </w:pPr>
              <w:r>
                <w:rPr>
                  <w:sz w:val="18"/>
                  <w:rFonts w:ascii="Calibri" w:hAnsi="Calibri" w:cs="Calibri"/>
                </w:rPr>
                <w:t>100,0</w:t>
              </w:r>
            </w:p>
          </w:tc>
        </w:tr>
        <w:tr>
          <w:tc>
            <w:tcPr>
              <w:tcW w:w="2000" w:type="pct"/>
              <w:vAlign w:val="bottom"/>
            </w:tcPr>
            <w:p>
              <w:pPr>
                <w:spacing w:after="0" w:line="240"/>
                <w:jc w:val="left"/>
              </w:pPr>
              <w:r>
                <w:rPr>
                  <w:sz w:val="18"/>
                  <w:rFonts w:ascii="Calibri" w:hAnsi="Calibri" w:cs="Calibri"/>
                </w:rPr>
                <w:t>PRIJENOS SREDSTAVA IZ PRETHODNE GODINE</w:t>
              </w:r>
            </w:p>
          </w:tc>
          <w:tc>
            <w:tcPr>
              <w:tcW w:w="800" w:type="pct"/>
              <w:vAlign w:val="bottom"/>
            </w:tcPr>
            <w:p>
              <w:pPr>
                <w:spacing w:after="0" w:line="240"/>
                <w:jc w:val="right"/>
              </w:pPr>
              <w:r>
                <w:rPr>
                  <w:sz w:val="18"/>
                  <w:rFonts w:ascii="Calibri" w:hAnsi="Calibri" w:cs="Calibri"/>
                </w:rPr>
                <w:t>42.277.517</w:t>
              </w:r>
            </w:p>
          </w:tc>
          <w:tc>
            <w:tcPr>
              <w:tcW w:w="800" w:type="pct"/>
              <w:vAlign w:val="bottom"/>
            </w:tcPr>
            <w:p>
              <w:pPr>
                <w:spacing w:after="0" w:line="240"/>
                <w:jc w:val="right"/>
              </w:pPr>
              <w:r>
                <w:rPr>
                  <w:sz w:val="18"/>
                  <w:rFonts w:ascii="Calibri" w:hAnsi="Calibri" w:cs="Calibri"/>
                </w:rPr>
                <w:t>-11.175.760</w:t>
              </w:r>
            </w:p>
          </w:tc>
          <w:tc>
            <w:tcPr>
              <w:tcW w:w="800" w:type="pct"/>
              <w:vAlign w:val="bottom"/>
            </w:tcPr>
            <w:p>
              <w:pPr>
                <w:spacing w:after="0" w:line="240"/>
                <w:jc w:val="right"/>
              </w:pPr>
              <w:r>
                <w:rPr>
                  <w:sz w:val="18"/>
                  <w:rFonts w:ascii="Calibri" w:hAnsi="Calibri" w:cs="Calibri"/>
                </w:rPr>
                <w:t>31.101.757</w:t>
              </w:r>
            </w:p>
          </w:tc>
          <w:tc>
            <w:tcPr>
              <w:tcW w:w="400" w:type="pct"/>
              <w:vAlign w:val="bottom"/>
            </w:tcPr>
            <w:p>
              <w:pPr>
                <w:spacing w:after="0" w:line="240"/>
                <w:jc w:val="right"/>
              </w:pPr>
              <w:r>
                <w:rPr>
                  <w:sz w:val="18"/>
                  <w:rFonts w:ascii="Calibri" w:hAnsi="Calibri" w:cs="Calibri"/>
                </w:rPr>
                <w:t>73,6</w:t>
              </w:r>
            </w:p>
          </w:tc>
        </w:tr>
        <w:tr>
          <w:tc>
            <w:tcPr>
              <w:tcW w:w="2000" w:type="pct"/>
              <w:vAlign w:val="bottom"/>
            </w:tcPr>
            <w:p>
              <w:pPr>
                <w:spacing w:after="0" w:line="240"/>
                <w:jc w:val="left"/>
              </w:pPr>
              <w:r>
                <w:rPr>
                  <w:sz w:val="18"/>
                  <w:rFonts w:ascii="Calibri" w:hAnsi="Calibri" w:cs="Calibri"/>
                </w:rPr>
                <w:t>PRIJENOS SREDSTAVA U SLJEDEĆU GODINU</w:t>
              </w:r>
            </w:p>
          </w:tc>
          <w:tc>
            <w:tcPr>
              <w:tcW w:w="800" w:type="pct"/>
              <w:vAlign w:val="bottom"/>
            </w:tcPr>
            <w:p>
              <w:pPr>
                <w:spacing w:after="0" w:line="240"/>
                <w:jc w:val="right"/>
              </w:pPr>
              <w:r>
                <w:rPr>
                  <w:sz w:val="18"/>
                  <w:rFonts w:ascii="Calibri" w:hAnsi="Calibri" w:cs="Calibri"/>
                </w:rPr>
                <w:t>-42.277.517</w:t>
              </w:r>
            </w:p>
          </w:tc>
          <w:tc>
            <w:tcPr>
              <w:tcW w:w="800" w:type="pct"/>
              <w:vAlign w:val="bottom"/>
            </w:tcPr>
            <w:p>
              <w:pPr>
                <w:spacing w:after="0" w:line="240"/>
                <w:jc w:val="right"/>
              </w:pPr>
              <w:r>
                <w:rPr>
                  <w:sz w:val="18"/>
                  <w:rFonts w:ascii="Calibri" w:hAnsi="Calibri" w:cs="Calibri"/>
                </w:rPr>
                <w:t>11.175.760</w:t>
              </w:r>
            </w:p>
          </w:tc>
          <w:tc>
            <w:tcPr>
              <w:tcW w:w="800" w:type="pct"/>
              <w:vAlign w:val="bottom"/>
            </w:tcPr>
            <w:p>
              <w:pPr>
                <w:spacing w:after="0" w:line="240"/>
                <w:jc w:val="right"/>
              </w:pPr>
              <w:r>
                <w:rPr>
                  <w:sz w:val="18"/>
                  <w:rFonts w:ascii="Calibri" w:hAnsi="Calibri" w:cs="Calibri"/>
                </w:rPr>
                <w:t>-31.101.757</w:t>
              </w:r>
            </w:p>
          </w:tc>
          <w:tc>
            <w:tcPr>
              <w:tcW w:w="400" w:type="pct"/>
              <w:vAlign w:val="bottom"/>
            </w:tcPr>
            <w:p>
              <w:pPr>
                <w:spacing w:after="0" w:line="240"/>
                <w:jc w:val="right"/>
              </w:pPr>
              <w:r>
                <w:rPr>
                  <w:sz w:val="18"/>
                  <w:rFonts w:ascii="Calibri" w:hAnsi="Calibri" w:cs="Calibri"/>
                </w:rPr>
                <w:t>73,6</w:t>
              </w:r>
            </w:p>
          </w:tc>
        </w:tr>
        <w:tr>
          <w:tc>
            <w:tcPr>
              <w:tcW w:w="2000" w:type="pct"/>
              <w:vAlign w:val="bottom"/>
            </w:tcPr>
            <w:p>
              <w:pPr>
                <w:spacing w:after="0" w:line="240"/>
                <w:jc w:val="left"/>
              </w:pPr>
              <w:r>
                <w:rPr>
                  <w:b/>
                  <w:sz w:val="18"/>
                  <w:rFonts w:ascii="Calibri" w:hAnsi="Calibri" w:cs="Calibri"/>
                </w:rPr>
                <w:t>NETO FINANCIRANJE</w:t>
              </w:r>
            </w:p>
          </w:tc>
          <w:tc>
            <w:tcPr>
              <w:tcW w:w="800" w:type="pct"/>
              <w:vAlign w:val="bottom"/>
            </w:tcPr>
            <w:p>
              <w:pPr>
                <w:spacing w:after="0" w:line="240"/>
                <w:jc w:val="right"/>
              </w:pPr>
              <w:r>
                <w:rPr>
                  <w:b/>
                  <w:sz w:val="18"/>
                  <w:rFonts w:ascii="Calibri" w:hAnsi="Calibri" w:cs="Calibri"/>
                </w:rPr>
                <w:t>43.870.910</w:t>
              </w:r>
            </w:p>
          </w:tc>
          <w:tc>
            <w:tcPr>
              <w:tcW w:w="800" w:type="pct"/>
              <w:vAlign w:val="bottom"/>
            </w:tcPr>
            <w:p>
              <w:pPr>
                <w:spacing w:after="0" w:line="240"/>
                <w:jc w:val="right"/>
              </w:pPr>
              <w:r>
                <w:rPr>
                  <w:b/>
                  <w:sz w:val="18"/>
                  <w:rFonts w:ascii="Calibri" w:hAnsi="Calibri" w:cs="Calibri"/>
                </w:rPr>
                <w:t>14.085.241</w:t>
              </w:r>
            </w:p>
          </w:tc>
          <w:tc>
            <w:tcPr>
              <w:tcW w:w="800" w:type="pct"/>
              <w:vAlign w:val="bottom"/>
            </w:tcPr>
            <w:p>
              <w:pPr>
                <w:spacing w:after="0" w:line="240"/>
                <w:jc w:val="right"/>
              </w:pPr>
              <w:r>
                <w:rPr>
                  <w:b/>
                  <w:sz w:val="18"/>
                  <w:rFonts w:ascii="Calibri" w:hAnsi="Calibri" w:cs="Calibri"/>
                </w:rPr>
                <w:t>57.956.151</w:t>
              </w:r>
            </w:p>
          </w:tc>
          <w:tc>
            <w:tcPr>
              <w:tcW w:w="400" w:type="pct"/>
              <w:vAlign w:val="bottom"/>
            </w:tcPr>
            <w:p>
              <w:pPr>
                <w:spacing w:after="0" w:line="240"/>
                <w:jc w:val="right"/>
              </w:pPr>
              <w:r>
                <w:rPr>
                  <w:b/>
                  <w:sz w:val="18"/>
                  <w:rFonts w:ascii="Calibri" w:hAnsi="Calibri" w:cs="Calibri"/>
                </w:rPr>
                <w:t>132,1</w:t>
              </w:r>
            </w:p>
          </w:tc>
        </w:tr>
      </w:tbl>
      <w:p>
        <w:pPr>
          <w:spacing w:after="0" w:line="240"/>
        </w:pPr>
      </w:p>
      <w:p>
        <w:pPr>
          <w:spacing w:line="240"/>
          <w:jc w:val="both"/>
        </w:pPr>
        <w:r>
          <w:rPr>
            <w:rFonts w:ascii="Calibri" w:hAnsi="Calibri" w:cs="Calibri"/>
            <w:sz w:val="22"/>
          </w:rPr>
          <w:t xml:space="preserve">Izdaci za financijsku imovinu i otplate
zajmova u Izmjenama Plana iznose 72,83 milijuna eura što je jednako prethodno
planiranom iznosu. </w:t>
        </w:r>
      </w:p>
      <w:p>
        <w:pPr>
          <w:spacing w:line="240"/>
          <w:jc w:val="both"/>
        </w:pPr>
        <w:r>
          <w:rPr>
            <w:rFonts w:ascii="Calibri" w:hAnsi="Calibri" w:cs="Calibri"/>
            <w:sz w:val="22"/>
          </w:rPr>
          <w:t xml:space="preserve">Planirani iznos zaduživanja u Izmjenama
Plana iznosi 130,79 milijuna eura, što je povećanje od 14,09 milijuna eura u
odnosu na trenutni Plan i direktna je posljedica povećanja manjka.</w:t>
        </w:r>
      </w:p>
      <w:p>
        <w:pPr>
          <w:spacing w:line="240"/>
          <w:jc w:val="both"/>
        </w:pPr>
        <w:r>
          <w:rPr>
            <w:rFonts w:ascii="Calibri" w:hAnsi="Calibri" w:cs="Calibri"/>
            <w:sz w:val="22"/>
          </w:rPr>
          <w:t xml:space="preserve">Prijenos
sredstava iz prethodne godine korigiran je u skladu s rezultatima poslovanja
2022. godine, te sada iznosi 31,10 milijuna eura. Prijenos sredstava u sljedeću
godinu planiran je u jednakom iznosu.</w:t>
        </w:r>
        <w:r>
          <w:rPr>
            <w:rFonts w:ascii="Calibri" w:hAnsi="Calibri" w:cs="Calibri"/>
            <w:sz w:val="22"/>
          </w:rPr>
          <w:br/>
        </w:r>
      </w:p>
    </w:sectPr>
  </w:body>
</w:document>
</file>

<file path=word/footer1.xml><?xml version="1.0" encoding="utf-8"?>
<w:ftr xmlns:w="http://schemas.openxmlformats.org/wordprocessingml/2006/main"/>
</file>

<file path=word/footer2.xml><?xml version="1.0" encoding="utf-8"?>
<w:ftr xmlns:w="http://schemas.openxmlformats.org/wordprocessingml/2006/main">
  <w:p>
    <w:pPr>
      <w:pStyle w:val="Footer"/>
      <w:jc w:val="right"/>
    </w:pPr>
    <w:r>
      <w:fldSimple w:instr="Page"/>
    </w:r>
  </w:p>
</w:ftr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/word/footer1.xml" Id="r97" /><Relationship Type="http://schemas.openxmlformats.org/officeDocument/2006/relationships/footer" Target="/word/footer2.xml" Id="r98" /></Relationships>
</file>