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31CC9" w:rsidRDefault="00AC3D28">
      <w:pPr>
        <w:spacing w:line="240" w:lineRule="auto"/>
        <w:jc w:val="center"/>
      </w:pPr>
      <w:r>
        <w:rPr>
          <w:rFonts w:ascii="Calibri" w:hAnsi="Calibri" w:cs="Calibri"/>
          <w:b/>
          <w:sz w:val="28"/>
        </w:rPr>
        <w:br/>
      </w:r>
      <w:r>
        <w:rPr>
          <w:rFonts w:ascii="Calibri" w:hAnsi="Calibri" w:cs="Calibri"/>
          <w:b/>
          <w:sz w:val="28"/>
        </w:rPr>
        <w:br/>
      </w:r>
      <w:r>
        <w:rPr>
          <w:rFonts w:ascii="Calibri" w:hAnsi="Calibri" w:cs="Calibri"/>
          <w:b/>
          <w:sz w:val="28"/>
        </w:rPr>
        <w:br/>
      </w:r>
      <w:r>
        <w:rPr>
          <w:rFonts w:ascii="Calibri" w:hAnsi="Calibri" w:cs="Calibri"/>
          <w:b/>
          <w:sz w:val="28"/>
        </w:rPr>
        <w:br/>
      </w:r>
      <w:r>
        <w:rPr>
          <w:rFonts w:ascii="Calibri" w:hAnsi="Calibri" w:cs="Calibri"/>
          <w:b/>
          <w:sz w:val="28"/>
        </w:rPr>
        <w:br/>
      </w:r>
      <w:r>
        <w:rPr>
          <w:rFonts w:ascii="Calibri" w:hAnsi="Calibri" w:cs="Calibri"/>
          <w:b/>
          <w:sz w:val="28"/>
        </w:rPr>
        <w:br/>
      </w:r>
      <w:r>
        <w:rPr>
          <w:rFonts w:ascii="Calibri" w:hAnsi="Calibri" w:cs="Calibri"/>
          <w:b/>
          <w:sz w:val="28"/>
        </w:rPr>
        <w:br/>
      </w:r>
      <w:r>
        <w:rPr>
          <w:rFonts w:ascii="Calibri" w:hAnsi="Calibri" w:cs="Calibri"/>
          <w:b/>
          <w:sz w:val="28"/>
        </w:rPr>
        <w:br/>
      </w:r>
      <w:r>
        <w:rPr>
          <w:rFonts w:ascii="Calibri" w:hAnsi="Calibri" w:cs="Calibri"/>
          <w:b/>
          <w:sz w:val="28"/>
        </w:rPr>
        <w:br/>
      </w:r>
      <w:r>
        <w:rPr>
          <w:rFonts w:ascii="Calibri" w:hAnsi="Calibri" w:cs="Calibri"/>
          <w:b/>
          <w:sz w:val="28"/>
        </w:rPr>
        <w:br/>
      </w:r>
      <w:r>
        <w:rPr>
          <w:rFonts w:ascii="Calibri" w:hAnsi="Calibri" w:cs="Calibri"/>
          <w:b/>
          <w:sz w:val="28"/>
        </w:rPr>
        <w:br/>
      </w:r>
      <w:r>
        <w:rPr>
          <w:rFonts w:ascii="Calibri" w:hAnsi="Calibri" w:cs="Calibri"/>
          <w:b/>
          <w:sz w:val="28"/>
        </w:rPr>
        <w:br/>
      </w:r>
      <w:r>
        <w:rPr>
          <w:rFonts w:ascii="Calibri" w:hAnsi="Calibri" w:cs="Calibri"/>
          <w:b/>
          <w:sz w:val="28"/>
        </w:rPr>
        <w:br/>
      </w:r>
      <w:r>
        <w:rPr>
          <w:rFonts w:ascii="Calibri" w:hAnsi="Calibri" w:cs="Calibri"/>
          <w:b/>
          <w:sz w:val="28"/>
        </w:rPr>
        <w:br/>
        <w:t xml:space="preserve">OBRAZLOŽENJE IZMJENA I DOPUNA FINANCIJSKOG PLANA HRVATSKIH AUTOCESTA ZA </w:t>
      </w:r>
      <w:bookmarkStart w:id="0" w:name="_GoBack"/>
      <w:bookmarkEnd w:id="0"/>
      <w:r>
        <w:rPr>
          <w:rFonts w:ascii="Calibri" w:hAnsi="Calibri" w:cs="Calibri"/>
          <w:b/>
          <w:sz w:val="28"/>
        </w:rPr>
        <w:t>2023. GODINU I PROJEKCIJA PLANA ZA 2024. I 2025. GODINU</w:t>
      </w:r>
      <w:r>
        <w:rPr>
          <w:rFonts w:ascii="Calibri" w:hAnsi="Calibri" w:cs="Calibri"/>
          <w:b/>
          <w:sz w:val="28"/>
        </w:rPr>
        <w:br w:type="page"/>
      </w:r>
    </w:p>
    <w:p w:rsidR="00D31CC9" w:rsidRDefault="00AC3D28">
      <w:pPr>
        <w:spacing w:line="240" w:lineRule="auto"/>
      </w:pPr>
      <w:r>
        <w:rPr>
          <w:rFonts w:ascii="Calibri" w:hAnsi="Calibri" w:cs="Calibri"/>
          <w:b/>
          <w:u w:val="single"/>
        </w:rPr>
        <w:lastRenderedPageBreak/>
        <w:br/>
        <w:t>UVOD</w:t>
      </w:r>
    </w:p>
    <w:p w:rsidR="00D31CC9" w:rsidRDefault="00AC3D28">
      <w:pPr>
        <w:spacing w:line="240" w:lineRule="auto"/>
        <w:jc w:val="both"/>
      </w:pPr>
      <w:r>
        <w:rPr>
          <w:rFonts w:ascii="Calibri" w:hAnsi="Calibri" w:cs="Calibri"/>
        </w:rPr>
        <w:t>Trgovačko društvo Hrvatske autoceste d.o.o. upravlja autocestama, gradi ih, rekonstruira i održava, osim onih autocesta kojima upravlja koncesionar prema odredbama Zakona o cestama. Hrvatske autoceste d.o.o. su u 100%-tnom vlasništvu Republike Hrvatske koja svoja prava u Skupštini Društva ostvaruje putem Vlade Republike Hrvatske.</w:t>
      </w:r>
    </w:p>
    <w:p w:rsidR="00D31CC9" w:rsidRDefault="00AC3D28">
      <w:pPr>
        <w:spacing w:line="240" w:lineRule="auto"/>
        <w:jc w:val="both"/>
      </w:pPr>
      <w:r>
        <w:rPr>
          <w:rFonts w:ascii="Calibri" w:hAnsi="Calibri" w:cs="Calibri"/>
        </w:rPr>
        <w:t>Hrvatske autoceste d.o.o. imaju status izvanproračunskog korisnika državnog proračuna te su sukladno odredbama Zakona o proračunu izradile Financijski plan za 2023. godinu i projekcije plana za 2024. i 2025. godinu na koji je Hrvatski sabor dao suglasnost na sjednici održanoj 29. studenoga 2022. godine.</w:t>
      </w:r>
    </w:p>
    <w:p w:rsidR="00D31CC9" w:rsidRDefault="00AC3D28">
      <w:pPr>
        <w:spacing w:line="240" w:lineRule="auto"/>
        <w:jc w:val="both"/>
      </w:pPr>
      <w:r>
        <w:rPr>
          <w:rFonts w:ascii="Calibri" w:hAnsi="Calibri" w:cs="Calibri"/>
        </w:rPr>
        <w:t>Prema uputi Ministarstva financija, a za potrebe izrade Izmjena i dopuna Državnog proračuna Republike Hrvatske za 2023. godinu, pristupilo se izradi Izmjena i dopuna Financijskog plana Hrvatskih autocesta d.o.o. za 2023. godinu. U nastavku slijedi obrazloženje izmjena i dopuna Financijskog plana za 2023. godinu s naglaskom na odstupanja od usvojenog Plana.</w:t>
      </w:r>
    </w:p>
    <w:p w:rsidR="00D31CC9" w:rsidRDefault="00AC3D28">
      <w:pPr>
        <w:spacing w:line="240" w:lineRule="auto"/>
      </w:pPr>
      <w:r>
        <w:rPr>
          <w:rFonts w:ascii="Calibri" w:hAnsi="Calibri" w:cs="Calibri"/>
          <w:b/>
          <w:u w:val="single"/>
        </w:rPr>
        <w:br/>
        <w:t>PRIHODI</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000" w:firstRow="0" w:lastRow="0" w:firstColumn="0" w:lastColumn="0" w:noHBand="0" w:noVBand="0"/>
      </w:tblPr>
      <w:tblGrid>
        <w:gridCol w:w="4097"/>
        <w:gridCol w:w="1639"/>
        <w:gridCol w:w="1638"/>
        <w:gridCol w:w="1638"/>
        <w:gridCol w:w="820"/>
      </w:tblGrid>
      <w:tr w:rsidR="00D31CC9">
        <w:tc>
          <w:tcPr>
            <w:tcW w:w="2000" w:type="pct"/>
            <w:shd w:val="clear" w:color="auto" w:fill="BCDFFB"/>
            <w:vAlign w:val="center"/>
          </w:tcPr>
          <w:p w:rsidR="00D31CC9" w:rsidRDefault="00D31CC9">
            <w:pPr>
              <w:spacing w:after="0" w:line="240" w:lineRule="auto"/>
              <w:jc w:val="center"/>
            </w:pPr>
          </w:p>
        </w:tc>
        <w:tc>
          <w:tcPr>
            <w:tcW w:w="800" w:type="pct"/>
            <w:shd w:val="clear" w:color="auto" w:fill="BCDFFB"/>
            <w:vAlign w:val="center"/>
          </w:tcPr>
          <w:p w:rsidR="00D31CC9" w:rsidRDefault="00AC3D28">
            <w:pPr>
              <w:spacing w:after="0" w:line="240" w:lineRule="auto"/>
              <w:jc w:val="center"/>
            </w:pPr>
            <w:r>
              <w:rPr>
                <w:rFonts w:ascii="Calibri" w:hAnsi="Calibri" w:cs="Calibri"/>
                <w:b/>
                <w:sz w:val="18"/>
              </w:rPr>
              <w:t>Plan za 2023.</w:t>
            </w:r>
          </w:p>
        </w:tc>
        <w:tc>
          <w:tcPr>
            <w:tcW w:w="800" w:type="pct"/>
            <w:shd w:val="clear" w:color="auto" w:fill="BCDFFB"/>
            <w:vAlign w:val="center"/>
          </w:tcPr>
          <w:p w:rsidR="00D31CC9" w:rsidRDefault="00AC3D28">
            <w:pPr>
              <w:spacing w:after="0" w:line="240" w:lineRule="auto"/>
              <w:jc w:val="center"/>
            </w:pPr>
            <w:r>
              <w:rPr>
                <w:rFonts w:ascii="Calibri" w:hAnsi="Calibri" w:cs="Calibri"/>
                <w:b/>
                <w:sz w:val="18"/>
              </w:rPr>
              <w:t>Povećanje/</w:t>
            </w:r>
            <w:r>
              <w:rPr>
                <w:rFonts w:ascii="Calibri" w:hAnsi="Calibri" w:cs="Calibri"/>
                <w:b/>
                <w:sz w:val="18"/>
              </w:rPr>
              <w:br/>
              <w:t>Smanjenje</w:t>
            </w:r>
          </w:p>
        </w:tc>
        <w:tc>
          <w:tcPr>
            <w:tcW w:w="800" w:type="pct"/>
            <w:shd w:val="clear" w:color="auto" w:fill="BCDFFB"/>
            <w:vAlign w:val="center"/>
          </w:tcPr>
          <w:p w:rsidR="00D31CC9" w:rsidRDefault="00AC3D28">
            <w:pPr>
              <w:spacing w:after="0" w:line="240" w:lineRule="auto"/>
              <w:jc w:val="center"/>
            </w:pPr>
            <w:r>
              <w:rPr>
                <w:rFonts w:ascii="Calibri" w:hAnsi="Calibri" w:cs="Calibri"/>
                <w:b/>
                <w:sz w:val="18"/>
              </w:rPr>
              <w:t>Novi plan za</w:t>
            </w:r>
            <w:r>
              <w:rPr>
                <w:rFonts w:ascii="Calibri" w:hAnsi="Calibri" w:cs="Calibri"/>
                <w:b/>
                <w:sz w:val="18"/>
              </w:rPr>
              <w:br/>
              <w:t>2023.</w:t>
            </w:r>
          </w:p>
        </w:tc>
        <w:tc>
          <w:tcPr>
            <w:tcW w:w="400" w:type="pct"/>
            <w:shd w:val="clear" w:color="auto" w:fill="BCDFFB"/>
            <w:vAlign w:val="center"/>
          </w:tcPr>
          <w:p w:rsidR="00D31CC9" w:rsidRDefault="00AC3D28">
            <w:pPr>
              <w:spacing w:after="0" w:line="240" w:lineRule="auto"/>
              <w:jc w:val="center"/>
            </w:pPr>
            <w:r>
              <w:rPr>
                <w:rFonts w:ascii="Calibri" w:hAnsi="Calibri" w:cs="Calibri"/>
                <w:b/>
                <w:sz w:val="18"/>
              </w:rPr>
              <w:t>Indeks</w:t>
            </w:r>
          </w:p>
        </w:tc>
      </w:tr>
      <w:tr w:rsidR="00D31CC9">
        <w:tc>
          <w:tcPr>
            <w:tcW w:w="2000" w:type="pct"/>
            <w:vAlign w:val="bottom"/>
          </w:tcPr>
          <w:p w:rsidR="00D31CC9" w:rsidRDefault="00AC3D28">
            <w:pPr>
              <w:spacing w:after="0" w:line="240" w:lineRule="auto"/>
            </w:pPr>
            <w:r>
              <w:rPr>
                <w:rFonts w:ascii="Calibri" w:hAnsi="Calibri" w:cs="Calibri"/>
                <w:sz w:val="18"/>
              </w:rPr>
              <w:t>PRIHODI POSLOVANJA</w:t>
            </w:r>
          </w:p>
        </w:tc>
        <w:tc>
          <w:tcPr>
            <w:tcW w:w="800" w:type="pct"/>
            <w:vAlign w:val="bottom"/>
          </w:tcPr>
          <w:p w:rsidR="00D31CC9" w:rsidRDefault="00AC3D28">
            <w:pPr>
              <w:spacing w:after="0" w:line="240" w:lineRule="auto"/>
              <w:jc w:val="right"/>
            </w:pPr>
            <w:r>
              <w:rPr>
                <w:rFonts w:ascii="Calibri" w:hAnsi="Calibri" w:cs="Calibri"/>
                <w:sz w:val="18"/>
              </w:rPr>
              <w:t>459.898.035</w:t>
            </w:r>
          </w:p>
        </w:tc>
        <w:tc>
          <w:tcPr>
            <w:tcW w:w="800" w:type="pct"/>
            <w:vAlign w:val="bottom"/>
          </w:tcPr>
          <w:p w:rsidR="00D31CC9" w:rsidRDefault="00AC3D28">
            <w:pPr>
              <w:spacing w:after="0" w:line="240" w:lineRule="auto"/>
              <w:jc w:val="right"/>
            </w:pPr>
            <w:r>
              <w:rPr>
                <w:rFonts w:ascii="Calibri" w:hAnsi="Calibri" w:cs="Calibri"/>
                <w:sz w:val="18"/>
              </w:rPr>
              <w:t>32.171.085</w:t>
            </w:r>
          </w:p>
        </w:tc>
        <w:tc>
          <w:tcPr>
            <w:tcW w:w="800" w:type="pct"/>
            <w:vAlign w:val="bottom"/>
          </w:tcPr>
          <w:p w:rsidR="00D31CC9" w:rsidRDefault="00AC3D28">
            <w:pPr>
              <w:spacing w:after="0" w:line="240" w:lineRule="auto"/>
              <w:jc w:val="right"/>
            </w:pPr>
            <w:r>
              <w:rPr>
                <w:rFonts w:ascii="Calibri" w:hAnsi="Calibri" w:cs="Calibri"/>
                <w:sz w:val="18"/>
              </w:rPr>
              <w:t>492.069.120</w:t>
            </w:r>
          </w:p>
        </w:tc>
        <w:tc>
          <w:tcPr>
            <w:tcW w:w="400" w:type="pct"/>
            <w:vAlign w:val="bottom"/>
          </w:tcPr>
          <w:p w:rsidR="00D31CC9" w:rsidRDefault="00AC3D28">
            <w:pPr>
              <w:spacing w:after="0" w:line="240" w:lineRule="auto"/>
              <w:jc w:val="right"/>
            </w:pPr>
            <w:r>
              <w:rPr>
                <w:rFonts w:ascii="Calibri" w:hAnsi="Calibri" w:cs="Calibri"/>
                <w:sz w:val="18"/>
              </w:rPr>
              <w:t>107,0</w:t>
            </w:r>
          </w:p>
        </w:tc>
      </w:tr>
      <w:tr w:rsidR="00D31CC9">
        <w:tc>
          <w:tcPr>
            <w:tcW w:w="2000" w:type="pct"/>
            <w:vAlign w:val="bottom"/>
          </w:tcPr>
          <w:p w:rsidR="00D31CC9" w:rsidRDefault="00AC3D28">
            <w:pPr>
              <w:spacing w:after="0" w:line="240" w:lineRule="auto"/>
            </w:pPr>
            <w:r>
              <w:rPr>
                <w:rFonts w:ascii="Calibri" w:hAnsi="Calibri" w:cs="Calibri"/>
                <w:sz w:val="18"/>
              </w:rPr>
              <w:t>PRIHODI OD PRODAJE NEFINANCIJSKE IMOVINE</w:t>
            </w:r>
          </w:p>
        </w:tc>
        <w:tc>
          <w:tcPr>
            <w:tcW w:w="800" w:type="pct"/>
            <w:vAlign w:val="bottom"/>
          </w:tcPr>
          <w:p w:rsidR="00D31CC9" w:rsidRPr="00AC3D28" w:rsidRDefault="00AC3D28">
            <w:pPr>
              <w:spacing w:after="0" w:line="240" w:lineRule="auto"/>
              <w:jc w:val="right"/>
              <w:rPr>
                <w:rFonts w:ascii="Calibri" w:hAnsi="Calibri" w:cs="Calibri"/>
                <w:sz w:val="18"/>
              </w:rPr>
            </w:pPr>
            <w:r w:rsidRPr="00AC3D28">
              <w:rPr>
                <w:rFonts w:ascii="Calibri" w:hAnsi="Calibri" w:cs="Calibri"/>
                <w:sz w:val="18"/>
              </w:rPr>
              <w:t>0</w:t>
            </w:r>
          </w:p>
        </w:tc>
        <w:tc>
          <w:tcPr>
            <w:tcW w:w="800" w:type="pct"/>
            <w:vAlign w:val="bottom"/>
          </w:tcPr>
          <w:p w:rsidR="00D31CC9" w:rsidRPr="00AC3D28" w:rsidRDefault="00AC3D28">
            <w:pPr>
              <w:spacing w:after="0" w:line="240" w:lineRule="auto"/>
              <w:jc w:val="right"/>
              <w:rPr>
                <w:rFonts w:ascii="Calibri" w:hAnsi="Calibri" w:cs="Calibri"/>
                <w:sz w:val="18"/>
              </w:rPr>
            </w:pPr>
            <w:r w:rsidRPr="00AC3D28">
              <w:rPr>
                <w:rFonts w:ascii="Calibri" w:hAnsi="Calibri" w:cs="Calibri"/>
                <w:sz w:val="18"/>
              </w:rPr>
              <w:t>0</w:t>
            </w:r>
          </w:p>
        </w:tc>
        <w:tc>
          <w:tcPr>
            <w:tcW w:w="800" w:type="pct"/>
            <w:vAlign w:val="bottom"/>
          </w:tcPr>
          <w:p w:rsidR="00D31CC9" w:rsidRPr="00AC3D28" w:rsidRDefault="00AC3D28">
            <w:pPr>
              <w:spacing w:after="0" w:line="240" w:lineRule="auto"/>
              <w:jc w:val="right"/>
              <w:rPr>
                <w:rFonts w:ascii="Calibri" w:hAnsi="Calibri" w:cs="Calibri"/>
                <w:sz w:val="18"/>
              </w:rPr>
            </w:pPr>
            <w:r w:rsidRPr="00AC3D28">
              <w:rPr>
                <w:rFonts w:ascii="Calibri" w:hAnsi="Calibri" w:cs="Calibri"/>
                <w:sz w:val="18"/>
              </w:rPr>
              <w:t>0</w:t>
            </w:r>
          </w:p>
        </w:tc>
        <w:tc>
          <w:tcPr>
            <w:tcW w:w="400" w:type="pct"/>
            <w:vAlign w:val="bottom"/>
          </w:tcPr>
          <w:p w:rsidR="00D31CC9" w:rsidRDefault="00D31CC9">
            <w:pPr>
              <w:spacing w:after="0" w:line="240" w:lineRule="auto"/>
              <w:jc w:val="right"/>
            </w:pPr>
          </w:p>
        </w:tc>
      </w:tr>
      <w:tr w:rsidR="00D31CC9">
        <w:tc>
          <w:tcPr>
            <w:tcW w:w="2000" w:type="pct"/>
            <w:vAlign w:val="bottom"/>
          </w:tcPr>
          <w:p w:rsidR="00D31CC9" w:rsidRDefault="00AC3D28">
            <w:pPr>
              <w:spacing w:after="0" w:line="240" w:lineRule="auto"/>
            </w:pPr>
            <w:r>
              <w:rPr>
                <w:rFonts w:ascii="Calibri" w:hAnsi="Calibri" w:cs="Calibri"/>
                <w:b/>
                <w:sz w:val="18"/>
              </w:rPr>
              <w:t>UKUPNI PRIHODI</w:t>
            </w:r>
          </w:p>
        </w:tc>
        <w:tc>
          <w:tcPr>
            <w:tcW w:w="800" w:type="pct"/>
            <w:vAlign w:val="bottom"/>
          </w:tcPr>
          <w:p w:rsidR="00D31CC9" w:rsidRDefault="00AC3D28">
            <w:pPr>
              <w:spacing w:after="0" w:line="240" w:lineRule="auto"/>
              <w:jc w:val="right"/>
            </w:pPr>
            <w:r>
              <w:rPr>
                <w:rFonts w:ascii="Calibri" w:hAnsi="Calibri" w:cs="Calibri"/>
                <w:b/>
                <w:sz w:val="18"/>
              </w:rPr>
              <w:t>459.898.035</w:t>
            </w:r>
          </w:p>
        </w:tc>
        <w:tc>
          <w:tcPr>
            <w:tcW w:w="800" w:type="pct"/>
            <w:vAlign w:val="bottom"/>
          </w:tcPr>
          <w:p w:rsidR="00D31CC9" w:rsidRDefault="00AC3D28">
            <w:pPr>
              <w:spacing w:after="0" w:line="240" w:lineRule="auto"/>
              <w:jc w:val="right"/>
            </w:pPr>
            <w:r>
              <w:rPr>
                <w:rFonts w:ascii="Calibri" w:hAnsi="Calibri" w:cs="Calibri"/>
                <w:b/>
                <w:sz w:val="18"/>
              </w:rPr>
              <w:t>32.171.085</w:t>
            </w:r>
          </w:p>
        </w:tc>
        <w:tc>
          <w:tcPr>
            <w:tcW w:w="800" w:type="pct"/>
            <w:vAlign w:val="bottom"/>
          </w:tcPr>
          <w:p w:rsidR="00D31CC9" w:rsidRDefault="00AC3D28">
            <w:pPr>
              <w:spacing w:after="0" w:line="240" w:lineRule="auto"/>
              <w:jc w:val="right"/>
            </w:pPr>
            <w:r>
              <w:rPr>
                <w:rFonts w:ascii="Calibri" w:hAnsi="Calibri" w:cs="Calibri"/>
                <w:b/>
                <w:sz w:val="18"/>
              </w:rPr>
              <w:t>492.069.120</w:t>
            </w:r>
          </w:p>
        </w:tc>
        <w:tc>
          <w:tcPr>
            <w:tcW w:w="400" w:type="pct"/>
            <w:vAlign w:val="bottom"/>
          </w:tcPr>
          <w:p w:rsidR="00D31CC9" w:rsidRDefault="00AC3D28">
            <w:pPr>
              <w:spacing w:after="0" w:line="240" w:lineRule="auto"/>
              <w:jc w:val="right"/>
            </w:pPr>
            <w:r>
              <w:rPr>
                <w:rFonts w:ascii="Calibri" w:hAnsi="Calibri" w:cs="Calibri"/>
                <w:b/>
                <w:sz w:val="18"/>
              </w:rPr>
              <w:t>107,0</w:t>
            </w:r>
          </w:p>
        </w:tc>
      </w:tr>
    </w:tbl>
    <w:p w:rsidR="00D31CC9" w:rsidRDefault="00D31CC9">
      <w:pPr>
        <w:spacing w:after="0" w:line="240" w:lineRule="auto"/>
      </w:pPr>
    </w:p>
    <w:p w:rsidR="00D31CC9" w:rsidRDefault="00AC3D28">
      <w:pPr>
        <w:spacing w:line="240" w:lineRule="auto"/>
        <w:jc w:val="both"/>
      </w:pPr>
      <w:r>
        <w:rPr>
          <w:rFonts w:ascii="Calibri" w:hAnsi="Calibri" w:cs="Calibri"/>
        </w:rPr>
        <w:t>Ukupni planirani prihodi Hrvatskih autocesta d.o.o. u prijedlogu Izmjena i dopuna Financijskog plana za 2023. godinu iznose 492.069.120 eura, što predstavlja povećanje od 7,0 % u odnosu na usvojeni Plan. Povećanje prihoda odnosi se na stavku Kapitalne pomoći temeljem prijenosa EU sredstava za odobrena bespovratna financijska sredstva u iznosu od 32.172.085 eura koja se najvećim dijelom odnose na sanaciju oštećenja od potresa na dionicama autoceste A3 Bregana – Zagreb – Lipovac, dionica Jakuševec – Kosnica i dionica naplatna postaja Zagreb istok – Križ  (31.982.616 eura).</w:t>
      </w:r>
    </w:p>
    <w:p w:rsidR="00D31CC9" w:rsidRDefault="00AC3D28">
      <w:pPr>
        <w:spacing w:line="240" w:lineRule="auto"/>
        <w:jc w:val="both"/>
      </w:pPr>
      <w:r>
        <w:rPr>
          <w:rFonts w:ascii="Calibri" w:hAnsi="Calibri" w:cs="Calibri"/>
        </w:rPr>
        <w:t>U ukupnim prihodima poslovanja Hrvatskih autocesta d.o.o. najveći dio odnosi se na prihod od naplate cestarine te naknadu od trošarina na energente (Kapitalne pomoći iz proračuna) koja se uplaćuje iz državnog proračuna na račun Hrvatskih autocesta d.o.o. i predstavlja sredstva kojima Republika Hrvatska financira građenje i održavanje javnih cesta te povrate kredita, a koji se ovim Izmjenama i dopunama Plana nisu mijenjali.</w:t>
      </w:r>
    </w:p>
    <w:p w:rsidR="00D31CC9" w:rsidRDefault="00AC3D28">
      <w:pPr>
        <w:spacing w:line="240" w:lineRule="auto"/>
      </w:pPr>
      <w:r>
        <w:rPr>
          <w:rFonts w:ascii="Calibri" w:hAnsi="Calibri" w:cs="Calibri"/>
          <w:b/>
          <w:u w:val="single"/>
        </w:rPr>
        <w:br/>
        <w:t>RASHODI</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000" w:firstRow="0" w:lastRow="0" w:firstColumn="0" w:lastColumn="0" w:noHBand="0" w:noVBand="0"/>
      </w:tblPr>
      <w:tblGrid>
        <w:gridCol w:w="4097"/>
        <w:gridCol w:w="1639"/>
        <w:gridCol w:w="1638"/>
        <w:gridCol w:w="1638"/>
        <w:gridCol w:w="820"/>
      </w:tblGrid>
      <w:tr w:rsidR="00D31CC9">
        <w:tc>
          <w:tcPr>
            <w:tcW w:w="2000" w:type="pct"/>
            <w:shd w:val="clear" w:color="auto" w:fill="BCDFFB"/>
            <w:vAlign w:val="center"/>
          </w:tcPr>
          <w:p w:rsidR="00D31CC9" w:rsidRDefault="00D31CC9">
            <w:pPr>
              <w:spacing w:after="0" w:line="240" w:lineRule="auto"/>
              <w:jc w:val="center"/>
            </w:pPr>
          </w:p>
        </w:tc>
        <w:tc>
          <w:tcPr>
            <w:tcW w:w="800" w:type="pct"/>
            <w:shd w:val="clear" w:color="auto" w:fill="BCDFFB"/>
            <w:vAlign w:val="center"/>
          </w:tcPr>
          <w:p w:rsidR="00D31CC9" w:rsidRDefault="00AC3D28">
            <w:pPr>
              <w:spacing w:after="0" w:line="240" w:lineRule="auto"/>
              <w:jc w:val="center"/>
            </w:pPr>
            <w:r>
              <w:rPr>
                <w:rFonts w:ascii="Calibri" w:hAnsi="Calibri" w:cs="Calibri"/>
                <w:b/>
                <w:sz w:val="18"/>
              </w:rPr>
              <w:t>Plan za 2023.</w:t>
            </w:r>
          </w:p>
        </w:tc>
        <w:tc>
          <w:tcPr>
            <w:tcW w:w="800" w:type="pct"/>
            <w:shd w:val="clear" w:color="auto" w:fill="BCDFFB"/>
            <w:vAlign w:val="center"/>
          </w:tcPr>
          <w:p w:rsidR="00D31CC9" w:rsidRDefault="00AC3D28">
            <w:pPr>
              <w:spacing w:after="0" w:line="240" w:lineRule="auto"/>
              <w:jc w:val="center"/>
            </w:pPr>
            <w:r>
              <w:rPr>
                <w:rFonts w:ascii="Calibri" w:hAnsi="Calibri" w:cs="Calibri"/>
                <w:b/>
                <w:sz w:val="18"/>
              </w:rPr>
              <w:t>Povećanje/</w:t>
            </w:r>
            <w:r>
              <w:rPr>
                <w:rFonts w:ascii="Calibri" w:hAnsi="Calibri" w:cs="Calibri"/>
                <w:b/>
                <w:sz w:val="18"/>
              </w:rPr>
              <w:br/>
              <w:t>Smanjenje</w:t>
            </w:r>
          </w:p>
        </w:tc>
        <w:tc>
          <w:tcPr>
            <w:tcW w:w="800" w:type="pct"/>
            <w:shd w:val="clear" w:color="auto" w:fill="BCDFFB"/>
            <w:vAlign w:val="center"/>
          </w:tcPr>
          <w:p w:rsidR="00D31CC9" w:rsidRDefault="00AC3D28">
            <w:pPr>
              <w:spacing w:after="0" w:line="240" w:lineRule="auto"/>
              <w:jc w:val="center"/>
            </w:pPr>
            <w:r>
              <w:rPr>
                <w:rFonts w:ascii="Calibri" w:hAnsi="Calibri" w:cs="Calibri"/>
                <w:b/>
                <w:sz w:val="18"/>
              </w:rPr>
              <w:t>Novi plan za</w:t>
            </w:r>
            <w:r>
              <w:rPr>
                <w:rFonts w:ascii="Calibri" w:hAnsi="Calibri" w:cs="Calibri"/>
                <w:b/>
                <w:sz w:val="18"/>
              </w:rPr>
              <w:br/>
              <w:t>2023.</w:t>
            </w:r>
          </w:p>
        </w:tc>
        <w:tc>
          <w:tcPr>
            <w:tcW w:w="400" w:type="pct"/>
            <w:shd w:val="clear" w:color="auto" w:fill="BCDFFB"/>
            <w:vAlign w:val="center"/>
          </w:tcPr>
          <w:p w:rsidR="00D31CC9" w:rsidRDefault="00AC3D28">
            <w:pPr>
              <w:spacing w:after="0" w:line="240" w:lineRule="auto"/>
              <w:jc w:val="center"/>
            </w:pPr>
            <w:r>
              <w:rPr>
                <w:rFonts w:ascii="Calibri" w:hAnsi="Calibri" w:cs="Calibri"/>
                <w:b/>
                <w:sz w:val="18"/>
              </w:rPr>
              <w:t>Indeks</w:t>
            </w:r>
          </w:p>
        </w:tc>
      </w:tr>
      <w:tr w:rsidR="00D31CC9">
        <w:tc>
          <w:tcPr>
            <w:tcW w:w="2000" w:type="pct"/>
            <w:vAlign w:val="bottom"/>
          </w:tcPr>
          <w:p w:rsidR="00D31CC9" w:rsidRDefault="00AC3D28">
            <w:pPr>
              <w:spacing w:after="0" w:line="240" w:lineRule="auto"/>
            </w:pPr>
            <w:r>
              <w:rPr>
                <w:rFonts w:ascii="Calibri" w:hAnsi="Calibri" w:cs="Calibri"/>
                <w:sz w:val="18"/>
              </w:rPr>
              <w:t>RASHODI POSLOVANJA</w:t>
            </w:r>
          </w:p>
        </w:tc>
        <w:tc>
          <w:tcPr>
            <w:tcW w:w="800" w:type="pct"/>
            <w:vAlign w:val="bottom"/>
          </w:tcPr>
          <w:p w:rsidR="00D31CC9" w:rsidRDefault="00AC3D28">
            <w:pPr>
              <w:spacing w:after="0" w:line="240" w:lineRule="auto"/>
              <w:jc w:val="right"/>
            </w:pPr>
            <w:r>
              <w:rPr>
                <w:rFonts w:ascii="Calibri" w:hAnsi="Calibri" w:cs="Calibri"/>
                <w:sz w:val="18"/>
              </w:rPr>
              <w:t>197.841.444</w:t>
            </w:r>
          </w:p>
        </w:tc>
        <w:tc>
          <w:tcPr>
            <w:tcW w:w="800" w:type="pct"/>
            <w:vAlign w:val="bottom"/>
          </w:tcPr>
          <w:p w:rsidR="00D31CC9" w:rsidRDefault="00AC3D28">
            <w:pPr>
              <w:spacing w:after="0" w:line="240" w:lineRule="auto"/>
              <w:jc w:val="right"/>
            </w:pPr>
            <w:r>
              <w:rPr>
                <w:rFonts w:ascii="Calibri" w:hAnsi="Calibri" w:cs="Calibri"/>
                <w:sz w:val="18"/>
              </w:rPr>
              <w:t>2.814.822</w:t>
            </w:r>
          </w:p>
        </w:tc>
        <w:tc>
          <w:tcPr>
            <w:tcW w:w="800" w:type="pct"/>
            <w:vAlign w:val="bottom"/>
          </w:tcPr>
          <w:p w:rsidR="00D31CC9" w:rsidRDefault="00AC3D28">
            <w:pPr>
              <w:spacing w:after="0" w:line="240" w:lineRule="auto"/>
              <w:jc w:val="right"/>
            </w:pPr>
            <w:r>
              <w:rPr>
                <w:rFonts w:ascii="Calibri" w:hAnsi="Calibri" w:cs="Calibri"/>
                <w:sz w:val="18"/>
              </w:rPr>
              <w:t>200.656.266</w:t>
            </w:r>
          </w:p>
        </w:tc>
        <w:tc>
          <w:tcPr>
            <w:tcW w:w="400" w:type="pct"/>
            <w:vAlign w:val="bottom"/>
          </w:tcPr>
          <w:p w:rsidR="00D31CC9" w:rsidRDefault="00AC3D28">
            <w:pPr>
              <w:spacing w:after="0" w:line="240" w:lineRule="auto"/>
              <w:jc w:val="right"/>
            </w:pPr>
            <w:r>
              <w:rPr>
                <w:rFonts w:ascii="Calibri" w:hAnsi="Calibri" w:cs="Calibri"/>
                <w:sz w:val="18"/>
              </w:rPr>
              <w:t>101,4</w:t>
            </w:r>
          </w:p>
        </w:tc>
      </w:tr>
      <w:tr w:rsidR="00D31CC9">
        <w:tc>
          <w:tcPr>
            <w:tcW w:w="2000" w:type="pct"/>
            <w:vAlign w:val="bottom"/>
          </w:tcPr>
          <w:p w:rsidR="00D31CC9" w:rsidRDefault="00AC3D28">
            <w:pPr>
              <w:spacing w:after="0" w:line="240" w:lineRule="auto"/>
            </w:pPr>
            <w:r>
              <w:rPr>
                <w:rFonts w:ascii="Calibri" w:hAnsi="Calibri" w:cs="Calibri"/>
                <w:sz w:val="18"/>
              </w:rPr>
              <w:t>RASHODI ZA NABAVU NEFINANCIJSKE IMOVINE</w:t>
            </w:r>
          </w:p>
        </w:tc>
        <w:tc>
          <w:tcPr>
            <w:tcW w:w="800" w:type="pct"/>
            <w:vAlign w:val="bottom"/>
          </w:tcPr>
          <w:p w:rsidR="00D31CC9" w:rsidRDefault="00AC3D28">
            <w:pPr>
              <w:spacing w:after="0" w:line="240" w:lineRule="auto"/>
              <w:jc w:val="right"/>
            </w:pPr>
            <w:r>
              <w:rPr>
                <w:rFonts w:ascii="Calibri" w:hAnsi="Calibri" w:cs="Calibri"/>
                <w:sz w:val="18"/>
              </w:rPr>
              <w:t>112.262.061</w:t>
            </w:r>
          </w:p>
        </w:tc>
        <w:tc>
          <w:tcPr>
            <w:tcW w:w="800" w:type="pct"/>
            <w:vAlign w:val="bottom"/>
          </w:tcPr>
          <w:p w:rsidR="00D31CC9" w:rsidRDefault="00AC3D28">
            <w:pPr>
              <w:spacing w:after="0" w:line="240" w:lineRule="auto"/>
              <w:jc w:val="right"/>
            </w:pPr>
            <w:r>
              <w:rPr>
                <w:rFonts w:ascii="Calibri" w:hAnsi="Calibri" w:cs="Calibri"/>
                <w:sz w:val="18"/>
              </w:rPr>
              <w:t>33.076.243</w:t>
            </w:r>
          </w:p>
        </w:tc>
        <w:tc>
          <w:tcPr>
            <w:tcW w:w="800" w:type="pct"/>
            <w:vAlign w:val="bottom"/>
          </w:tcPr>
          <w:p w:rsidR="00D31CC9" w:rsidRDefault="00AC3D28">
            <w:pPr>
              <w:spacing w:after="0" w:line="240" w:lineRule="auto"/>
              <w:jc w:val="right"/>
            </w:pPr>
            <w:r>
              <w:rPr>
                <w:rFonts w:ascii="Calibri" w:hAnsi="Calibri" w:cs="Calibri"/>
                <w:sz w:val="18"/>
              </w:rPr>
              <w:t>145.338.304</w:t>
            </w:r>
          </w:p>
        </w:tc>
        <w:tc>
          <w:tcPr>
            <w:tcW w:w="400" w:type="pct"/>
            <w:vAlign w:val="bottom"/>
          </w:tcPr>
          <w:p w:rsidR="00D31CC9" w:rsidRDefault="00AC3D28">
            <w:pPr>
              <w:spacing w:after="0" w:line="240" w:lineRule="auto"/>
              <w:jc w:val="right"/>
            </w:pPr>
            <w:r>
              <w:rPr>
                <w:rFonts w:ascii="Calibri" w:hAnsi="Calibri" w:cs="Calibri"/>
                <w:sz w:val="18"/>
              </w:rPr>
              <w:t>129,5</w:t>
            </w:r>
          </w:p>
        </w:tc>
      </w:tr>
      <w:tr w:rsidR="00D31CC9">
        <w:tc>
          <w:tcPr>
            <w:tcW w:w="2000" w:type="pct"/>
            <w:vAlign w:val="bottom"/>
          </w:tcPr>
          <w:p w:rsidR="00D31CC9" w:rsidRDefault="00AC3D28">
            <w:pPr>
              <w:spacing w:after="0" w:line="240" w:lineRule="auto"/>
            </w:pPr>
            <w:r>
              <w:rPr>
                <w:rFonts w:ascii="Calibri" w:hAnsi="Calibri" w:cs="Calibri"/>
                <w:b/>
                <w:sz w:val="18"/>
              </w:rPr>
              <w:t>UKUPNI RASHODI</w:t>
            </w:r>
          </w:p>
        </w:tc>
        <w:tc>
          <w:tcPr>
            <w:tcW w:w="800" w:type="pct"/>
            <w:vAlign w:val="bottom"/>
          </w:tcPr>
          <w:p w:rsidR="00D31CC9" w:rsidRDefault="00AC3D28">
            <w:pPr>
              <w:spacing w:after="0" w:line="240" w:lineRule="auto"/>
              <w:jc w:val="right"/>
            </w:pPr>
            <w:r>
              <w:rPr>
                <w:rFonts w:ascii="Calibri" w:hAnsi="Calibri" w:cs="Calibri"/>
                <w:b/>
                <w:sz w:val="18"/>
              </w:rPr>
              <w:t>310.103.505</w:t>
            </w:r>
          </w:p>
        </w:tc>
        <w:tc>
          <w:tcPr>
            <w:tcW w:w="800" w:type="pct"/>
            <w:vAlign w:val="bottom"/>
          </w:tcPr>
          <w:p w:rsidR="00D31CC9" w:rsidRDefault="00AC3D28">
            <w:pPr>
              <w:spacing w:after="0" w:line="240" w:lineRule="auto"/>
              <w:jc w:val="right"/>
            </w:pPr>
            <w:r>
              <w:rPr>
                <w:rFonts w:ascii="Calibri" w:hAnsi="Calibri" w:cs="Calibri"/>
                <w:b/>
                <w:sz w:val="18"/>
              </w:rPr>
              <w:t>35.891.065</w:t>
            </w:r>
          </w:p>
        </w:tc>
        <w:tc>
          <w:tcPr>
            <w:tcW w:w="800" w:type="pct"/>
            <w:vAlign w:val="bottom"/>
          </w:tcPr>
          <w:p w:rsidR="00D31CC9" w:rsidRDefault="00AC3D28">
            <w:pPr>
              <w:spacing w:after="0" w:line="240" w:lineRule="auto"/>
              <w:jc w:val="right"/>
            </w:pPr>
            <w:r>
              <w:rPr>
                <w:rFonts w:ascii="Calibri" w:hAnsi="Calibri" w:cs="Calibri"/>
                <w:b/>
                <w:sz w:val="18"/>
              </w:rPr>
              <w:t>345.994.570</w:t>
            </w:r>
          </w:p>
        </w:tc>
        <w:tc>
          <w:tcPr>
            <w:tcW w:w="400" w:type="pct"/>
            <w:vAlign w:val="bottom"/>
          </w:tcPr>
          <w:p w:rsidR="00D31CC9" w:rsidRDefault="00AC3D28">
            <w:pPr>
              <w:spacing w:after="0" w:line="240" w:lineRule="auto"/>
              <w:jc w:val="right"/>
            </w:pPr>
            <w:r>
              <w:rPr>
                <w:rFonts w:ascii="Calibri" w:hAnsi="Calibri" w:cs="Calibri"/>
                <w:b/>
                <w:sz w:val="18"/>
              </w:rPr>
              <w:t>111,6</w:t>
            </w:r>
          </w:p>
        </w:tc>
      </w:tr>
    </w:tbl>
    <w:p w:rsidR="00D31CC9" w:rsidRDefault="00D31CC9">
      <w:pPr>
        <w:spacing w:after="0" w:line="240" w:lineRule="auto"/>
      </w:pPr>
    </w:p>
    <w:p w:rsidR="00D31CC9" w:rsidRDefault="00AC3D28">
      <w:pPr>
        <w:spacing w:line="240" w:lineRule="auto"/>
        <w:jc w:val="both"/>
      </w:pPr>
      <w:r>
        <w:rPr>
          <w:rFonts w:ascii="Calibri" w:hAnsi="Calibri" w:cs="Calibri"/>
        </w:rPr>
        <w:t xml:space="preserve">Ukupni rashodi u prijedlogu Izmjena i dopuna Financijskog plana iznose 345.994.570 eura i povećani su u odnosu na usvojeni Plan za 35.891.065 eura ili 11,57%. Izmjenama i dopunama Plana povećani su rashodi poslovanja za 2.814.822 eura ili 1,42% u dijelu rashoda za zaposlene radi usklađenja s I. dodatkom Kolektivnom ugovoru Hrvatskih autocesta sklopljenim u siječnju 2023. godine. Rast stope inflacije utječe na rashode za zaposlene, s obzirom na to da je Kolektivnim ugovorom Hrvatskih autocesta d.o.o. predviđeno da se korekcija osnovice plaće provodi sukladno povećanju potrošačkih cijena u Republici Hrvatskoj te je shodno tome </w:t>
      </w:r>
      <w:r>
        <w:rPr>
          <w:rFonts w:ascii="Calibri" w:hAnsi="Calibri" w:cs="Calibri"/>
        </w:rPr>
        <w:lastRenderedPageBreak/>
        <w:t>korigiran plan plaća. Rashodi za nabavu nefinancijske imovine izmijeni su u dijelu Programa građenja i izvanrednog održavanja autocesta te je prvotno planiranih 109.607.605 eura za Program građenja i izvanrednog održavanja povećano za 33.076.243 eura koji sada iznosi 142.683.848 eura. Povećanje se odnosi na projekt sanacije kolničke konstrukcije na autocesti A3 Bregana – Zagreb – Lipovac od posljedica potresa. Ugovorena vrijednost radova iznosi 36.213.968 eura (uz dodatan ugovor za stručni nadzor i kontrolna ispitivanja nad sanacijom kolnika), a sredstvima Fonda solidarnost Europske unije financirat će se trošak dovođenja građevine u stanje prije potresa, dok će se radovi dodatnog ojačanja konstrukcije i prilagodbe suvremenim uvjetima korištenja i sigurnosti financirati sredstvima Hrvatskih autocesta d.o.o.</w:t>
      </w:r>
    </w:p>
    <w:p w:rsidR="00D31CC9" w:rsidRDefault="00AC3D28">
      <w:pPr>
        <w:spacing w:line="240" w:lineRule="auto"/>
      </w:pPr>
      <w:r>
        <w:rPr>
          <w:rFonts w:ascii="Calibri" w:hAnsi="Calibri" w:cs="Calibri"/>
          <w:b/>
          <w:u w:val="single"/>
        </w:rPr>
        <w:br/>
        <w:t>UKUPNI VIŠAK/MANJAK</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000" w:firstRow="0" w:lastRow="0" w:firstColumn="0" w:lastColumn="0" w:noHBand="0" w:noVBand="0"/>
      </w:tblPr>
      <w:tblGrid>
        <w:gridCol w:w="4097"/>
        <w:gridCol w:w="1639"/>
        <w:gridCol w:w="1638"/>
        <w:gridCol w:w="1638"/>
        <w:gridCol w:w="820"/>
      </w:tblGrid>
      <w:tr w:rsidR="00D31CC9">
        <w:tc>
          <w:tcPr>
            <w:tcW w:w="2000" w:type="pct"/>
            <w:shd w:val="clear" w:color="auto" w:fill="BCDFFB"/>
            <w:vAlign w:val="center"/>
          </w:tcPr>
          <w:p w:rsidR="00D31CC9" w:rsidRDefault="00D31CC9">
            <w:pPr>
              <w:spacing w:after="0" w:line="240" w:lineRule="auto"/>
              <w:jc w:val="center"/>
            </w:pPr>
          </w:p>
        </w:tc>
        <w:tc>
          <w:tcPr>
            <w:tcW w:w="800" w:type="pct"/>
            <w:shd w:val="clear" w:color="auto" w:fill="BCDFFB"/>
            <w:vAlign w:val="center"/>
          </w:tcPr>
          <w:p w:rsidR="00D31CC9" w:rsidRDefault="00AC3D28">
            <w:pPr>
              <w:spacing w:after="0" w:line="240" w:lineRule="auto"/>
              <w:jc w:val="center"/>
            </w:pPr>
            <w:r>
              <w:rPr>
                <w:rFonts w:ascii="Calibri" w:hAnsi="Calibri" w:cs="Calibri"/>
                <w:b/>
                <w:sz w:val="18"/>
              </w:rPr>
              <w:t>Plan za 2023.</w:t>
            </w:r>
          </w:p>
        </w:tc>
        <w:tc>
          <w:tcPr>
            <w:tcW w:w="800" w:type="pct"/>
            <w:shd w:val="clear" w:color="auto" w:fill="BCDFFB"/>
            <w:vAlign w:val="center"/>
          </w:tcPr>
          <w:p w:rsidR="00D31CC9" w:rsidRDefault="00AC3D28">
            <w:pPr>
              <w:spacing w:after="0" w:line="240" w:lineRule="auto"/>
              <w:jc w:val="center"/>
            </w:pPr>
            <w:r>
              <w:rPr>
                <w:rFonts w:ascii="Calibri" w:hAnsi="Calibri" w:cs="Calibri"/>
                <w:b/>
                <w:sz w:val="18"/>
              </w:rPr>
              <w:t>Povećanje/</w:t>
            </w:r>
            <w:r>
              <w:rPr>
                <w:rFonts w:ascii="Calibri" w:hAnsi="Calibri" w:cs="Calibri"/>
                <w:b/>
                <w:sz w:val="18"/>
              </w:rPr>
              <w:br/>
              <w:t>Smanjenje</w:t>
            </w:r>
          </w:p>
        </w:tc>
        <w:tc>
          <w:tcPr>
            <w:tcW w:w="800" w:type="pct"/>
            <w:shd w:val="clear" w:color="auto" w:fill="BCDFFB"/>
            <w:vAlign w:val="center"/>
          </w:tcPr>
          <w:p w:rsidR="00D31CC9" w:rsidRDefault="00AC3D28">
            <w:pPr>
              <w:spacing w:after="0" w:line="240" w:lineRule="auto"/>
              <w:jc w:val="center"/>
            </w:pPr>
            <w:r>
              <w:rPr>
                <w:rFonts w:ascii="Calibri" w:hAnsi="Calibri" w:cs="Calibri"/>
                <w:b/>
                <w:sz w:val="18"/>
              </w:rPr>
              <w:t>Novi plan za</w:t>
            </w:r>
            <w:r>
              <w:rPr>
                <w:rFonts w:ascii="Calibri" w:hAnsi="Calibri" w:cs="Calibri"/>
                <w:b/>
                <w:sz w:val="18"/>
              </w:rPr>
              <w:br/>
              <w:t>2023.</w:t>
            </w:r>
          </w:p>
        </w:tc>
        <w:tc>
          <w:tcPr>
            <w:tcW w:w="400" w:type="pct"/>
            <w:shd w:val="clear" w:color="auto" w:fill="BCDFFB"/>
            <w:vAlign w:val="center"/>
          </w:tcPr>
          <w:p w:rsidR="00D31CC9" w:rsidRDefault="00AC3D28">
            <w:pPr>
              <w:spacing w:after="0" w:line="240" w:lineRule="auto"/>
              <w:jc w:val="center"/>
            </w:pPr>
            <w:r>
              <w:rPr>
                <w:rFonts w:ascii="Calibri" w:hAnsi="Calibri" w:cs="Calibri"/>
                <w:b/>
                <w:sz w:val="18"/>
              </w:rPr>
              <w:t>Indeks</w:t>
            </w:r>
          </w:p>
        </w:tc>
      </w:tr>
      <w:tr w:rsidR="00D31CC9">
        <w:tc>
          <w:tcPr>
            <w:tcW w:w="2000" w:type="pct"/>
            <w:vAlign w:val="bottom"/>
          </w:tcPr>
          <w:p w:rsidR="00D31CC9" w:rsidRDefault="00AC3D28">
            <w:pPr>
              <w:spacing w:after="0" w:line="240" w:lineRule="auto"/>
            </w:pPr>
            <w:r>
              <w:rPr>
                <w:rFonts w:ascii="Calibri" w:hAnsi="Calibri" w:cs="Calibri"/>
                <w:sz w:val="18"/>
              </w:rPr>
              <w:t>UKUPNI PRIHODI</w:t>
            </w:r>
          </w:p>
        </w:tc>
        <w:tc>
          <w:tcPr>
            <w:tcW w:w="800" w:type="pct"/>
            <w:vAlign w:val="bottom"/>
          </w:tcPr>
          <w:p w:rsidR="00D31CC9" w:rsidRDefault="00AC3D28">
            <w:pPr>
              <w:spacing w:after="0" w:line="240" w:lineRule="auto"/>
              <w:jc w:val="right"/>
            </w:pPr>
            <w:r>
              <w:rPr>
                <w:rFonts w:ascii="Calibri" w:hAnsi="Calibri" w:cs="Calibri"/>
                <w:sz w:val="18"/>
              </w:rPr>
              <w:t>459.898.035</w:t>
            </w:r>
          </w:p>
        </w:tc>
        <w:tc>
          <w:tcPr>
            <w:tcW w:w="800" w:type="pct"/>
            <w:vAlign w:val="bottom"/>
          </w:tcPr>
          <w:p w:rsidR="00D31CC9" w:rsidRDefault="00AC3D28">
            <w:pPr>
              <w:spacing w:after="0" w:line="240" w:lineRule="auto"/>
              <w:jc w:val="right"/>
            </w:pPr>
            <w:r>
              <w:rPr>
                <w:rFonts w:ascii="Calibri" w:hAnsi="Calibri" w:cs="Calibri"/>
                <w:sz w:val="18"/>
              </w:rPr>
              <w:t>32.171.085</w:t>
            </w:r>
          </w:p>
        </w:tc>
        <w:tc>
          <w:tcPr>
            <w:tcW w:w="800" w:type="pct"/>
            <w:vAlign w:val="bottom"/>
          </w:tcPr>
          <w:p w:rsidR="00D31CC9" w:rsidRDefault="00AC3D28">
            <w:pPr>
              <w:spacing w:after="0" w:line="240" w:lineRule="auto"/>
              <w:jc w:val="right"/>
            </w:pPr>
            <w:r>
              <w:rPr>
                <w:rFonts w:ascii="Calibri" w:hAnsi="Calibri" w:cs="Calibri"/>
                <w:sz w:val="18"/>
              </w:rPr>
              <w:t>492.069.120</w:t>
            </w:r>
          </w:p>
        </w:tc>
        <w:tc>
          <w:tcPr>
            <w:tcW w:w="400" w:type="pct"/>
            <w:vAlign w:val="bottom"/>
          </w:tcPr>
          <w:p w:rsidR="00D31CC9" w:rsidRDefault="00AC3D28">
            <w:pPr>
              <w:spacing w:after="0" w:line="240" w:lineRule="auto"/>
              <w:jc w:val="right"/>
            </w:pPr>
            <w:r>
              <w:rPr>
                <w:rFonts w:ascii="Calibri" w:hAnsi="Calibri" w:cs="Calibri"/>
                <w:sz w:val="18"/>
              </w:rPr>
              <w:t>107,0</w:t>
            </w:r>
          </w:p>
        </w:tc>
      </w:tr>
      <w:tr w:rsidR="00D31CC9">
        <w:tc>
          <w:tcPr>
            <w:tcW w:w="2000" w:type="pct"/>
            <w:vAlign w:val="bottom"/>
          </w:tcPr>
          <w:p w:rsidR="00D31CC9" w:rsidRDefault="00AC3D28">
            <w:pPr>
              <w:spacing w:after="0" w:line="240" w:lineRule="auto"/>
            </w:pPr>
            <w:r>
              <w:rPr>
                <w:rFonts w:ascii="Calibri" w:hAnsi="Calibri" w:cs="Calibri"/>
                <w:sz w:val="18"/>
              </w:rPr>
              <w:t>UKUPNI RASHODI</w:t>
            </w:r>
          </w:p>
        </w:tc>
        <w:tc>
          <w:tcPr>
            <w:tcW w:w="800" w:type="pct"/>
            <w:vAlign w:val="bottom"/>
          </w:tcPr>
          <w:p w:rsidR="00D31CC9" w:rsidRDefault="00AC3D28">
            <w:pPr>
              <w:spacing w:after="0" w:line="240" w:lineRule="auto"/>
              <w:jc w:val="right"/>
            </w:pPr>
            <w:r>
              <w:rPr>
                <w:rFonts w:ascii="Calibri" w:hAnsi="Calibri" w:cs="Calibri"/>
                <w:sz w:val="18"/>
              </w:rPr>
              <w:t>310.103.505</w:t>
            </w:r>
          </w:p>
        </w:tc>
        <w:tc>
          <w:tcPr>
            <w:tcW w:w="800" w:type="pct"/>
            <w:vAlign w:val="bottom"/>
          </w:tcPr>
          <w:p w:rsidR="00D31CC9" w:rsidRDefault="00AC3D28">
            <w:pPr>
              <w:spacing w:after="0" w:line="240" w:lineRule="auto"/>
              <w:jc w:val="right"/>
            </w:pPr>
            <w:r>
              <w:rPr>
                <w:rFonts w:ascii="Calibri" w:hAnsi="Calibri" w:cs="Calibri"/>
                <w:sz w:val="18"/>
              </w:rPr>
              <w:t>35.891.065</w:t>
            </w:r>
          </w:p>
        </w:tc>
        <w:tc>
          <w:tcPr>
            <w:tcW w:w="800" w:type="pct"/>
            <w:vAlign w:val="bottom"/>
          </w:tcPr>
          <w:p w:rsidR="00D31CC9" w:rsidRDefault="00AC3D28">
            <w:pPr>
              <w:spacing w:after="0" w:line="240" w:lineRule="auto"/>
              <w:jc w:val="right"/>
            </w:pPr>
            <w:r>
              <w:rPr>
                <w:rFonts w:ascii="Calibri" w:hAnsi="Calibri" w:cs="Calibri"/>
                <w:sz w:val="18"/>
              </w:rPr>
              <w:t>345.994.570</w:t>
            </w:r>
          </w:p>
        </w:tc>
        <w:tc>
          <w:tcPr>
            <w:tcW w:w="400" w:type="pct"/>
            <w:vAlign w:val="bottom"/>
          </w:tcPr>
          <w:p w:rsidR="00D31CC9" w:rsidRDefault="00AC3D28">
            <w:pPr>
              <w:spacing w:after="0" w:line="240" w:lineRule="auto"/>
              <w:jc w:val="right"/>
            </w:pPr>
            <w:r>
              <w:rPr>
                <w:rFonts w:ascii="Calibri" w:hAnsi="Calibri" w:cs="Calibri"/>
                <w:sz w:val="18"/>
              </w:rPr>
              <w:t>111,6</w:t>
            </w:r>
          </w:p>
        </w:tc>
      </w:tr>
      <w:tr w:rsidR="00D31CC9">
        <w:tc>
          <w:tcPr>
            <w:tcW w:w="2000" w:type="pct"/>
            <w:vAlign w:val="bottom"/>
          </w:tcPr>
          <w:p w:rsidR="00D31CC9" w:rsidRDefault="00AC3D28">
            <w:pPr>
              <w:spacing w:after="0" w:line="240" w:lineRule="auto"/>
            </w:pPr>
            <w:r>
              <w:rPr>
                <w:rFonts w:ascii="Calibri" w:hAnsi="Calibri" w:cs="Calibri"/>
                <w:b/>
                <w:sz w:val="18"/>
              </w:rPr>
              <w:t>RAZLIKA - VIŠAK/MANJAK</w:t>
            </w:r>
          </w:p>
        </w:tc>
        <w:tc>
          <w:tcPr>
            <w:tcW w:w="800" w:type="pct"/>
            <w:vAlign w:val="bottom"/>
          </w:tcPr>
          <w:p w:rsidR="00D31CC9" w:rsidRDefault="00AC3D28">
            <w:pPr>
              <w:spacing w:after="0" w:line="240" w:lineRule="auto"/>
              <w:jc w:val="right"/>
            </w:pPr>
            <w:r>
              <w:rPr>
                <w:rFonts w:ascii="Calibri" w:hAnsi="Calibri" w:cs="Calibri"/>
                <w:b/>
                <w:sz w:val="18"/>
              </w:rPr>
              <w:t>149.794.530</w:t>
            </w:r>
          </w:p>
        </w:tc>
        <w:tc>
          <w:tcPr>
            <w:tcW w:w="800" w:type="pct"/>
            <w:vAlign w:val="bottom"/>
          </w:tcPr>
          <w:p w:rsidR="00D31CC9" w:rsidRDefault="00AC3D28">
            <w:pPr>
              <w:spacing w:after="0" w:line="240" w:lineRule="auto"/>
              <w:jc w:val="right"/>
            </w:pPr>
            <w:r>
              <w:rPr>
                <w:rFonts w:ascii="Calibri" w:hAnsi="Calibri" w:cs="Calibri"/>
                <w:b/>
                <w:sz w:val="18"/>
              </w:rPr>
              <w:t>-3.719.980</w:t>
            </w:r>
          </w:p>
        </w:tc>
        <w:tc>
          <w:tcPr>
            <w:tcW w:w="800" w:type="pct"/>
            <w:vAlign w:val="bottom"/>
          </w:tcPr>
          <w:p w:rsidR="00D31CC9" w:rsidRDefault="00AC3D28">
            <w:pPr>
              <w:spacing w:after="0" w:line="240" w:lineRule="auto"/>
              <w:jc w:val="right"/>
            </w:pPr>
            <w:r>
              <w:rPr>
                <w:rFonts w:ascii="Calibri" w:hAnsi="Calibri" w:cs="Calibri"/>
                <w:b/>
                <w:sz w:val="18"/>
              </w:rPr>
              <w:t>146.074.550</w:t>
            </w:r>
          </w:p>
        </w:tc>
        <w:tc>
          <w:tcPr>
            <w:tcW w:w="400" w:type="pct"/>
            <w:vAlign w:val="bottom"/>
          </w:tcPr>
          <w:p w:rsidR="00D31CC9" w:rsidRDefault="00AC3D28">
            <w:pPr>
              <w:spacing w:after="0" w:line="240" w:lineRule="auto"/>
              <w:jc w:val="right"/>
            </w:pPr>
            <w:r>
              <w:rPr>
                <w:rFonts w:ascii="Calibri" w:hAnsi="Calibri" w:cs="Calibri"/>
                <w:b/>
                <w:sz w:val="18"/>
              </w:rPr>
              <w:t>97,5</w:t>
            </w:r>
          </w:p>
        </w:tc>
      </w:tr>
    </w:tbl>
    <w:p w:rsidR="00D31CC9" w:rsidRDefault="00D31CC9">
      <w:pPr>
        <w:spacing w:after="0" w:line="240" w:lineRule="auto"/>
      </w:pPr>
    </w:p>
    <w:p w:rsidR="00D31CC9" w:rsidRDefault="00AC3D28">
      <w:pPr>
        <w:spacing w:line="240" w:lineRule="auto"/>
        <w:jc w:val="both"/>
      </w:pPr>
      <w:r>
        <w:rPr>
          <w:rFonts w:ascii="Calibri" w:hAnsi="Calibri" w:cs="Calibri"/>
        </w:rPr>
        <w:t>Prijedlogom Izmjena i dopuna Financijskog plana Hrvatskih autocesta za 2023. godinu prihodi i rashodi poslovanja rezultiraju viškom koji se u odnosu na usvojeni plan smanjuje za 3.719.980 eura i sada iznosi 146.074.550 eura.</w:t>
      </w:r>
    </w:p>
    <w:p w:rsidR="00D31CC9" w:rsidRDefault="00AC3D28">
      <w:pPr>
        <w:spacing w:line="240" w:lineRule="auto"/>
      </w:pPr>
      <w:r>
        <w:rPr>
          <w:rFonts w:ascii="Calibri" w:hAnsi="Calibri" w:cs="Calibri"/>
          <w:b/>
          <w:u w:val="single"/>
        </w:rPr>
        <w:br/>
        <w:t>RAČUN FINANCIRANJA</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000" w:firstRow="0" w:lastRow="0" w:firstColumn="0" w:lastColumn="0" w:noHBand="0" w:noVBand="0"/>
      </w:tblPr>
      <w:tblGrid>
        <w:gridCol w:w="4097"/>
        <w:gridCol w:w="1639"/>
        <w:gridCol w:w="1638"/>
        <w:gridCol w:w="1638"/>
        <w:gridCol w:w="820"/>
      </w:tblGrid>
      <w:tr w:rsidR="00D31CC9">
        <w:tc>
          <w:tcPr>
            <w:tcW w:w="2000" w:type="pct"/>
            <w:shd w:val="clear" w:color="auto" w:fill="BCDFFB"/>
            <w:vAlign w:val="center"/>
          </w:tcPr>
          <w:p w:rsidR="00D31CC9" w:rsidRDefault="00D31CC9">
            <w:pPr>
              <w:spacing w:after="0" w:line="240" w:lineRule="auto"/>
              <w:jc w:val="center"/>
            </w:pPr>
          </w:p>
        </w:tc>
        <w:tc>
          <w:tcPr>
            <w:tcW w:w="800" w:type="pct"/>
            <w:shd w:val="clear" w:color="auto" w:fill="BCDFFB"/>
            <w:vAlign w:val="center"/>
          </w:tcPr>
          <w:p w:rsidR="00D31CC9" w:rsidRDefault="00AC3D28">
            <w:pPr>
              <w:spacing w:after="0" w:line="240" w:lineRule="auto"/>
              <w:jc w:val="center"/>
            </w:pPr>
            <w:r>
              <w:rPr>
                <w:rFonts w:ascii="Calibri" w:hAnsi="Calibri" w:cs="Calibri"/>
                <w:b/>
                <w:sz w:val="18"/>
              </w:rPr>
              <w:t>Plan za 2023.</w:t>
            </w:r>
          </w:p>
        </w:tc>
        <w:tc>
          <w:tcPr>
            <w:tcW w:w="800" w:type="pct"/>
            <w:shd w:val="clear" w:color="auto" w:fill="BCDFFB"/>
            <w:vAlign w:val="center"/>
          </w:tcPr>
          <w:p w:rsidR="00D31CC9" w:rsidRDefault="00AC3D28">
            <w:pPr>
              <w:spacing w:after="0" w:line="240" w:lineRule="auto"/>
              <w:jc w:val="center"/>
            </w:pPr>
            <w:r>
              <w:rPr>
                <w:rFonts w:ascii="Calibri" w:hAnsi="Calibri" w:cs="Calibri"/>
                <w:b/>
                <w:sz w:val="18"/>
              </w:rPr>
              <w:t>Povećanje/</w:t>
            </w:r>
            <w:r>
              <w:rPr>
                <w:rFonts w:ascii="Calibri" w:hAnsi="Calibri" w:cs="Calibri"/>
                <w:b/>
                <w:sz w:val="18"/>
              </w:rPr>
              <w:br/>
              <w:t>Smanjenje</w:t>
            </w:r>
          </w:p>
        </w:tc>
        <w:tc>
          <w:tcPr>
            <w:tcW w:w="800" w:type="pct"/>
            <w:shd w:val="clear" w:color="auto" w:fill="BCDFFB"/>
            <w:vAlign w:val="center"/>
          </w:tcPr>
          <w:p w:rsidR="00D31CC9" w:rsidRDefault="00AC3D28">
            <w:pPr>
              <w:spacing w:after="0" w:line="240" w:lineRule="auto"/>
              <w:jc w:val="center"/>
            </w:pPr>
            <w:r>
              <w:rPr>
                <w:rFonts w:ascii="Calibri" w:hAnsi="Calibri" w:cs="Calibri"/>
                <w:b/>
                <w:sz w:val="18"/>
              </w:rPr>
              <w:t>Novi plan za</w:t>
            </w:r>
            <w:r>
              <w:rPr>
                <w:rFonts w:ascii="Calibri" w:hAnsi="Calibri" w:cs="Calibri"/>
                <w:b/>
                <w:sz w:val="18"/>
              </w:rPr>
              <w:br/>
              <w:t>2023.</w:t>
            </w:r>
          </w:p>
        </w:tc>
        <w:tc>
          <w:tcPr>
            <w:tcW w:w="400" w:type="pct"/>
            <w:shd w:val="clear" w:color="auto" w:fill="BCDFFB"/>
            <w:vAlign w:val="center"/>
          </w:tcPr>
          <w:p w:rsidR="00D31CC9" w:rsidRDefault="00AC3D28">
            <w:pPr>
              <w:spacing w:after="0" w:line="240" w:lineRule="auto"/>
              <w:jc w:val="center"/>
            </w:pPr>
            <w:r>
              <w:rPr>
                <w:rFonts w:ascii="Calibri" w:hAnsi="Calibri" w:cs="Calibri"/>
                <w:b/>
                <w:sz w:val="18"/>
              </w:rPr>
              <w:t>Indeks</w:t>
            </w:r>
          </w:p>
        </w:tc>
      </w:tr>
      <w:tr w:rsidR="00D31CC9">
        <w:tc>
          <w:tcPr>
            <w:tcW w:w="2000" w:type="pct"/>
            <w:vAlign w:val="bottom"/>
          </w:tcPr>
          <w:p w:rsidR="00D31CC9" w:rsidRDefault="00AC3D28">
            <w:pPr>
              <w:spacing w:after="0" w:line="240" w:lineRule="auto"/>
            </w:pPr>
            <w:r>
              <w:rPr>
                <w:rFonts w:ascii="Calibri" w:hAnsi="Calibri" w:cs="Calibri"/>
                <w:sz w:val="18"/>
              </w:rPr>
              <w:t>PRIMICI OD FINANCIJSKE IMOVINE I ZADUŽIVANJA</w:t>
            </w:r>
          </w:p>
        </w:tc>
        <w:tc>
          <w:tcPr>
            <w:tcW w:w="800" w:type="pct"/>
            <w:vAlign w:val="bottom"/>
          </w:tcPr>
          <w:p w:rsidR="00D31CC9" w:rsidRDefault="00AC3D28">
            <w:pPr>
              <w:spacing w:after="0" w:line="240" w:lineRule="auto"/>
              <w:jc w:val="right"/>
            </w:pPr>
            <w:r>
              <w:rPr>
                <w:rFonts w:ascii="Calibri" w:hAnsi="Calibri" w:cs="Calibri"/>
                <w:sz w:val="18"/>
              </w:rPr>
              <w:t>37.560.555</w:t>
            </w:r>
          </w:p>
        </w:tc>
        <w:tc>
          <w:tcPr>
            <w:tcW w:w="800" w:type="pct"/>
            <w:vAlign w:val="bottom"/>
          </w:tcPr>
          <w:p w:rsidR="00D31CC9" w:rsidRDefault="00AC3D28">
            <w:pPr>
              <w:spacing w:after="0" w:line="240" w:lineRule="auto"/>
              <w:jc w:val="right"/>
            </w:pPr>
            <w:r>
              <w:rPr>
                <w:rFonts w:ascii="Calibri" w:hAnsi="Calibri" w:cs="Calibri"/>
                <w:sz w:val="18"/>
              </w:rPr>
              <w:t>0</w:t>
            </w:r>
          </w:p>
        </w:tc>
        <w:tc>
          <w:tcPr>
            <w:tcW w:w="800" w:type="pct"/>
            <w:vAlign w:val="bottom"/>
          </w:tcPr>
          <w:p w:rsidR="00D31CC9" w:rsidRDefault="00AC3D28">
            <w:pPr>
              <w:spacing w:after="0" w:line="240" w:lineRule="auto"/>
              <w:jc w:val="right"/>
            </w:pPr>
            <w:r>
              <w:rPr>
                <w:rFonts w:ascii="Calibri" w:hAnsi="Calibri" w:cs="Calibri"/>
                <w:sz w:val="18"/>
              </w:rPr>
              <w:t>37.560.555</w:t>
            </w:r>
          </w:p>
        </w:tc>
        <w:tc>
          <w:tcPr>
            <w:tcW w:w="400" w:type="pct"/>
            <w:vAlign w:val="bottom"/>
          </w:tcPr>
          <w:p w:rsidR="00D31CC9" w:rsidRDefault="00AC3D28">
            <w:pPr>
              <w:spacing w:after="0" w:line="240" w:lineRule="auto"/>
              <w:jc w:val="right"/>
            </w:pPr>
            <w:r>
              <w:rPr>
                <w:rFonts w:ascii="Calibri" w:hAnsi="Calibri" w:cs="Calibri"/>
                <w:sz w:val="18"/>
              </w:rPr>
              <w:t>100,0</w:t>
            </w:r>
          </w:p>
        </w:tc>
      </w:tr>
      <w:tr w:rsidR="00D31CC9">
        <w:tc>
          <w:tcPr>
            <w:tcW w:w="2000" w:type="pct"/>
            <w:vAlign w:val="bottom"/>
          </w:tcPr>
          <w:p w:rsidR="00D31CC9" w:rsidRDefault="00AC3D28">
            <w:pPr>
              <w:spacing w:after="0" w:line="240" w:lineRule="auto"/>
            </w:pPr>
            <w:r>
              <w:rPr>
                <w:rFonts w:ascii="Calibri" w:hAnsi="Calibri" w:cs="Calibri"/>
                <w:sz w:val="18"/>
              </w:rPr>
              <w:t>IZDACI ZA FINANCIJSKU IMOVINU I OTPLATE ZAJMOVA</w:t>
            </w:r>
          </w:p>
        </w:tc>
        <w:tc>
          <w:tcPr>
            <w:tcW w:w="800" w:type="pct"/>
            <w:vAlign w:val="bottom"/>
          </w:tcPr>
          <w:p w:rsidR="00D31CC9" w:rsidRDefault="00AC3D28">
            <w:pPr>
              <w:spacing w:after="0" w:line="240" w:lineRule="auto"/>
              <w:jc w:val="right"/>
            </w:pPr>
            <w:r>
              <w:rPr>
                <w:rFonts w:ascii="Calibri" w:hAnsi="Calibri" w:cs="Calibri"/>
                <w:sz w:val="18"/>
              </w:rPr>
              <w:t>224.616.671</w:t>
            </w:r>
          </w:p>
        </w:tc>
        <w:tc>
          <w:tcPr>
            <w:tcW w:w="800" w:type="pct"/>
            <w:vAlign w:val="bottom"/>
          </w:tcPr>
          <w:p w:rsidR="00D31CC9" w:rsidRDefault="00AC3D28">
            <w:pPr>
              <w:spacing w:after="0" w:line="240" w:lineRule="auto"/>
              <w:jc w:val="right"/>
            </w:pPr>
            <w:r>
              <w:rPr>
                <w:rFonts w:ascii="Calibri" w:hAnsi="Calibri" w:cs="Calibri"/>
                <w:sz w:val="18"/>
              </w:rPr>
              <w:t>0</w:t>
            </w:r>
          </w:p>
        </w:tc>
        <w:tc>
          <w:tcPr>
            <w:tcW w:w="800" w:type="pct"/>
            <w:vAlign w:val="bottom"/>
          </w:tcPr>
          <w:p w:rsidR="00D31CC9" w:rsidRDefault="00AC3D28">
            <w:pPr>
              <w:spacing w:after="0" w:line="240" w:lineRule="auto"/>
              <w:jc w:val="right"/>
            </w:pPr>
            <w:r>
              <w:rPr>
                <w:rFonts w:ascii="Calibri" w:hAnsi="Calibri" w:cs="Calibri"/>
                <w:sz w:val="18"/>
              </w:rPr>
              <w:t>224.616.671</w:t>
            </w:r>
          </w:p>
        </w:tc>
        <w:tc>
          <w:tcPr>
            <w:tcW w:w="400" w:type="pct"/>
            <w:vAlign w:val="bottom"/>
          </w:tcPr>
          <w:p w:rsidR="00D31CC9" w:rsidRDefault="00AC3D28">
            <w:pPr>
              <w:spacing w:after="0" w:line="240" w:lineRule="auto"/>
              <w:jc w:val="right"/>
            </w:pPr>
            <w:r>
              <w:rPr>
                <w:rFonts w:ascii="Calibri" w:hAnsi="Calibri" w:cs="Calibri"/>
                <w:sz w:val="18"/>
              </w:rPr>
              <w:t>100,0</w:t>
            </w:r>
          </w:p>
        </w:tc>
      </w:tr>
      <w:tr w:rsidR="00D31CC9">
        <w:tc>
          <w:tcPr>
            <w:tcW w:w="2000" w:type="pct"/>
            <w:vAlign w:val="bottom"/>
          </w:tcPr>
          <w:p w:rsidR="00D31CC9" w:rsidRDefault="00AC3D28">
            <w:pPr>
              <w:spacing w:after="0" w:line="240" w:lineRule="auto"/>
            </w:pPr>
            <w:r>
              <w:rPr>
                <w:rFonts w:ascii="Calibri" w:hAnsi="Calibri" w:cs="Calibri"/>
                <w:sz w:val="18"/>
              </w:rPr>
              <w:t>PRIJENOS SREDSTAVA IZ PRETHODNE GODINE</w:t>
            </w:r>
          </w:p>
        </w:tc>
        <w:tc>
          <w:tcPr>
            <w:tcW w:w="800" w:type="pct"/>
            <w:vAlign w:val="bottom"/>
          </w:tcPr>
          <w:p w:rsidR="00D31CC9" w:rsidRDefault="00AC3D28">
            <w:pPr>
              <w:spacing w:after="0" w:line="240" w:lineRule="auto"/>
              <w:jc w:val="right"/>
            </w:pPr>
            <w:r>
              <w:rPr>
                <w:rFonts w:ascii="Calibri" w:hAnsi="Calibri" w:cs="Calibri"/>
                <w:sz w:val="18"/>
              </w:rPr>
              <w:t>135.970.500</w:t>
            </w:r>
          </w:p>
        </w:tc>
        <w:tc>
          <w:tcPr>
            <w:tcW w:w="800" w:type="pct"/>
            <w:vAlign w:val="bottom"/>
          </w:tcPr>
          <w:p w:rsidR="00D31CC9" w:rsidRDefault="00AC3D28">
            <w:pPr>
              <w:spacing w:after="0" w:line="240" w:lineRule="auto"/>
              <w:jc w:val="right"/>
            </w:pPr>
            <w:r>
              <w:rPr>
                <w:rFonts w:ascii="Calibri" w:hAnsi="Calibri" w:cs="Calibri"/>
                <w:sz w:val="18"/>
              </w:rPr>
              <w:t>5.097.961</w:t>
            </w:r>
          </w:p>
        </w:tc>
        <w:tc>
          <w:tcPr>
            <w:tcW w:w="800" w:type="pct"/>
            <w:vAlign w:val="bottom"/>
          </w:tcPr>
          <w:p w:rsidR="00D31CC9" w:rsidRDefault="00AC3D28">
            <w:pPr>
              <w:spacing w:after="0" w:line="240" w:lineRule="auto"/>
              <w:jc w:val="right"/>
            </w:pPr>
            <w:r>
              <w:rPr>
                <w:rFonts w:ascii="Calibri" w:hAnsi="Calibri" w:cs="Calibri"/>
                <w:sz w:val="18"/>
              </w:rPr>
              <w:t>141.068.461</w:t>
            </w:r>
          </w:p>
        </w:tc>
        <w:tc>
          <w:tcPr>
            <w:tcW w:w="400" w:type="pct"/>
            <w:vAlign w:val="bottom"/>
          </w:tcPr>
          <w:p w:rsidR="00D31CC9" w:rsidRDefault="00AC3D28">
            <w:pPr>
              <w:spacing w:after="0" w:line="240" w:lineRule="auto"/>
              <w:jc w:val="right"/>
            </w:pPr>
            <w:r>
              <w:rPr>
                <w:rFonts w:ascii="Calibri" w:hAnsi="Calibri" w:cs="Calibri"/>
                <w:sz w:val="18"/>
              </w:rPr>
              <w:t>103,7</w:t>
            </w:r>
          </w:p>
        </w:tc>
      </w:tr>
      <w:tr w:rsidR="00D31CC9">
        <w:tc>
          <w:tcPr>
            <w:tcW w:w="2000" w:type="pct"/>
            <w:vAlign w:val="bottom"/>
          </w:tcPr>
          <w:p w:rsidR="00D31CC9" w:rsidRDefault="00AC3D28">
            <w:pPr>
              <w:spacing w:after="0" w:line="240" w:lineRule="auto"/>
            </w:pPr>
            <w:r>
              <w:rPr>
                <w:rFonts w:ascii="Calibri" w:hAnsi="Calibri" w:cs="Calibri"/>
                <w:sz w:val="18"/>
              </w:rPr>
              <w:t>PRIJENOS SREDSTAVA U SLJEDEĆU GODINU</w:t>
            </w:r>
          </w:p>
        </w:tc>
        <w:tc>
          <w:tcPr>
            <w:tcW w:w="800" w:type="pct"/>
            <w:vAlign w:val="bottom"/>
          </w:tcPr>
          <w:p w:rsidR="00D31CC9" w:rsidRDefault="00AC3D28">
            <w:pPr>
              <w:spacing w:after="0" w:line="240" w:lineRule="auto"/>
              <w:jc w:val="right"/>
            </w:pPr>
            <w:r>
              <w:rPr>
                <w:rFonts w:ascii="Calibri" w:hAnsi="Calibri" w:cs="Calibri"/>
                <w:sz w:val="18"/>
              </w:rPr>
              <w:t>-98.708.914</w:t>
            </w:r>
          </w:p>
        </w:tc>
        <w:tc>
          <w:tcPr>
            <w:tcW w:w="800" w:type="pct"/>
            <w:vAlign w:val="bottom"/>
          </w:tcPr>
          <w:p w:rsidR="00D31CC9" w:rsidRDefault="00AC3D28">
            <w:pPr>
              <w:spacing w:after="0" w:line="240" w:lineRule="auto"/>
              <w:jc w:val="right"/>
            </w:pPr>
            <w:r>
              <w:rPr>
                <w:rFonts w:ascii="Calibri" w:hAnsi="Calibri" w:cs="Calibri"/>
                <w:sz w:val="18"/>
              </w:rPr>
              <w:t>-1.377.981</w:t>
            </w:r>
          </w:p>
        </w:tc>
        <w:tc>
          <w:tcPr>
            <w:tcW w:w="800" w:type="pct"/>
            <w:vAlign w:val="bottom"/>
          </w:tcPr>
          <w:p w:rsidR="00D31CC9" w:rsidRDefault="00AC3D28">
            <w:pPr>
              <w:spacing w:after="0" w:line="240" w:lineRule="auto"/>
              <w:jc w:val="right"/>
            </w:pPr>
            <w:r>
              <w:rPr>
                <w:rFonts w:ascii="Calibri" w:hAnsi="Calibri" w:cs="Calibri"/>
                <w:sz w:val="18"/>
              </w:rPr>
              <w:t>-100.086.895</w:t>
            </w:r>
          </w:p>
        </w:tc>
        <w:tc>
          <w:tcPr>
            <w:tcW w:w="400" w:type="pct"/>
            <w:vAlign w:val="bottom"/>
          </w:tcPr>
          <w:p w:rsidR="00D31CC9" w:rsidRDefault="00AC3D28">
            <w:pPr>
              <w:spacing w:after="0" w:line="240" w:lineRule="auto"/>
              <w:jc w:val="right"/>
            </w:pPr>
            <w:r>
              <w:rPr>
                <w:rFonts w:ascii="Calibri" w:hAnsi="Calibri" w:cs="Calibri"/>
                <w:sz w:val="18"/>
              </w:rPr>
              <w:t>101,4</w:t>
            </w:r>
          </w:p>
        </w:tc>
      </w:tr>
      <w:tr w:rsidR="00D31CC9">
        <w:tc>
          <w:tcPr>
            <w:tcW w:w="2000" w:type="pct"/>
            <w:vAlign w:val="bottom"/>
          </w:tcPr>
          <w:p w:rsidR="00D31CC9" w:rsidRDefault="00AC3D28">
            <w:pPr>
              <w:spacing w:after="0" w:line="240" w:lineRule="auto"/>
            </w:pPr>
            <w:r>
              <w:rPr>
                <w:rFonts w:ascii="Calibri" w:hAnsi="Calibri" w:cs="Calibri"/>
                <w:b/>
                <w:sz w:val="18"/>
              </w:rPr>
              <w:t>NETO FINANCIRANJE</w:t>
            </w:r>
          </w:p>
        </w:tc>
        <w:tc>
          <w:tcPr>
            <w:tcW w:w="800" w:type="pct"/>
            <w:vAlign w:val="bottom"/>
          </w:tcPr>
          <w:p w:rsidR="00D31CC9" w:rsidRDefault="00AC3D28">
            <w:pPr>
              <w:spacing w:after="0" w:line="240" w:lineRule="auto"/>
              <w:jc w:val="right"/>
            </w:pPr>
            <w:r>
              <w:rPr>
                <w:rFonts w:ascii="Calibri" w:hAnsi="Calibri" w:cs="Calibri"/>
                <w:b/>
                <w:sz w:val="18"/>
              </w:rPr>
              <w:t>-149.794.530</w:t>
            </w:r>
          </w:p>
        </w:tc>
        <w:tc>
          <w:tcPr>
            <w:tcW w:w="800" w:type="pct"/>
            <w:vAlign w:val="bottom"/>
          </w:tcPr>
          <w:p w:rsidR="00D31CC9" w:rsidRDefault="00AC3D28">
            <w:pPr>
              <w:spacing w:after="0" w:line="240" w:lineRule="auto"/>
              <w:jc w:val="right"/>
            </w:pPr>
            <w:r>
              <w:rPr>
                <w:rFonts w:ascii="Calibri" w:hAnsi="Calibri" w:cs="Calibri"/>
                <w:b/>
                <w:sz w:val="18"/>
              </w:rPr>
              <w:t>3.719.980</w:t>
            </w:r>
          </w:p>
        </w:tc>
        <w:tc>
          <w:tcPr>
            <w:tcW w:w="800" w:type="pct"/>
            <w:vAlign w:val="bottom"/>
          </w:tcPr>
          <w:p w:rsidR="00D31CC9" w:rsidRDefault="00AC3D28">
            <w:pPr>
              <w:spacing w:after="0" w:line="240" w:lineRule="auto"/>
              <w:jc w:val="right"/>
            </w:pPr>
            <w:r>
              <w:rPr>
                <w:rFonts w:ascii="Calibri" w:hAnsi="Calibri" w:cs="Calibri"/>
                <w:b/>
                <w:sz w:val="18"/>
              </w:rPr>
              <w:t>-146.074.550</w:t>
            </w:r>
          </w:p>
        </w:tc>
        <w:tc>
          <w:tcPr>
            <w:tcW w:w="400" w:type="pct"/>
            <w:vAlign w:val="bottom"/>
          </w:tcPr>
          <w:p w:rsidR="00D31CC9" w:rsidRDefault="00AC3D28">
            <w:pPr>
              <w:spacing w:after="0" w:line="240" w:lineRule="auto"/>
              <w:jc w:val="right"/>
            </w:pPr>
            <w:r>
              <w:rPr>
                <w:rFonts w:ascii="Calibri" w:hAnsi="Calibri" w:cs="Calibri"/>
                <w:b/>
                <w:sz w:val="18"/>
              </w:rPr>
              <w:t>97,5</w:t>
            </w:r>
          </w:p>
        </w:tc>
      </w:tr>
    </w:tbl>
    <w:p w:rsidR="00D31CC9" w:rsidRDefault="00D31CC9">
      <w:pPr>
        <w:spacing w:after="0" w:line="240" w:lineRule="auto"/>
      </w:pPr>
    </w:p>
    <w:p w:rsidR="00D31CC9" w:rsidRDefault="00AC3D28">
      <w:pPr>
        <w:spacing w:line="240" w:lineRule="auto"/>
        <w:jc w:val="both"/>
      </w:pPr>
      <w:r>
        <w:rPr>
          <w:rFonts w:ascii="Calibri" w:hAnsi="Calibri" w:cs="Calibri"/>
        </w:rPr>
        <w:t>Otplate glavnica planirane su sukladno postojećim, ugovorenim otplatnim planovima, a primici od zaduživanja planirani su sukcesivno, prema očekivanoj dinamici građevinskih radova na dovršetku izgradnje autoceste A5 i autoceste A7, dionica Selce – Novi Vinodolski. Ovim Izmjenama i dopunama Financijskog plana primici i izdaci od zaduživanja nisu se mijenjali. Prijenos sredstava u iduću godinu planiran je u iznosu od 100.086.895 eura.</w:t>
      </w:r>
    </w:p>
    <w:sectPr w:rsidR="00D31CC9">
      <w:footerReference w:type="default" r:id="rId6"/>
      <w:footerReference w:type="first" r:id="rId7"/>
      <w:pgSz w:w="12240" w:h="15840"/>
      <w:pgMar w:top="1152" w:right="1152" w:bottom="1152" w:left="1152" w:header="720" w:footer="720" w:gutter="0"/>
      <w:pgNumType w:start="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355EB" w:rsidRDefault="00AC3D28">
      <w:pPr>
        <w:spacing w:after="0" w:line="240" w:lineRule="auto"/>
      </w:pPr>
      <w:r>
        <w:separator/>
      </w:r>
    </w:p>
  </w:endnote>
  <w:endnote w:type="continuationSeparator" w:id="0">
    <w:p w:rsidR="00F355EB" w:rsidRDefault="00AC3D2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31CC9" w:rsidRDefault="00AC3D28">
    <w:pPr>
      <w:jc w:val="right"/>
    </w:pPr>
    <w:r>
      <w:fldChar w:fldCharType="begin"/>
    </w:r>
    <w:r>
      <w:instrText>Page</w:instrText>
    </w:r>
    <w:r>
      <w:fldChar w:fldCharType="separate"/>
    </w:r>
    <w:r w:rsidR="005F2187">
      <w:rPr>
        <w:noProof/>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355EB" w:rsidRDefault="00AC3D28">
    <w:r>
      <w:cr/>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355EB" w:rsidRDefault="00AC3D28">
      <w:pPr>
        <w:spacing w:after="0" w:line="240" w:lineRule="auto"/>
      </w:pPr>
      <w:r>
        <w:separator/>
      </w:r>
    </w:p>
  </w:footnote>
  <w:footnote w:type="continuationSeparator" w:id="0">
    <w:p w:rsidR="00F355EB" w:rsidRDefault="00AC3D28">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D31CC9"/>
    <w:rsid w:val="005F2187"/>
    <w:rsid w:val="00AC3D28"/>
    <w:rsid w:val="00D31CC9"/>
    <w:rsid w:val="00F355EB"/>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CB9CDC8-064A-461B-B279-8D586B375E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hr-HR" w:eastAsia="hr-H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820</Words>
  <Characters>4679</Characters>
  <Application>Microsoft Office Word</Application>
  <DocSecurity>0</DocSecurity>
  <Lines>38</Lines>
  <Paragraphs>10</Paragraphs>
  <ScaleCrop>false</ScaleCrop>
  <Company/>
  <LinksUpToDate>false</LinksUpToDate>
  <CharactersWithSpaces>5489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Ida Hohnjec</cp:lastModifiedBy>
  <cp:revision>3</cp:revision>
  <dcterms:created xsi:type="dcterms:W3CDTF">2023-05-08T11:51:00Z</dcterms:created>
  <dcterms:modified xsi:type="dcterms:W3CDTF">2023-05-09T13:18:00Z</dcterms:modified>
</cp:coreProperties>
</file>