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6B9" w:rsidRDefault="00093C9B">
      <w:pPr>
        <w:spacing w:line="240" w:lineRule="auto"/>
        <w:jc w:val="center"/>
      </w:pP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  <w:t xml:space="preserve">OBRAZLOŽENJE IZMJENA I DOPUNA FINANCIJSKOG PLANA CENTRA ZA RESTRUKTURIRANJE I PRODAJU ZA </w:t>
      </w:r>
      <w:bookmarkStart w:id="0" w:name="_GoBack"/>
      <w:bookmarkEnd w:id="0"/>
      <w:r>
        <w:rPr>
          <w:rFonts w:ascii="Calibri" w:hAnsi="Calibri" w:cs="Calibri"/>
          <w:b/>
          <w:sz w:val="28"/>
        </w:rPr>
        <w:t>2023. GODINU I PROJEKCIJA PLANA ZA 2024. I 2025. GODINU</w:t>
      </w:r>
      <w:r>
        <w:rPr>
          <w:rFonts w:ascii="Calibri" w:hAnsi="Calibri" w:cs="Calibri"/>
          <w:b/>
          <w:sz w:val="28"/>
        </w:rPr>
        <w:br w:type="page"/>
      </w:r>
    </w:p>
    <w:p w:rsidR="009C46B9" w:rsidRDefault="00093C9B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br/>
        <w:t>UVOD</w:t>
      </w:r>
    </w:p>
    <w:p w:rsidR="009C46B9" w:rsidRDefault="00093C9B">
      <w:pPr>
        <w:spacing w:line="240" w:lineRule="auto"/>
        <w:jc w:val="both"/>
      </w:pPr>
      <w:r>
        <w:rPr>
          <w:rFonts w:ascii="Calibri" w:hAnsi="Calibri" w:cs="Calibri"/>
          <w:color w:val="000000"/>
        </w:rPr>
        <w:t xml:space="preserve">Izmjene </w:t>
      </w:r>
      <w:r>
        <w:rPr>
          <w:rFonts w:ascii="Calibri" w:hAnsi="Calibri" w:cs="Calibri"/>
          <w:color w:val="000000"/>
        </w:rPr>
        <w:t>i dopune financijskog plana Centra za restrukturiranje i prodaju (dalje u tekstu: CERP) za 2023. godinu predlažu se zbog stvarno ostvarenih rezultata poslovanja CERP-a u prva tri mjeseca 2023. godine kao i očekivanih promjena u odnosu na planirane iznose.</w:t>
      </w:r>
    </w:p>
    <w:p w:rsidR="009C46B9" w:rsidRDefault="00093C9B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Slijedom naprijed navedenog, predložena su određena povećanja prihoda i rashoda te primitaka i to kako slijedi:</w:t>
      </w:r>
    </w:p>
    <w:p w:rsidR="009C46B9" w:rsidRDefault="00093C9B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9C46B9">
        <w:tc>
          <w:tcPr>
            <w:tcW w:w="2000" w:type="pct"/>
            <w:shd w:val="clear" w:color="auto" w:fill="BCDFFB"/>
            <w:vAlign w:val="center"/>
          </w:tcPr>
          <w:p w:rsidR="009C46B9" w:rsidRDefault="009C46B9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9C46B9" w:rsidRDefault="00093C9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9C46B9" w:rsidRDefault="00093C9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9C46B9" w:rsidRDefault="00093C9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9C46B9" w:rsidRDefault="00093C9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9C46B9">
        <w:tc>
          <w:tcPr>
            <w:tcW w:w="2000" w:type="pct"/>
            <w:vAlign w:val="bottom"/>
          </w:tcPr>
          <w:p w:rsidR="009C46B9" w:rsidRDefault="00093C9B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POSLOVANJA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5.101.300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491.075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5.592.375</w:t>
            </w:r>
          </w:p>
        </w:tc>
        <w:tc>
          <w:tcPr>
            <w:tcW w:w="4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109,6</w:t>
            </w:r>
          </w:p>
        </w:tc>
      </w:tr>
      <w:tr w:rsidR="009C46B9">
        <w:tc>
          <w:tcPr>
            <w:tcW w:w="2000" w:type="pct"/>
            <w:vAlign w:val="bottom"/>
          </w:tcPr>
          <w:p w:rsidR="009C46B9" w:rsidRDefault="00093C9B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OD PRODAJE</w:t>
            </w:r>
            <w:r>
              <w:rPr>
                <w:rFonts w:ascii="Calibri" w:hAnsi="Calibri" w:cs="Calibri"/>
                <w:sz w:val="18"/>
              </w:rPr>
              <w:t xml:space="preserve"> NEFINANCIJSKE IMOVINE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79.600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79.600</w:t>
            </w:r>
          </w:p>
        </w:tc>
        <w:tc>
          <w:tcPr>
            <w:tcW w:w="4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  <w:tr w:rsidR="009C46B9">
        <w:tc>
          <w:tcPr>
            <w:tcW w:w="2000" w:type="pct"/>
            <w:vAlign w:val="bottom"/>
          </w:tcPr>
          <w:p w:rsidR="009C46B9" w:rsidRDefault="00093C9B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5.180.900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491.075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5.671.975</w:t>
            </w:r>
          </w:p>
        </w:tc>
        <w:tc>
          <w:tcPr>
            <w:tcW w:w="4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109,5</w:t>
            </w:r>
          </w:p>
        </w:tc>
      </w:tr>
    </w:tbl>
    <w:p w:rsidR="009C46B9" w:rsidRDefault="009C46B9">
      <w:pPr>
        <w:spacing w:after="0" w:line="240" w:lineRule="auto"/>
      </w:pPr>
    </w:p>
    <w:p w:rsidR="009C46B9" w:rsidRDefault="00093C9B">
      <w:pPr>
        <w:spacing w:line="240" w:lineRule="auto"/>
        <w:jc w:val="both"/>
      </w:pPr>
      <w:r>
        <w:rPr>
          <w:rFonts w:ascii="Calibri" w:hAnsi="Calibri" w:cs="Calibri"/>
          <w:b/>
          <w:color w:val="000000"/>
        </w:rPr>
        <w:t>PRIHODI POSLOVANJA</w:t>
      </w:r>
    </w:p>
    <w:p w:rsidR="009C46B9" w:rsidRDefault="00093C9B">
      <w:pPr>
        <w:spacing w:line="240" w:lineRule="auto"/>
        <w:jc w:val="both"/>
      </w:pPr>
      <w:r>
        <w:rPr>
          <w:rFonts w:ascii="Calibri" w:hAnsi="Calibri" w:cs="Calibri"/>
          <w:color w:val="000000"/>
        </w:rPr>
        <w:t xml:space="preserve">CERP je za 2023. godinu planirao prihode poslovanja u iznosu od 5.101.300,00 eura te se </w:t>
      </w:r>
      <w:r>
        <w:rPr>
          <w:rFonts w:ascii="Calibri" w:hAnsi="Calibri" w:cs="Calibri"/>
          <w:color w:val="000000"/>
        </w:rPr>
        <w:t>predlaže povećanje planiranih prihoda poslovanja kako slijedi:</w:t>
      </w:r>
    </w:p>
    <w:p w:rsidR="009C46B9" w:rsidRDefault="00093C9B">
      <w:pPr>
        <w:spacing w:line="240" w:lineRule="auto"/>
        <w:jc w:val="both"/>
      </w:pPr>
      <w:r>
        <w:rPr>
          <w:rFonts w:ascii="Calibri" w:hAnsi="Calibri" w:cs="Calibri"/>
          <w:b/>
          <w:color w:val="000000"/>
        </w:rPr>
        <w:t>Tekuće pomoći proračunu iz drugih proračuna</w:t>
      </w:r>
      <w:r>
        <w:rPr>
          <w:rFonts w:ascii="Calibri" w:hAnsi="Calibri" w:cs="Calibri"/>
          <w:color w:val="000000"/>
        </w:rPr>
        <w:t xml:space="preserve"> planiraju se u iznosu od 491.075,00 eura iz razloga što će Ministarstvo financija, sukladno odredbama Odluke Vlade Republike Hrvatske o sklapanju ugo</w:t>
      </w:r>
      <w:r>
        <w:rPr>
          <w:rFonts w:ascii="Calibri" w:hAnsi="Calibri" w:cs="Calibri"/>
          <w:color w:val="000000"/>
        </w:rPr>
        <w:t>vora o prijenosu tražbina radnika društva Orljava d.o.o. u stečaju kao stečajnih vjerovnika prvog višeg isplatnog reda prema stečajnom dužniku Orljava d.o.o. u stečaju od 2. ožujka 2023. godine, doznačiti CERP-u sredstva za podmirenje utvrđenih nepodmireni</w:t>
      </w:r>
      <w:r>
        <w:rPr>
          <w:rFonts w:ascii="Calibri" w:hAnsi="Calibri" w:cs="Calibri"/>
          <w:color w:val="000000"/>
        </w:rPr>
        <w:t>h tražbina radnika društva Orljava d.o.o. u stečaju kao stečajnih vjerovnika prvog višeg isplatnog reda.</w:t>
      </w:r>
    </w:p>
    <w:p w:rsidR="009C46B9" w:rsidRDefault="00093C9B">
      <w:pPr>
        <w:spacing w:line="240" w:lineRule="auto"/>
        <w:jc w:val="both"/>
      </w:pPr>
      <w:r>
        <w:rPr>
          <w:rFonts w:ascii="Calibri" w:hAnsi="Calibri" w:cs="Calibri"/>
          <w:b/>
          <w:color w:val="000000"/>
        </w:rPr>
        <w:t>PRIHODI OD PRODAJE NEFINANCIJSKE IMOVINE</w:t>
      </w:r>
    </w:p>
    <w:p w:rsidR="009C46B9" w:rsidRDefault="00093C9B">
      <w:pPr>
        <w:spacing w:line="240" w:lineRule="auto"/>
        <w:jc w:val="both"/>
      </w:pPr>
      <w:r>
        <w:rPr>
          <w:rFonts w:ascii="Calibri" w:hAnsi="Calibri" w:cs="Calibri"/>
          <w:color w:val="000000"/>
        </w:rPr>
        <w:t xml:space="preserve">CERP je za 2023. godinu planirao prihode od prodaje nefinancijske imovine u iznosu od 79.600,00 eura te se ne </w:t>
      </w:r>
      <w:r>
        <w:rPr>
          <w:rFonts w:ascii="Calibri" w:hAnsi="Calibri" w:cs="Calibri"/>
          <w:color w:val="000000"/>
        </w:rPr>
        <w:t>očekuje odstupanje od planiranog.</w:t>
      </w:r>
    </w:p>
    <w:p w:rsidR="009C46B9" w:rsidRDefault="00093C9B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9C46B9">
        <w:tc>
          <w:tcPr>
            <w:tcW w:w="2000" w:type="pct"/>
            <w:shd w:val="clear" w:color="auto" w:fill="BCDFFB"/>
            <w:vAlign w:val="center"/>
          </w:tcPr>
          <w:p w:rsidR="009C46B9" w:rsidRDefault="009C46B9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9C46B9" w:rsidRDefault="00093C9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9C46B9" w:rsidRDefault="00093C9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9C46B9" w:rsidRDefault="00093C9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9C46B9" w:rsidRDefault="00093C9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9C46B9">
        <w:tc>
          <w:tcPr>
            <w:tcW w:w="2000" w:type="pct"/>
            <w:vAlign w:val="bottom"/>
          </w:tcPr>
          <w:p w:rsidR="009C46B9" w:rsidRDefault="00093C9B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POSLOVANJA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7.869.800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491.075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8.360.875</w:t>
            </w:r>
          </w:p>
        </w:tc>
        <w:tc>
          <w:tcPr>
            <w:tcW w:w="4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106,2</w:t>
            </w:r>
          </w:p>
        </w:tc>
      </w:tr>
      <w:tr w:rsidR="009C46B9">
        <w:tc>
          <w:tcPr>
            <w:tcW w:w="2000" w:type="pct"/>
            <w:vAlign w:val="bottom"/>
          </w:tcPr>
          <w:p w:rsidR="009C46B9" w:rsidRDefault="00093C9B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ZA NABAVU NEFINANCIJSKE IMOVINE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216.400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216.400</w:t>
            </w:r>
          </w:p>
        </w:tc>
        <w:tc>
          <w:tcPr>
            <w:tcW w:w="4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  <w:tr w:rsidR="009C46B9">
        <w:tc>
          <w:tcPr>
            <w:tcW w:w="2000" w:type="pct"/>
            <w:vAlign w:val="bottom"/>
          </w:tcPr>
          <w:p w:rsidR="009C46B9" w:rsidRDefault="00093C9B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8.086.200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491.075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8.577.275</w:t>
            </w:r>
          </w:p>
        </w:tc>
        <w:tc>
          <w:tcPr>
            <w:tcW w:w="4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106,1</w:t>
            </w:r>
          </w:p>
        </w:tc>
      </w:tr>
    </w:tbl>
    <w:p w:rsidR="009C46B9" w:rsidRDefault="009C46B9">
      <w:pPr>
        <w:spacing w:after="0" w:line="240" w:lineRule="auto"/>
      </w:pPr>
    </w:p>
    <w:p w:rsidR="009C46B9" w:rsidRDefault="00093C9B">
      <w:pPr>
        <w:spacing w:line="240" w:lineRule="auto"/>
        <w:jc w:val="both"/>
      </w:pPr>
      <w:r>
        <w:rPr>
          <w:rFonts w:ascii="Calibri" w:hAnsi="Calibri" w:cs="Calibri"/>
          <w:b/>
          <w:color w:val="000000"/>
        </w:rPr>
        <w:t>RASHODI POSLOVANJA</w:t>
      </w:r>
    </w:p>
    <w:p w:rsidR="009C46B9" w:rsidRDefault="00093C9B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CERP je za 2023. godinu planirao rashode poslovanja u iznosu od 7.869.800,00 eura te se predlaže povećanje planiranih rashoda poslovanja kako slijedi:</w:t>
      </w:r>
    </w:p>
    <w:p w:rsidR="009C46B9" w:rsidRDefault="00093C9B">
      <w:pPr>
        <w:spacing w:line="240" w:lineRule="auto"/>
        <w:jc w:val="both"/>
      </w:pPr>
      <w:r>
        <w:rPr>
          <w:rFonts w:ascii="Calibri" w:hAnsi="Calibri" w:cs="Calibri"/>
          <w:b/>
          <w:color w:val="000000"/>
        </w:rPr>
        <w:t>Naknade građanima i kućanstvima u novcu</w:t>
      </w:r>
      <w:r>
        <w:rPr>
          <w:rFonts w:ascii="Calibri" w:hAnsi="Calibri" w:cs="Calibri"/>
          <w:color w:val="000000"/>
        </w:rPr>
        <w:t xml:space="preserve"> planiraju se u iznosu od 491.075,00 eura iz razloga što će CERP, sukladno odredbama Odluke Vlade Republike Hrvatske o sklapanju ugovora o prijenosu tražbina radnika društva Orljava d.o.o. u stečaju kao stečajnih vjerovnika prvog višeg isplatnog reda prema</w:t>
      </w:r>
      <w:r>
        <w:rPr>
          <w:rFonts w:ascii="Calibri" w:hAnsi="Calibri" w:cs="Calibri"/>
          <w:color w:val="000000"/>
        </w:rPr>
        <w:t xml:space="preserve"> stečajnom dužniku Orljava d.o.o. u stečaju od 2. ožujka 2023. godine, izvršiti prijenos sredstava na račune radnika društva Orljava d.o.o. u stečaju kao stečajnih vjerovnika prvog višeg isplatnog reda. </w:t>
      </w:r>
    </w:p>
    <w:p w:rsidR="009C46B9" w:rsidRDefault="00093C9B">
      <w:pPr>
        <w:spacing w:line="240" w:lineRule="auto"/>
        <w:jc w:val="both"/>
      </w:pPr>
      <w:r>
        <w:rPr>
          <w:rFonts w:ascii="Calibri" w:hAnsi="Calibri" w:cs="Calibri"/>
          <w:b/>
          <w:color w:val="000000"/>
        </w:rPr>
        <w:lastRenderedPageBreak/>
        <w:t>RASHODI ZA NABAVU NEFINANCIJSKE IMOVINE</w:t>
      </w:r>
    </w:p>
    <w:p w:rsidR="009C46B9" w:rsidRDefault="00093C9B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CERP je za 2</w:t>
      </w:r>
      <w:r>
        <w:rPr>
          <w:rFonts w:ascii="Calibri" w:hAnsi="Calibri" w:cs="Calibri"/>
          <w:color w:val="000000"/>
        </w:rPr>
        <w:t>023. godinu planirao rashode za nabavu nefinancijske imovine u iznosu od 216.400,00 eura te se ne predlaže izmjena planiranog iznosa ni preraspodjela.</w:t>
      </w:r>
    </w:p>
    <w:p w:rsidR="009C46B9" w:rsidRDefault="00093C9B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UKUPNI VIŠAK/MANJAK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9C46B9">
        <w:tc>
          <w:tcPr>
            <w:tcW w:w="2000" w:type="pct"/>
            <w:shd w:val="clear" w:color="auto" w:fill="BCDFFB"/>
            <w:vAlign w:val="center"/>
          </w:tcPr>
          <w:p w:rsidR="009C46B9" w:rsidRDefault="009C46B9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9C46B9" w:rsidRDefault="00093C9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9C46B9" w:rsidRDefault="00093C9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9C46B9" w:rsidRDefault="00093C9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9C46B9" w:rsidRDefault="00093C9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9C46B9">
        <w:tc>
          <w:tcPr>
            <w:tcW w:w="2000" w:type="pct"/>
            <w:vAlign w:val="bottom"/>
          </w:tcPr>
          <w:p w:rsidR="009C46B9" w:rsidRDefault="00093C9B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PRIHODI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5.180.900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491.075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5.671.975</w:t>
            </w:r>
          </w:p>
        </w:tc>
        <w:tc>
          <w:tcPr>
            <w:tcW w:w="4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109,5</w:t>
            </w:r>
          </w:p>
        </w:tc>
      </w:tr>
      <w:tr w:rsidR="009C46B9">
        <w:tc>
          <w:tcPr>
            <w:tcW w:w="2000" w:type="pct"/>
            <w:vAlign w:val="bottom"/>
          </w:tcPr>
          <w:p w:rsidR="009C46B9" w:rsidRDefault="00093C9B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RASHODI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8.086.200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491.075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8.577.275</w:t>
            </w:r>
          </w:p>
        </w:tc>
        <w:tc>
          <w:tcPr>
            <w:tcW w:w="4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106,1</w:t>
            </w:r>
          </w:p>
        </w:tc>
      </w:tr>
      <w:tr w:rsidR="009C46B9">
        <w:tc>
          <w:tcPr>
            <w:tcW w:w="2000" w:type="pct"/>
            <w:vAlign w:val="bottom"/>
          </w:tcPr>
          <w:p w:rsidR="009C46B9" w:rsidRDefault="00093C9B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- VIŠAK/MANJAK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-2.905.300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-2.905.300</w:t>
            </w:r>
          </w:p>
        </w:tc>
        <w:tc>
          <w:tcPr>
            <w:tcW w:w="4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100,0</w:t>
            </w:r>
          </w:p>
        </w:tc>
      </w:tr>
    </w:tbl>
    <w:p w:rsidR="009C46B9" w:rsidRDefault="009C46B9">
      <w:pPr>
        <w:spacing w:after="0" w:line="240" w:lineRule="auto"/>
      </w:pPr>
    </w:p>
    <w:p w:rsidR="009C46B9" w:rsidRDefault="00093C9B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CERP je za 2023. godinu planirao manjak ukupnih prihoda nad ukupnim rashodima u iznosu od 2.905.300,00 </w:t>
      </w:r>
      <w:r>
        <w:rPr>
          <w:rFonts w:ascii="Calibri" w:hAnsi="Calibri" w:cs="Calibri"/>
          <w:color w:val="000000"/>
        </w:rPr>
        <w:t>eura, te se isti ne mijenja ovim Izmjenama i dopunama financijskog plana CERP-a.</w:t>
      </w:r>
    </w:p>
    <w:p w:rsidR="009C46B9" w:rsidRDefault="00093C9B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4097"/>
        <w:gridCol w:w="1639"/>
        <w:gridCol w:w="1638"/>
        <w:gridCol w:w="1638"/>
        <w:gridCol w:w="820"/>
      </w:tblGrid>
      <w:tr w:rsidR="009C46B9">
        <w:tc>
          <w:tcPr>
            <w:tcW w:w="2000" w:type="pct"/>
            <w:shd w:val="clear" w:color="auto" w:fill="BCDFFB"/>
            <w:vAlign w:val="center"/>
          </w:tcPr>
          <w:p w:rsidR="009C46B9" w:rsidRDefault="009C46B9">
            <w:pPr>
              <w:spacing w:after="0" w:line="240" w:lineRule="auto"/>
              <w:jc w:val="center"/>
            </w:pPr>
          </w:p>
        </w:tc>
        <w:tc>
          <w:tcPr>
            <w:tcW w:w="800" w:type="pct"/>
            <w:shd w:val="clear" w:color="auto" w:fill="BCDFFB"/>
            <w:vAlign w:val="center"/>
          </w:tcPr>
          <w:p w:rsidR="009C46B9" w:rsidRDefault="00093C9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 za 2023.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9C46B9" w:rsidRDefault="00093C9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Povećanje/</w:t>
            </w:r>
            <w:r>
              <w:rPr>
                <w:rFonts w:ascii="Calibri" w:hAnsi="Calibri" w:cs="Calibri"/>
                <w:b/>
                <w:sz w:val="18"/>
              </w:rPr>
              <w:br/>
              <w:t>Smanjenje</w:t>
            </w:r>
          </w:p>
        </w:tc>
        <w:tc>
          <w:tcPr>
            <w:tcW w:w="800" w:type="pct"/>
            <w:shd w:val="clear" w:color="auto" w:fill="BCDFFB"/>
            <w:vAlign w:val="center"/>
          </w:tcPr>
          <w:p w:rsidR="009C46B9" w:rsidRDefault="00093C9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Novi plan za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9C46B9" w:rsidRDefault="00093C9B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</w:p>
        </w:tc>
      </w:tr>
      <w:tr w:rsidR="009C46B9">
        <w:tc>
          <w:tcPr>
            <w:tcW w:w="2000" w:type="pct"/>
            <w:vAlign w:val="bottom"/>
          </w:tcPr>
          <w:p w:rsidR="009C46B9" w:rsidRDefault="00093C9B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PRIMICI OD FINANCIJSKE IMOVINE I ZADUŽIVANJA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862.700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1.700.000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2.562.700</w:t>
            </w:r>
          </w:p>
        </w:tc>
        <w:tc>
          <w:tcPr>
            <w:tcW w:w="4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297,1</w:t>
            </w:r>
          </w:p>
        </w:tc>
      </w:tr>
      <w:tr w:rsidR="009C46B9">
        <w:tc>
          <w:tcPr>
            <w:tcW w:w="2000" w:type="pct"/>
            <w:vAlign w:val="bottom"/>
          </w:tcPr>
          <w:p w:rsidR="009C46B9" w:rsidRDefault="00093C9B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 xml:space="preserve">IZDACI ZA </w:t>
            </w:r>
            <w:r>
              <w:rPr>
                <w:rFonts w:ascii="Calibri" w:hAnsi="Calibri" w:cs="Calibri"/>
                <w:sz w:val="18"/>
              </w:rPr>
              <w:t>FINANCIJSKU IMOVINU I OTPLATE ZAJMOVA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400" w:type="pct"/>
            <w:vAlign w:val="bottom"/>
          </w:tcPr>
          <w:p w:rsidR="009C46B9" w:rsidRDefault="009C46B9">
            <w:pPr>
              <w:spacing w:after="0" w:line="240" w:lineRule="auto"/>
              <w:jc w:val="right"/>
            </w:pPr>
          </w:p>
        </w:tc>
      </w:tr>
      <w:tr w:rsidR="009C46B9">
        <w:tc>
          <w:tcPr>
            <w:tcW w:w="2000" w:type="pct"/>
            <w:vAlign w:val="bottom"/>
          </w:tcPr>
          <w:p w:rsidR="009C46B9" w:rsidRDefault="00093C9B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IZ PRETHODNE GODINE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28.348.036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2.694.688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31.042.724</w:t>
            </w:r>
          </w:p>
        </w:tc>
        <w:tc>
          <w:tcPr>
            <w:tcW w:w="4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109,5</w:t>
            </w:r>
          </w:p>
        </w:tc>
      </w:tr>
      <w:tr w:rsidR="009C46B9">
        <w:tc>
          <w:tcPr>
            <w:tcW w:w="2000" w:type="pct"/>
            <w:vAlign w:val="bottom"/>
          </w:tcPr>
          <w:p w:rsidR="009C46B9" w:rsidRDefault="00093C9B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U SLJEDEĆU GODINU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-26.305.436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-4.394.688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-30.700.124</w:t>
            </w:r>
          </w:p>
        </w:tc>
        <w:tc>
          <w:tcPr>
            <w:tcW w:w="4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116,7</w:t>
            </w:r>
          </w:p>
        </w:tc>
      </w:tr>
      <w:tr w:rsidR="009C46B9">
        <w:tc>
          <w:tcPr>
            <w:tcW w:w="2000" w:type="pct"/>
            <w:vAlign w:val="bottom"/>
          </w:tcPr>
          <w:p w:rsidR="009C46B9" w:rsidRDefault="00093C9B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NETO FINANCIRANJE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2.905.300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0</w:t>
            </w:r>
          </w:p>
        </w:tc>
        <w:tc>
          <w:tcPr>
            <w:tcW w:w="8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2.905.300</w:t>
            </w:r>
          </w:p>
        </w:tc>
        <w:tc>
          <w:tcPr>
            <w:tcW w:w="400" w:type="pct"/>
            <w:vAlign w:val="bottom"/>
          </w:tcPr>
          <w:p w:rsidR="009C46B9" w:rsidRDefault="00093C9B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100,0</w:t>
            </w:r>
          </w:p>
        </w:tc>
      </w:tr>
    </w:tbl>
    <w:p w:rsidR="009C46B9" w:rsidRDefault="009C46B9">
      <w:pPr>
        <w:spacing w:after="0" w:line="240" w:lineRule="auto"/>
      </w:pPr>
    </w:p>
    <w:p w:rsidR="009C46B9" w:rsidRDefault="00093C9B">
      <w:pPr>
        <w:spacing w:line="240" w:lineRule="auto"/>
        <w:jc w:val="both"/>
      </w:pPr>
      <w:r>
        <w:rPr>
          <w:rFonts w:ascii="Calibri" w:hAnsi="Calibri" w:cs="Calibri"/>
          <w:b/>
          <w:color w:val="000000"/>
        </w:rPr>
        <w:t xml:space="preserve">PRIMICI OD FINANCIJSKE IMOVINE I ZADUŽIVANJA </w:t>
      </w:r>
    </w:p>
    <w:p w:rsidR="009C46B9" w:rsidRDefault="00093C9B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CERP je za 2023. godinu planirao primitke od financijske imovine i zaduživanja u iznosu od 862.700,00 eura te se predlaže povećanje planiranih primitaka od financijske imovine i zaduživanja kako slijedi:</w:t>
      </w:r>
    </w:p>
    <w:p w:rsidR="009C46B9" w:rsidRDefault="00093C9B">
      <w:pPr>
        <w:spacing w:line="240" w:lineRule="auto"/>
        <w:jc w:val="both"/>
      </w:pPr>
      <w:r>
        <w:rPr>
          <w:rFonts w:ascii="Calibri" w:hAnsi="Calibri" w:cs="Calibri"/>
          <w:b/>
          <w:color w:val="000000"/>
        </w:rPr>
        <w:t>Povrat</w:t>
      </w:r>
      <w:r>
        <w:rPr>
          <w:rFonts w:ascii="Calibri" w:hAnsi="Calibri" w:cs="Calibri"/>
          <w:b/>
          <w:color w:val="000000"/>
        </w:rPr>
        <w:t xml:space="preserve"> zajmova danih tuzemnim trgovačkim društvima u javnom sektoru </w:t>
      </w:r>
      <w:r>
        <w:rPr>
          <w:rFonts w:ascii="Calibri" w:hAnsi="Calibri" w:cs="Calibri"/>
          <w:color w:val="000000"/>
        </w:rPr>
        <w:t xml:space="preserve">povećava se za iznos od 1.500.000,00 eura iz razloga što CERP do kraja 2023. godine očekuje dodatne primitke iz sudskih i stečajnih postupaka (G.H.B. d.o.o. u </w:t>
      </w:r>
      <w:r>
        <w:rPr>
          <w:rFonts w:ascii="Calibri" w:hAnsi="Calibri" w:cs="Calibri"/>
          <w:color w:val="000000"/>
        </w:rPr>
        <w:t xml:space="preserve">stečaju, Opatija, SPLITSKA PLOVIDBA d.d. u stečaju, Split). </w:t>
      </w:r>
    </w:p>
    <w:p w:rsidR="009C46B9" w:rsidRDefault="00093C9B">
      <w:pPr>
        <w:spacing w:line="240" w:lineRule="auto"/>
        <w:jc w:val="both"/>
      </w:pPr>
      <w:r>
        <w:rPr>
          <w:rFonts w:ascii="Calibri" w:hAnsi="Calibri" w:cs="Calibri"/>
          <w:b/>
          <w:color w:val="000000"/>
        </w:rPr>
        <w:t xml:space="preserve">Dionice i udjeli u glavnici trgovačkih društava u javnom sektoru </w:t>
      </w:r>
      <w:r>
        <w:rPr>
          <w:rFonts w:ascii="Calibri" w:hAnsi="Calibri" w:cs="Calibri"/>
          <w:color w:val="000000"/>
        </w:rPr>
        <w:t xml:space="preserve">povećavaju se za iznos od 200.000,00 eura iz razloga što CERP do kraja 2023. godine očekuje dodatne primitke iz sudskih postupaka </w:t>
      </w:r>
      <w:r>
        <w:rPr>
          <w:rFonts w:ascii="Calibri" w:hAnsi="Calibri" w:cs="Calibri"/>
          <w:color w:val="000000"/>
        </w:rPr>
        <w:t>(SPLIT SHIP MANAGEMENT d.o.o. u stečaju, Split). </w:t>
      </w:r>
    </w:p>
    <w:p w:rsidR="009C46B9" w:rsidRDefault="00093C9B">
      <w:pPr>
        <w:spacing w:line="240" w:lineRule="auto"/>
        <w:jc w:val="both"/>
      </w:pPr>
      <w:r>
        <w:rPr>
          <w:rFonts w:ascii="Calibri" w:hAnsi="Calibri" w:cs="Calibri"/>
        </w:rPr>
        <w:br/>
      </w:r>
    </w:p>
    <w:p w:rsidR="009C46B9" w:rsidRDefault="00093C9B">
      <w:pPr>
        <w:spacing w:line="240" w:lineRule="auto"/>
        <w:jc w:val="both"/>
      </w:pPr>
      <w:r>
        <w:rPr>
          <w:rFonts w:ascii="Calibri" w:hAnsi="Calibri" w:cs="Calibri"/>
          <w:b/>
          <w:color w:val="000000"/>
        </w:rPr>
        <w:t>PRIJENOSI SREDSTAVA </w:t>
      </w:r>
    </w:p>
    <w:p w:rsidR="009C46B9" w:rsidRDefault="00093C9B">
      <w:pPr>
        <w:spacing w:line="240" w:lineRule="auto"/>
        <w:jc w:val="both"/>
      </w:pPr>
      <w:r>
        <w:rPr>
          <w:rFonts w:ascii="Calibri" w:hAnsi="Calibri" w:cs="Calibri"/>
          <w:color w:val="000000"/>
        </w:rPr>
        <w:t xml:space="preserve">Stvarno ostvareni prijenos sredstava CERP-a iz 2022. u 2023. godinu iznosio je 233.891.400,29 kn, što preračunato u eure po fiksnom tečaju konverzije 1 EUR = 7,53450 iznosi </w:t>
      </w:r>
      <w:r>
        <w:rPr>
          <w:rFonts w:ascii="Calibri" w:hAnsi="Calibri" w:cs="Calibri"/>
          <w:color w:val="000000"/>
        </w:rPr>
        <w:t xml:space="preserve">31.042.723,51 eura, pa je planirani prijenos sredstava iz prethodne godine povećan za iznos od 2.694.688,00 eura. </w:t>
      </w:r>
    </w:p>
    <w:p w:rsidR="009C46B9" w:rsidRDefault="00093C9B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Planirani prijenos sredstava u sljedeću godinu povećava se za iznos od 4.394.688,00 eura na iznos od 30.700.124,00 eura, nastao u najvećoj mj</w:t>
      </w:r>
      <w:r>
        <w:rPr>
          <w:rFonts w:ascii="Calibri" w:hAnsi="Calibri" w:cs="Calibri"/>
          <w:color w:val="000000"/>
        </w:rPr>
        <w:t>eri od primitaka od prodaje dionica i poslovnih udjela u vlasništvu CERP-a, a isti će se koristiti za podmirenje tekućih obveza CERP-a.</w:t>
      </w:r>
    </w:p>
    <w:sectPr w:rsidR="009C46B9">
      <w:footerReference w:type="default" r:id="rId6"/>
      <w:footerReference w:type="first" r:id="rId7"/>
      <w:pgSz w:w="12240" w:h="15840"/>
      <w:pgMar w:top="1152" w:right="1152" w:bottom="1152" w:left="1152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093C9B">
      <w:pPr>
        <w:spacing w:after="0" w:line="240" w:lineRule="auto"/>
      </w:pPr>
      <w:r>
        <w:separator/>
      </w:r>
    </w:p>
  </w:endnote>
  <w:endnote w:type="continuationSeparator" w:id="0">
    <w:p w:rsidR="00000000" w:rsidRDefault="00093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6B9" w:rsidRDefault="00093C9B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093C9B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093C9B">
      <w:pPr>
        <w:spacing w:after="0" w:line="240" w:lineRule="auto"/>
      </w:pPr>
      <w:r>
        <w:separator/>
      </w:r>
    </w:p>
  </w:footnote>
  <w:footnote w:type="continuationSeparator" w:id="0">
    <w:p w:rsidR="00000000" w:rsidRDefault="00093C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C46B9"/>
    <w:rsid w:val="00093C9B"/>
    <w:rsid w:val="009C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00C041-795F-477E-A2BA-DED091963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749</Words>
  <Characters>4275</Characters>
  <Application>Microsoft Office Word</Application>
  <DocSecurity>0</DocSecurity>
  <Lines>35</Lines>
  <Paragraphs>10</Paragraphs>
  <ScaleCrop>false</ScaleCrop>
  <Company/>
  <LinksUpToDate>false</LinksUpToDate>
  <CharactersWithSpaces>5014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Ida Hohnjec</cp:lastModifiedBy>
  <cp:revision>2</cp:revision>
  <dcterms:created xsi:type="dcterms:W3CDTF">2023-05-09T13:11:00Z</dcterms:created>
  <dcterms:modified xsi:type="dcterms:W3CDTF">2023-05-09T13:11:00Z</dcterms:modified>
</cp:coreProperties>
</file>