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A67" w:rsidRDefault="00A635D2">
      <w:pPr>
        <w:spacing w:line="360" w:lineRule="auto"/>
        <w:jc w:val="center"/>
      </w:pPr>
      <w:r>
        <w:rPr>
          <w:rFonts w:ascii="Times New Roman" w:hAnsi="Times New Roman" w:cs="Times New Roman"/>
          <w:b/>
          <w:sz w:val="28"/>
        </w:rPr>
        <w:t>OBRAZLOŽENJE IZVRŠENJA FINANCIJSKOG PLANA HRVATSKIH CESTA ZA PRVO POLUGODIŠTE 2023. GODINE</w:t>
      </w:r>
    </w:p>
    <w:p w:rsidR="00745A67" w:rsidRDefault="00A635D2">
      <w:pPr>
        <w:spacing w:line="360" w:lineRule="auto"/>
      </w:pPr>
      <w:r>
        <w:rPr>
          <w:rFonts w:ascii="Times New Roman" w:hAnsi="Times New Roman" w:cs="Times New Roman"/>
          <w:b/>
          <w:sz w:val="24"/>
          <w:u w:val="single"/>
        </w:rPr>
        <w:br/>
        <w:t>UVOD</w:t>
      </w:r>
    </w:p>
    <w:p w:rsidR="00745A67" w:rsidRDefault="00A635D2">
      <w:pPr>
        <w:spacing w:line="240" w:lineRule="auto"/>
        <w:jc w:val="both"/>
      </w:pPr>
      <w:r>
        <w:rPr>
          <w:rFonts w:ascii="Times New Roman" w:hAnsi="Times New Roman" w:cs="Times New Roman"/>
          <w:sz w:val="24"/>
        </w:rPr>
        <w:t>Trgovačko društvo Hrvatske ceste d.o.o. osnovano je s ciljem ulaganja u cestovnu infrastrukturu kako bi se osigurao siguran promet, poboljšala kvaliteta života u zajednici kao i ekonomski prosperitet. Glavni zadatak Društva je kvalitetno cestovno povezivanje hrvatskih regija, uz povezivanje na europske prometne pravce. Razvojem cestovne infrastrukture potiče se uključivanje hrvatskog gospodarstva u međunarodno okruženje, u nastojanju doprinosa dinamici gospodarskog razvitka.</w:t>
      </w:r>
    </w:p>
    <w:p w:rsidR="00745A67" w:rsidRDefault="00A635D2">
      <w:pPr>
        <w:spacing w:line="240" w:lineRule="auto"/>
        <w:jc w:val="both"/>
      </w:pPr>
      <w:r>
        <w:rPr>
          <w:rFonts w:ascii="Times New Roman" w:hAnsi="Times New Roman" w:cs="Times New Roman"/>
          <w:sz w:val="24"/>
        </w:rPr>
        <w:t>Društvo je u 100 % vlasništvu Republike Hrvatske i svoja prava u Skupštini Društva ostvaruje putem Vlade Republike Hrvatske zastupane po ministru Ministarstva mora, prometa i infrastrukture.</w:t>
      </w:r>
    </w:p>
    <w:p w:rsidR="00745A67" w:rsidRDefault="00A635D2">
      <w:pPr>
        <w:spacing w:line="240" w:lineRule="auto"/>
        <w:jc w:val="both"/>
      </w:pPr>
      <w:r>
        <w:rPr>
          <w:rFonts w:ascii="Times New Roman" w:hAnsi="Times New Roman" w:cs="Times New Roman"/>
          <w:sz w:val="24"/>
        </w:rPr>
        <w:t>Poslovanje društva Hrvatske ceste d.o.o. određeno je Zakonom o cestama, Izjavom o osnivanju, Zakonom o trgovačkim društvima, Zakonom o proračunu, odlukama Vlade Republike Hrvatske te drugim zakonima i pravilnicima vezano uz djelatnost Društva. Osnovna djelatnost Društva je upravljanje, građenje i održavanje državnih cesta.</w:t>
      </w:r>
    </w:p>
    <w:p w:rsidR="00745A67" w:rsidRDefault="00A635D2">
      <w:pPr>
        <w:spacing w:line="360" w:lineRule="auto"/>
      </w:pPr>
      <w:r>
        <w:rPr>
          <w:rFonts w:ascii="Times New Roman" w:hAnsi="Times New Roman" w:cs="Times New Roman"/>
          <w:b/>
          <w:sz w:val="24"/>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2624"/>
        <w:gridCol w:w="1499"/>
        <w:gridCol w:w="1499"/>
        <w:gridCol w:w="1498"/>
        <w:gridCol w:w="937"/>
        <w:gridCol w:w="937"/>
      </w:tblGrid>
      <w:tr w:rsidR="00745A67">
        <w:tc>
          <w:tcPr>
            <w:tcW w:w="1400" w:type="pct"/>
            <w:shd w:val="clear" w:color="auto" w:fill="BCDFFB"/>
            <w:vAlign w:val="center"/>
          </w:tcPr>
          <w:p w:rsidR="00745A67" w:rsidRDefault="00A635D2">
            <w:pPr>
              <w:spacing w:after="0" w:line="240" w:lineRule="auto"/>
              <w:jc w:val="center"/>
            </w:pPr>
            <w:r>
              <w:rPr>
                <w:rFonts w:ascii="Times New Roman" w:hAnsi="Times New Roman" w:cs="Times New Roman"/>
                <w:b/>
                <w:sz w:val="18"/>
              </w:rPr>
              <w:t>BROJČANA OZNAKA I NAZIV</w:t>
            </w:r>
          </w:p>
        </w:tc>
        <w:tc>
          <w:tcPr>
            <w:tcW w:w="800" w:type="pct"/>
            <w:shd w:val="clear" w:color="auto" w:fill="BCDFFB"/>
            <w:vAlign w:val="center"/>
          </w:tcPr>
          <w:p w:rsidR="00745A67" w:rsidRDefault="00A635D2">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1.-6. 2022.</w:t>
            </w:r>
          </w:p>
        </w:tc>
        <w:tc>
          <w:tcPr>
            <w:tcW w:w="800" w:type="pct"/>
            <w:shd w:val="clear" w:color="auto" w:fill="BCDFFB"/>
            <w:vAlign w:val="center"/>
          </w:tcPr>
          <w:p w:rsidR="00745A67" w:rsidRDefault="00B50B64">
            <w:pPr>
              <w:spacing w:after="0" w:line="240" w:lineRule="auto"/>
              <w:jc w:val="center"/>
            </w:pPr>
            <w:r>
              <w:rPr>
                <w:rFonts w:ascii="Times New Roman" w:hAnsi="Times New Roman" w:cs="Times New Roman"/>
                <w:b/>
                <w:sz w:val="18"/>
              </w:rPr>
              <w:t>REBALANS</w:t>
            </w:r>
            <w:r w:rsidR="00A635D2">
              <w:rPr>
                <w:rFonts w:ascii="Times New Roman" w:hAnsi="Times New Roman" w:cs="Times New Roman"/>
                <w:b/>
                <w:sz w:val="18"/>
              </w:rPr>
              <w:br/>
              <w:t>2023.</w:t>
            </w:r>
          </w:p>
        </w:tc>
        <w:tc>
          <w:tcPr>
            <w:tcW w:w="800" w:type="pct"/>
            <w:shd w:val="clear" w:color="auto" w:fill="BCDFFB"/>
            <w:vAlign w:val="center"/>
          </w:tcPr>
          <w:p w:rsidR="00745A67" w:rsidRDefault="00A635D2">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1.-6. 2023.</w:t>
            </w:r>
          </w:p>
        </w:tc>
        <w:tc>
          <w:tcPr>
            <w:tcW w:w="500" w:type="pct"/>
            <w:shd w:val="clear" w:color="auto" w:fill="BCDFFB"/>
            <w:vAlign w:val="center"/>
          </w:tcPr>
          <w:p w:rsidR="00745A67" w:rsidRDefault="00A635D2">
            <w:pPr>
              <w:spacing w:after="0" w:line="240" w:lineRule="auto"/>
              <w:jc w:val="center"/>
            </w:pPr>
            <w:r>
              <w:rPr>
                <w:rFonts w:ascii="Times New Roman" w:hAnsi="Times New Roman" w:cs="Times New Roman"/>
                <w:b/>
                <w:sz w:val="18"/>
              </w:rPr>
              <w:t>INDEKS</w:t>
            </w:r>
          </w:p>
        </w:tc>
        <w:tc>
          <w:tcPr>
            <w:tcW w:w="500" w:type="pct"/>
            <w:shd w:val="clear" w:color="auto" w:fill="BCDFFB"/>
            <w:vAlign w:val="center"/>
          </w:tcPr>
          <w:p w:rsidR="00745A67" w:rsidRDefault="00A635D2">
            <w:pPr>
              <w:spacing w:after="0" w:line="240" w:lineRule="auto"/>
              <w:jc w:val="center"/>
            </w:pPr>
            <w:r>
              <w:rPr>
                <w:rFonts w:ascii="Times New Roman" w:hAnsi="Times New Roman" w:cs="Times New Roman"/>
                <w:b/>
                <w:sz w:val="18"/>
              </w:rPr>
              <w:t>INDEKS</w:t>
            </w:r>
          </w:p>
        </w:tc>
      </w:tr>
      <w:tr w:rsidR="00745A67">
        <w:tc>
          <w:tcPr>
            <w:tcW w:w="1400" w:type="pct"/>
            <w:shd w:val="clear" w:color="auto" w:fill="BCDFFB"/>
            <w:vAlign w:val="center"/>
          </w:tcPr>
          <w:p w:rsidR="00745A67" w:rsidRDefault="00A635D2">
            <w:pPr>
              <w:spacing w:after="0" w:line="240" w:lineRule="auto"/>
              <w:jc w:val="center"/>
            </w:pPr>
            <w:r>
              <w:rPr>
                <w:rFonts w:ascii="Times New Roman" w:hAnsi="Times New Roman" w:cs="Times New Roman"/>
                <w:sz w:val="14"/>
              </w:rPr>
              <w:t>1</w:t>
            </w:r>
          </w:p>
        </w:tc>
        <w:tc>
          <w:tcPr>
            <w:tcW w:w="800" w:type="pct"/>
            <w:shd w:val="clear" w:color="auto" w:fill="BCDFFB"/>
            <w:vAlign w:val="center"/>
          </w:tcPr>
          <w:p w:rsidR="00745A67" w:rsidRDefault="00A635D2">
            <w:pPr>
              <w:spacing w:after="0" w:line="240" w:lineRule="auto"/>
              <w:jc w:val="center"/>
            </w:pPr>
            <w:r>
              <w:rPr>
                <w:rFonts w:ascii="Times New Roman" w:hAnsi="Times New Roman" w:cs="Times New Roman"/>
                <w:sz w:val="14"/>
              </w:rPr>
              <w:t>2</w:t>
            </w:r>
          </w:p>
        </w:tc>
        <w:tc>
          <w:tcPr>
            <w:tcW w:w="800" w:type="pct"/>
            <w:shd w:val="clear" w:color="auto" w:fill="BCDFFB"/>
            <w:vAlign w:val="center"/>
          </w:tcPr>
          <w:p w:rsidR="00745A67" w:rsidRDefault="00A635D2">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745A67" w:rsidRDefault="00A635D2">
            <w:pPr>
              <w:spacing w:after="0" w:line="240" w:lineRule="auto"/>
              <w:jc w:val="center"/>
            </w:pPr>
            <w:r>
              <w:rPr>
                <w:rFonts w:ascii="Times New Roman" w:hAnsi="Times New Roman" w:cs="Times New Roman"/>
                <w:sz w:val="14"/>
              </w:rPr>
              <w:t>4</w:t>
            </w:r>
          </w:p>
        </w:tc>
        <w:tc>
          <w:tcPr>
            <w:tcW w:w="500" w:type="pct"/>
            <w:shd w:val="clear" w:color="auto" w:fill="BCDFFB"/>
            <w:vAlign w:val="center"/>
          </w:tcPr>
          <w:p w:rsidR="00745A67" w:rsidRDefault="00A635D2">
            <w:pPr>
              <w:spacing w:after="0" w:line="240" w:lineRule="auto"/>
              <w:jc w:val="center"/>
            </w:pPr>
            <w:r>
              <w:rPr>
                <w:rFonts w:ascii="Times New Roman" w:hAnsi="Times New Roman" w:cs="Times New Roman"/>
                <w:sz w:val="14"/>
              </w:rPr>
              <w:t>5=4/2</w:t>
            </w:r>
          </w:p>
        </w:tc>
        <w:tc>
          <w:tcPr>
            <w:tcW w:w="500" w:type="pct"/>
            <w:shd w:val="clear" w:color="auto" w:fill="BCDFFB"/>
            <w:vAlign w:val="center"/>
          </w:tcPr>
          <w:p w:rsidR="00745A67" w:rsidRDefault="00A635D2">
            <w:pPr>
              <w:spacing w:after="0" w:line="240" w:lineRule="auto"/>
              <w:jc w:val="center"/>
            </w:pPr>
            <w:r>
              <w:rPr>
                <w:rFonts w:ascii="Times New Roman" w:hAnsi="Times New Roman" w:cs="Times New Roman"/>
                <w:sz w:val="14"/>
              </w:rPr>
              <w:t>6=4/3</w:t>
            </w:r>
          </w:p>
        </w:tc>
      </w:tr>
      <w:tr w:rsidR="00745A67">
        <w:tc>
          <w:tcPr>
            <w:tcW w:w="1400" w:type="pct"/>
            <w:vAlign w:val="bottom"/>
          </w:tcPr>
          <w:p w:rsidR="00745A67" w:rsidRDefault="00A635D2">
            <w:pPr>
              <w:spacing w:after="0" w:line="240" w:lineRule="auto"/>
            </w:pPr>
            <w:r>
              <w:rPr>
                <w:rFonts w:ascii="Times New Roman" w:hAnsi="Times New Roman" w:cs="Times New Roman"/>
                <w:sz w:val="18"/>
              </w:rPr>
              <w:t>6 PRIHODI POSLOVANJA</w:t>
            </w:r>
          </w:p>
        </w:tc>
        <w:tc>
          <w:tcPr>
            <w:tcW w:w="800" w:type="pct"/>
            <w:vAlign w:val="bottom"/>
          </w:tcPr>
          <w:p w:rsidR="00745A67" w:rsidRDefault="00A635D2">
            <w:pPr>
              <w:spacing w:after="0" w:line="240" w:lineRule="auto"/>
              <w:jc w:val="right"/>
            </w:pPr>
            <w:r>
              <w:rPr>
                <w:rFonts w:ascii="Times New Roman" w:hAnsi="Times New Roman" w:cs="Times New Roman"/>
                <w:sz w:val="18"/>
              </w:rPr>
              <w:t>224.090.153</w:t>
            </w:r>
          </w:p>
        </w:tc>
        <w:tc>
          <w:tcPr>
            <w:tcW w:w="800" w:type="pct"/>
            <w:vAlign w:val="bottom"/>
          </w:tcPr>
          <w:p w:rsidR="00745A67" w:rsidRDefault="00A635D2">
            <w:pPr>
              <w:spacing w:after="0" w:line="240" w:lineRule="auto"/>
              <w:jc w:val="right"/>
            </w:pPr>
            <w:r>
              <w:rPr>
                <w:rFonts w:ascii="Times New Roman" w:hAnsi="Times New Roman" w:cs="Times New Roman"/>
                <w:sz w:val="18"/>
              </w:rPr>
              <w:t>338.408.214</w:t>
            </w:r>
          </w:p>
        </w:tc>
        <w:tc>
          <w:tcPr>
            <w:tcW w:w="800" w:type="pct"/>
            <w:vAlign w:val="bottom"/>
          </w:tcPr>
          <w:p w:rsidR="00745A67" w:rsidRDefault="00A635D2">
            <w:pPr>
              <w:spacing w:after="0" w:line="240" w:lineRule="auto"/>
              <w:jc w:val="right"/>
            </w:pPr>
            <w:r>
              <w:rPr>
                <w:rFonts w:ascii="Times New Roman" w:hAnsi="Times New Roman" w:cs="Times New Roman"/>
                <w:sz w:val="18"/>
              </w:rPr>
              <w:t>237.447.592</w:t>
            </w:r>
          </w:p>
        </w:tc>
        <w:tc>
          <w:tcPr>
            <w:tcW w:w="500" w:type="pct"/>
            <w:vAlign w:val="bottom"/>
          </w:tcPr>
          <w:p w:rsidR="00745A67" w:rsidRDefault="00A635D2">
            <w:pPr>
              <w:spacing w:after="0" w:line="240" w:lineRule="auto"/>
              <w:jc w:val="right"/>
            </w:pPr>
            <w:r>
              <w:rPr>
                <w:rFonts w:ascii="Times New Roman" w:hAnsi="Times New Roman" w:cs="Times New Roman"/>
                <w:sz w:val="18"/>
              </w:rPr>
              <w:t>106,0</w:t>
            </w:r>
          </w:p>
        </w:tc>
        <w:tc>
          <w:tcPr>
            <w:tcW w:w="500" w:type="pct"/>
            <w:vAlign w:val="bottom"/>
          </w:tcPr>
          <w:p w:rsidR="00745A67" w:rsidRDefault="00A635D2">
            <w:pPr>
              <w:spacing w:after="0" w:line="240" w:lineRule="auto"/>
              <w:jc w:val="right"/>
            </w:pPr>
            <w:r>
              <w:rPr>
                <w:rFonts w:ascii="Times New Roman" w:hAnsi="Times New Roman" w:cs="Times New Roman"/>
                <w:sz w:val="18"/>
              </w:rPr>
              <w:t>70,2</w:t>
            </w:r>
          </w:p>
        </w:tc>
      </w:tr>
      <w:tr w:rsidR="00745A67">
        <w:tc>
          <w:tcPr>
            <w:tcW w:w="1400" w:type="pct"/>
            <w:vAlign w:val="bottom"/>
          </w:tcPr>
          <w:p w:rsidR="00745A67" w:rsidRDefault="00A635D2">
            <w:pPr>
              <w:spacing w:after="0" w:line="240" w:lineRule="auto"/>
            </w:pPr>
            <w:r>
              <w:rPr>
                <w:rFonts w:ascii="Times New Roman" w:hAnsi="Times New Roman" w:cs="Times New Roman"/>
                <w:sz w:val="18"/>
              </w:rPr>
              <w:t>7 PRIHODI OD PRODAJE NEFINANCIJSKE IMOVINE</w:t>
            </w:r>
          </w:p>
        </w:tc>
        <w:tc>
          <w:tcPr>
            <w:tcW w:w="800" w:type="pct"/>
            <w:vAlign w:val="bottom"/>
          </w:tcPr>
          <w:p w:rsidR="00745A67" w:rsidRDefault="00A635D2">
            <w:pPr>
              <w:spacing w:after="0" w:line="240" w:lineRule="auto"/>
              <w:jc w:val="right"/>
            </w:pPr>
            <w:r>
              <w:rPr>
                <w:rFonts w:ascii="Times New Roman" w:hAnsi="Times New Roman" w:cs="Times New Roman"/>
                <w:sz w:val="18"/>
              </w:rPr>
              <w:t>13.967</w:t>
            </w:r>
          </w:p>
        </w:tc>
        <w:tc>
          <w:tcPr>
            <w:tcW w:w="800" w:type="pct"/>
            <w:vAlign w:val="bottom"/>
          </w:tcPr>
          <w:p w:rsidR="00745A67" w:rsidRDefault="00A635D2">
            <w:pPr>
              <w:spacing w:after="0" w:line="240" w:lineRule="auto"/>
              <w:jc w:val="right"/>
            </w:pPr>
            <w:r>
              <w:rPr>
                <w:rFonts w:ascii="Times New Roman" w:hAnsi="Times New Roman" w:cs="Times New Roman"/>
                <w:sz w:val="18"/>
              </w:rPr>
              <w:t>60.000</w:t>
            </w:r>
          </w:p>
        </w:tc>
        <w:tc>
          <w:tcPr>
            <w:tcW w:w="800" w:type="pct"/>
            <w:vAlign w:val="bottom"/>
          </w:tcPr>
          <w:p w:rsidR="00745A67" w:rsidRDefault="00A635D2">
            <w:pPr>
              <w:spacing w:after="0" w:line="240" w:lineRule="auto"/>
              <w:jc w:val="right"/>
            </w:pPr>
            <w:r>
              <w:rPr>
                <w:rFonts w:ascii="Times New Roman" w:hAnsi="Times New Roman" w:cs="Times New Roman"/>
                <w:sz w:val="18"/>
              </w:rPr>
              <w:t>11.274</w:t>
            </w:r>
          </w:p>
        </w:tc>
        <w:tc>
          <w:tcPr>
            <w:tcW w:w="500" w:type="pct"/>
            <w:vAlign w:val="bottom"/>
          </w:tcPr>
          <w:p w:rsidR="00745A67" w:rsidRDefault="00A635D2">
            <w:pPr>
              <w:spacing w:after="0" w:line="240" w:lineRule="auto"/>
              <w:jc w:val="right"/>
            </w:pPr>
            <w:r>
              <w:rPr>
                <w:rFonts w:ascii="Times New Roman" w:hAnsi="Times New Roman" w:cs="Times New Roman"/>
                <w:sz w:val="18"/>
              </w:rPr>
              <w:t>80,7</w:t>
            </w:r>
          </w:p>
        </w:tc>
        <w:tc>
          <w:tcPr>
            <w:tcW w:w="500" w:type="pct"/>
            <w:vAlign w:val="bottom"/>
          </w:tcPr>
          <w:p w:rsidR="00745A67" w:rsidRDefault="00A635D2">
            <w:pPr>
              <w:spacing w:after="0" w:line="240" w:lineRule="auto"/>
              <w:jc w:val="right"/>
            </w:pPr>
            <w:r>
              <w:rPr>
                <w:rFonts w:ascii="Times New Roman" w:hAnsi="Times New Roman" w:cs="Times New Roman"/>
                <w:sz w:val="18"/>
              </w:rPr>
              <w:t>18,8</w:t>
            </w:r>
          </w:p>
        </w:tc>
      </w:tr>
      <w:tr w:rsidR="00745A67">
        <w:tc>
          <w:tcPr>
            <w:tcW w:w="1400" w:type="pct"/>
            <w:vAlign w:val="bottom"/>
          </w:tcPr>
          <w:p w:rsidR="00745A67" w:rsidRDefault="00A635D2">
            <w:pPr>
              <w:spacing w:after="0" w:line="240" w:lineRule="auto"/>
            </w:pPr>
            <w:r>
              <w:rPr>
                <w:rFonts w:ascii="Times New Roman" w:hAnsi="Times New Roman" w:cs="Times New Roman"/>
                <w:b/>
                <w:sz w:val="18"/>
              </w:rPr>
              <w:t>UKUPNI PRIHODI</w:t>
            </w:r>
          </w:p>
        </w:tc>
        <w:tc>
          <w:tcPr>
            <w:tcW w:w="800" w:type="pct"/>
            <w:vAlign w:val="bottom"/>
          </w:tcPr>
          <w:p w:rsidR="00745A67" w:rsidRDefault="00A635D2">
            <w:pPr>
              <w:spacing w:after="0" w:line="240" w:lineRule="auto"/>
              <w:jc w:val="right"/>
            </w:pPr>
            <w:r>
              <w:rPr>
                <w:rFonts w:ascii="Times New Roman" w:hAnsi="Times New Roman" w:cs="Times New Roman"/>
                <w:b/>
                <w:sz w:val="18"/>
              </w:rPr>
              <w:t>224.104.120</w:t>
            </w:r>
          </w:p>
        </w:tc>
        <w:tc>
          <w:tcPr>
            <w:tcW w:w="800" w:type="pct"/>
            <w:vAlign w:val="bottom"/>
          </w:tcPr>
          <w:p w:rsidR="00745A67" w:rsidRDefault="00A635D2">
            <w:pPr>
              <w:spacing w:after="0" w:line="240" w:lineRule="auto"/>
              <w:jc w:val="right"/>
            </w:pPr>
            <w:r>
              <w:rPr>
                <w:rFonts w:ascii="Times New Roman" w:hAnsi="Times New Roman" w:cs="Times New Roman"/>
                <w:b/>
                <w:sz w:val="18"/>
              </w:rPr>
              <w:t>338.468.214</w:t>
            </w:r>
          </w:p>
        </w:tc>
        <w:tc>
          <w:tcPr>
            <w:tcW w:w="800" w:type="pct"/>
            <w:vAlign w:val="bottom"/>
          </w:tcPr>
          <w:p w:rsidR="00745A67" w:rsidRDefault="00A635D2">
            <w:pPr>
              <w:spacing w:after="0" w:line="240" w:lineRule="auto"/>
              <w:jc w:val="right"/>
            </w:pPr>
            <w:r>
              <w:rPr>
                <w:rFonts w:ascii="Times New Roman" w:hAnsi="Times New Roman" w:cs="Times New Roman"/>
                <w:b/>
                <w:sz w:val="18"/>
              </w:rPr>
              <w:t>237.458.867</w:t>
            </w:r>
          </w:p>
        </w:tc>
        <w:tc>
          <w:tcPr>
            <w:tcW w:w="500" w:type="pct"/>
            <w:vAlign w:val="bottom"/>
          </w:tcPr>
          <w:p w:rsidR="00745A67" w:rsidRDefault="00A635D2">
            <w:pPr>
              <w:spacing w:after="0" w:line="240" w:lineRule="auto"/>
              <w:jc w:val="right"/>
            </w:pPr>
            <w:r>
              <w:rPr>
                <w:rFonts w:ascii="Times New Roman" w:hAnsi="Times New Roman" w:cs="Times New Roman"/>
                <w:b/>
                <w:sz w:val="18"/>
              </w:rPr>
              <w:t>106,0</w:t>
            </w:r>
          </w:p>
        </w:tc>
        <w:tc>
          <w:tcPr>
            <w:tcW w:w="500" w:type="pct"/>
            <w:vAlign w:val="bottom"/>
          </w:tcPr>
          <w:p w:rsidR="00745A67" w:rsidRDefault="00A635D2">
            <w:pPr>
              <w:spacing w:after="0" w:line="240" w:lineRule="auto"/>
              <w:jc w:val="right"/>
            </w:pPr>
            <w:r>
              <w:rPr>
                <w:rFonts w:ascii="Times New Roman" w:hAnsi="Times New Roman" w:cs="Times New Roman"/>
                <w:b/>
                <w:sz w:val="18"/>
              </w:rPr>
              <w:t>70,2</w:t>
            </w:r>
          </w:p>
        </w:tc>
      </w:tr>
    </w:tbl>
    <w:p w:rsidR="00745A67" w:rsidRDefault="00745A67">
      <w:pPr>
        <w:spacing w:after="0" w:line="240" w:lineRule="auto"/>
      </w:pPr>
    </w:p>
    <w:p w:rsidR="00745A67" w:rsidRDefault="00A635D2">
      <w:pPr>
        <w:spacing w:line="240" w:lineRule="auto"/>
        <w:jc w:val="both"/>
      </w:pPr>
      <w:r>
        <w:rPr>
          <w:rFonts w:ascii="Times New Roman" w:hAnsi="Times New Roman" w:cs="Times New Roman"/>
          <w:sz w:val="24"/>
        </w:rPr>
        <w:t xml:space="preserve">Ukupni prihodi Društva u prvoj polovici 2023. godine ostvareni su u iznosu od 237,46 milijuna eura, odnosno na razini od 70,16% plana. U odnosu na isto razdoblje godine ranije zabilježili su rast od 5,96%. Ukupne prihode Društva čine prihodi poslovanja i prihodi od nefinancijske imovine. </w:t>
      </w:r>
    </w:p>
    <w:p w:rsidR="00745A67" w:rsidRDefault="00A635D2">
      <w:pPr>
        <w:spacing w:line="240" w:lineRule="auto"/>
        <w:jc w:val="both"/>
      </w:pPr>
      <w:r>
        <w:rPr>
          <w:rFonts w:ascii="Times New Roman" w:hAnsi="Times New Roman" w:cs="Times New Roman"/>
          <w:sz w:val="24"/>
        </w:rPr>
        <w:t>Prihodi poslovanja zabilježili su međugodišnji rast od 5,96% te u promatranom razdoblju  2023. iznose 237,45 milijuna eura. Najveći udio u tom iznosu odnosi se na pomoći proračunu iz drugih proračuna i izvanproračunskim korisnicima (213,68 milijuna eura). Navedeni prihod sastoji se u najvećem dijelu od prihoda iz naknade za financiranje građenja i održavanja javnih cesta u iznosu od 211,17 milijuna eura te od kapitalne pomoći iz proračuna (nacionalna komponenta za sufinanciranje EU projekata) u iznosu od 2,50 milijuna eura.</w:t>
      </w:r>
    </w:p>
    <w:p w:rsidR="00745A67" w:rsidRDefault="00A635D2">
      <w:pPr>
        <w:spacing w:line="240" w:lineRule="auto"/>
        <w:jc w:val="both"/>
      </w:pPr>
      <w:r>
        <w:rPr>
          <w:rFonts w:ascii="Times New Roman" w:hAnsi="Times New Roman" w:cs="Times New Roman"/>
          <w:sz w:val="24"/>
        </w:rPr>
        <w:t>Od ostalih značajnijih prihoda, valja spomenuti pomoći temeljem prijenosa EU sredstava koje su ostvarene u iznosu od 18,26 milijuna eura i odnose se na projekte: Izgradnja DC403 od Čvora Škurinje do Luke Rijeka, Cestovna Povezanost s Južnom Dalmacijom, Sanacija šteta na potresom pogođenim područjima, Srijemska Granična Transverzala - Dionica Ilok – Lipovac, izgradnja obilaznice Apševaca i Lipovca, Sanacija opasnih mjesta na državnim cestama.</w:t>
      </w:r>
    </w:p>
    <w:p w:rsidR="00745A67" w:rsidRDefault="00A635D2">
      <w:pPr>
        <w:spacing w:line="360" w:lineRule="auto"/>
      </w:pPr>
      <w:bookmarkStart w:id="0" w:name="_GoBack"/>
      <w:bookmarkEnd w:id="0"/>
      <w:r>
        <w:rPr>
          <w:rFonts w:ascii="Times New Roman" w:hAnsi="Times New Roman" w:cs="Times New Roman"/>
          <w:b/>
          <w:sz w:val="24"/>
          <w:u w:val="single"/>
        </w:rPr>
        <w:lastRenderedPageBreak/>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2624"/>
        <w:gridCol w:w="1499"/>
        <w:gridCol w:w="1499"/>
        <w:gridCol w:w="1498"/>
        <w:gridCol w:w="937"/>
        <w:gridCol w:w="937"/>
      </w:tblGrid>
      <w:tr w:rsidR="00745A67">
        <w:tc>
          <w:tcPr>
            <w:tcW w:w="1400" w:type="pct"/>
            <w:shd w:val="clear" w:color="auto" w:fill="BCDFFB"/>
            <w:vAlign w:val="center"/>
          </w:tcPr>
          <w:p w:rsidR="00745A67" w:rsidRDefault="00A635D2">
            <w:pPr>
              <w:spacing w:after="0" w:line="240" w:lineRule="auto"/>
              <w:jc w:val="center"/>
            </w:pPr>
            <w:r>
              <w:rPr>
                <w:rFonts w:ascii="Times New Roman" w:hAnsi="Times New Roman" w:cs="Times New Roman"/>
                <w:b/>
                <w:sz w:val="18"/>
              </w:rPr>
              <w:t>BROJČANA OZNAKA I NAZIV</w:t>
            </w:r>
          </w:p>
        </w:tc>
        <w:tc>
          <w:tcPr>
            <w:tcW w:w="800" w:type="pct"/>
            <w:shd w:val="clear" w:color="auto" w:fill="BCDFFB"/>
            <w:vAlign w:val="center"/>
          </w:tcPr>
          <w:p w:rsidR="00745A67" w:rsidRDefault="00A635D2">
            <w:pPr>
              <w:spacing w:after="0" w:line="240" w:lineRule="auto"/>
              <w:jc w:val="center"/>
            </w:pPr>
            <w:r>
              <w:rPr>
                <w:rFonts w:ascii="Times New Roman" w:hAnsi="Times New Roman" w:cs="Times New Roman"/>
                <w:b/>
                <w:sz w:val="18"/>
              </w:rPr>
              <w:t>IZVRŠENJE</w:t>
            </w:r>
            <w:r>
              <w:rPr>
                <w:rFonts w:ascii="Times New Roman" w:hAnsi="Times New Roman" w:cs="Times New Roman"/>
                <w:b/>
                <w:sz w:val="18"/>
              </w:rPr>
              <w:br/>
              <w:t>1.-6. 2022.</w:t>
            </w:r>
          </w:p>
        </w:tc>
        <w:tc>
          <w:tcPr>
            <w:tcW w:w="800" w:type="pct"/>
            <w:shd w:val="clear" w:color="auto" w:fill="BCDFFB"/>
            <w:vAlign w:val="center"/>
          </w:tcPr>
          <w:p w:rsidR="00745A67" w:rsidRDefault="00B50B64">
            <w:pPr>
              <w:spacing w:after="0" w:line="240" w:lineRule="auto"/>
              <w:jc w:val="center"/>
            </w:pPr>
            <w:r>
              <w:rPr>
                <w:rFonts w:ascii="Times New Roman" w:hAnsi="Times New Roman" w:cs="Times New Roman"/>
                <w:b/>
                <w:sz w:val="18"/>
              </w:rPr>
              <w:t>REBALANS</w:t>
            </w:r>
            <w:r w:rsidR="00A635D2">
              <w:rPr>
                <w:rFonts w:ascii="Times New Roman" w:hAnsi="Times New Roman" w:cs="Times New Roman"/>
                <w:b/>
                <w:sz w:val="18"/>
              </w:rPr>
              <w:br/>
              <w:t>2023.</w:t>
            </w:r>
          </w:p>
        </w:tc>
        <w:tc>
          <w:tcPr>
            <w:tcW w:w="800" w:type="pct"/>
            <w:shd w:val="clear" w:color="auto" w:fill="BCDFFB"/>
            <w:vAlign w:val="center"/>
          </w:tcPr>
          <w:p w:rsidR="00745A67" w:rsidRDefault="00A635D2">
            <w:pPr>
              <w:spacing w:after="0" w:line="240" w:lineRule="auto"/>
              <w:jc w:val="center"/>
            </w:pPr>
            <w:r>
              <w:rPr>
                <w:rFonts w:ascii="Times New Roman" w:hAnsi="Times New Roman" w:cs="Times New Roman"/>
                <w:b/>
                <w:sz w:val="18"/>
              </w:rPr>
              <w:t>IZVRŠENJE</w:t>
            </w:r>
            <w:r>
              <w:rPr>
                <w:rFonts w:ascii="Times New Roman" w:hAnsi="Times New Roman" w:cs="Times New Roman"/>
                <w:b/>
                <w:sz w:val="18"/>
              </w:rPr>
              <w:br/>
              <w:t>1.-6. 2023.</w:t>
            </w:r>
          </w:p>
        </w:tc>
        <w:tc>
          <w:tcPr>
            <w:tcW w:w="500" w:type="pct"/>
            <w:shd w:val="clear" w:color="auto" w:fill="BCDFFB"/>
            <w:vAlign w:val="center"/>
          </w:tcPr>
          <w:p w:rsidR="00745A67" w:rsidRDefault="00A635D2">
            <w:pPr>
              <w:spacing w:after="0" w:line="240" w:lineRule="auto"/>
              <w:jc w:val="center"/>
            </w:pPr>
            <w:r>
              <w:rPr>
                <w:rFonts w:ascii="Times New Roman" w:hAnsi="Times New Roman" w:cs="Times New Roman"/>
                <w:b/>
                <w:sz w:val="18"/>
              </w:rPr>
              <w:t>INDEKS</w:t>
            </w:r>
          </w:p>
        </w:tc>
        <w:tc>
          <w:tcPr>
            <w:tcW w:w="500" w:type="pct"/>
            <w:shd w:val="clear" w:color="auto" w:fill="BCDFFB"/>
            <w:vAlign w:val="center"/>
          </w:tcPr>
          <w:p w:rsidR="00745A67" w:rsidRDefault="00A635D2">
            <w:pPr>
              <w:spacing w:after="0" w:line="240" w:lineRule="auto"/>
              <w:jc w:val="center"/>
            </w:pPr>
            <w:r>
              <w:rPr>
                <w:rFonts w:ascii="Times New Roman" w:hAnsi="Times New Roman" w:cs="Times New Roman"/>
                <w:b/>
                <w:sz w:val="18"/>
              </w:rPr>
              <w:t>INDEKS</w:t>
            </w:r>
          </w:p>
        </w:tc>
      </w:tr>
      <w:tr w:rsidR="00745A67">
        <w:tc>
          <w:tcPr>
            <w:tcW w:w="1400" w:type="pct"/>
            <w:shd w:val="clear" w:color="auto" w:fill="BCDFFB"/>
            <w:vAlign w:val="center"/>
          </w:tcPr>
          <w:p w:rsidR="00745A67" w:rsidRDefault="00A635D2">
            <w:pPr>
              <w:spacing w:after="0" w:line="240" w:lineRule="auto"/>
              <w:jc w:val="center"/>
            </w:pPr>
            <w:r>
              <w:rPr>
                <w:rFonts w:ascii="Times New Roman" w:hAnsi="Times New Roman" w:cs="Times New Roman"/>
                <w:sz w:val="14"/>
              </w:rPr>
              <w:t>1</w:t>
            </w:r>
          </w:p>
        </w:tc>
        <w:tc>
          <w:tcPr>
            <w:tcW w:w="800" w:type="pct"/>
            <w:shd w:val="clear" w:color="auto" w:fill="BCDFFB"/>
            <w:vAlign w:val="center"/>
          </w:tcPr>
          <w:p w:rsidR="00745A67" w:rsidRDefault="00A635D2">
            <w:pPr>
              <w:spacing w:after="0" w:line="240" w:lineRule="auto"/>
              <w:jc w:val="center"/>
            </w:pPr>
            <w:r>
              <w:rPr>
                <w:rFonts w:ascii="Times New Roman" w:hAnsi="Times New Roman" w:cs="Times New Roman"/>
                <w:sz w:val="14"/>
              </w:rPr>
              <w:t>2</w:t>
            </w:r>
          </w:p>
        </w:tc>
        <w:tc>
          <w:tcPr>
            <w:tcW w:w="800" w:type="pct"/>
            <w:shd w:val="clear" w:color="auto" w:fill="BCDFFB"/>
            <w:vAlign w:val="center"/>
          </w:tcPr>
          <w:p w:rsidR="00745A67" w:rsidRDefault="00A635D2">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745A67" w:rsidRDefault="00A635D2">
            <w:pPr>
              <w:spacing w:after="0" w:line="240" w:lineRule="auto"/>
              <w:jc w:val="center"/>
            </w:pPr>
            <w:r>
              <w:rPr>
                <w:rFonts w:ascii="Times New Roman" w:hAnsi="Times New Roman" w:cs="Times New Roman"/>
                <w:sz w:val="14"/>
              </w:rPr>
              <w:t>4</w:t>
            </w:r>
          </w:p>
        </w:tc>
        <w:tc>
          <w:tcPr>
            <w:tcW w:w="500" w:type="pct"/>
            <w:shd w:val="clear" w:color="auto" w:fill="BCDFFB"/>
            <w:vAlign w:val="center"/>
          </w:tcPr>
          <w:p w:rsidR="00745A67" w:rsidRDefault="00A635D2">
            <w:pPr>
              <w:spacing w:after="0" w:line="240" w:lineRule="auto"/>
              <w:jc w:val="center"/>
            </w:pPr>
            <w:r>
              <w:rPr>
                <w:rFonts w:ascii="Times New Roman" w:hAnsi="Times New Roman" w:cs="Times New Roman"/>
                <w:sz w:val="14"/>
              </w:rPr>
              <w:t>5=4/2</w:t>
            </w:r>
          </w:p>
        </w:tc>
        <w:tc>
          <w:tcPr>
            <w:tcW w:w="500" w:type="pct"/>
            <w:shd w:val="clear" w:color="auto" w:fill="BCDFFB"/>
            <w:vAlign w:val="center"/>
          </w:tcPr>
          <w:p w:rsidR="00745A67" w:rsidRDefault="00A635D2">
            <w:pPr>
              <w:spacing w:after="0" w:line="240" w:lineRule="auto"/>
              <w:jc w:val="center"/>
            </w:pPr>
            <w:r>
              <w:rPr>
                <w:rFonts w:ascii="Times New Roman" w:hAnsi="Times New Roman" w:cs="Times New Roman"/>
                <w:sz w:val="14"/>
              </w:rPr>
              <w:t>6=4/3</w:t>
            </w:r>
          </w:p>
        </w:tc>
      </w:tr>
      <w:tr w:rsidR="00745A67">
        <w:tc>
          <w:tcPr>
            <w:tcW w:w="1400" w:type="pct"/>
            <w:vAlign w:val="center"/>
          </w:tcPr>
          <w:p w:rsidR="00745A67" w:rsidRDefault="00A635D2">
            <w:pPr>
              <w:spacing w:after="0" w:line="240" w:lineRule="auto"/>
            </w:pPr>
            <w:r>
              <w:rPr>
                <w:rFonts w:ascii="Times New Roman" w:hAnsi="Times New Roman" w:cs="Times New Roman"/>
                <w:sz w:val="18"/>
              </w:rPr>
              <w:t>3 RASHODI POSLOVANJA</w:t>
            </w:r>
          </w:p>
        </w:tc>
        <w:tc>
          <w:tcPr>
            <w:tcW w:w="800" w:type="pct"/>
            <w:vAlign w:val="bottom"/>
          </w:tcPr>
          <w:p w:rsidR="00745A67" w:rsidRDefault="00A635D2">
            <w:pPr>
              <w:spacing w:after="0" w:line="240" w:lineRule="auto"/>
              <w:jc w:val="right"/>
            </w:pPr>
            <w:r>
              <w:rPr>
                <w:rFonts w:ascii="Times New Roman" w:hAnsi="Times New Roman" w:cs="Times New Roman"/>
                <w:sz w:val="18"/>
              </w:rPr>
              <w:t>73.859.046</w:t>
            </w:r>
          </w:p>
        </w:tc>
        <w:tc>
          <w:tcPr>
            <w:tcW w:w="800" w:type="pct"/>
            <w:vAlign w:val="bottom"/>
          </w:tcPr>
          <w:p w:rsidR="00745A67" w:rsidRDefault="00A635D2">
            <w:pPr>
              <w:spacing w:after="0" w:line="240" w:lineRule="auto"/>
              <w:jc w:val="right"/>
            </w:pPr>
            <w:r>
              <w:rPr>
                <w:rFonts w:ascii="Times New Roman" w:hAnsi="Times New Roman" w:cs="Times New Roman"/>
                <w:sz w:val="18"/>
              </w:rPr>
              <w:t>179.104.268</w:t>
            </w:r>
          </w:p>
        </w:tc>
        <w:tc>
          <w:tcPr>
            <w:tcW w:w="800" w:type="pct"/>
            <w:vAlign w:val="bottom"/>
          </w:tcPr>
          <w:p w:rsidR="00745A67" w:rsidRDefault="00A635D2">
            <w:pPr>
              <w:spacing w:after="0" w:line="240" w:lineRule="auto"/>
              <w:jc w:val="right"/>
            </w:pPr>
            <w:r>
              <w:rPr>
                <w:rFonts w:ascii="Times New Roman" w:hAnsi="Times New Roman" w:cs="Times New Roman"/>
                <w:sz w:val="18"/>
              </w:rPr>
              <w:t>86.045.894</w:t>
            </w:r>
          </w:p>
        </w:tc>
        <w:tc>
          <w:tcPr>
            <w:tcW w:w="500" w:type="pct"/>
            <w:vAlign w:val="bottom"/>
          </w:tcPr>
          <w:p w:rsidR="00745A67" w:rsidRDefault="00A635D2">
            <w:pPr>
              <w:spacing w:after="0" w:line="240" w:lineRule="auto"/>
              <w:jc w:val="right"/>
            </w:pPr>
            <w:r>
              <w:rPr>
                <w:rFonts w:ascii="Times New Roman" w:hAnsi="Times New Roman" w:cs="Times New Roman"/>
                <w:sz w:val="18"/>
              </w:rPr>
              <w:t>116,5</w:t>
            </w:r>
          </w:p>
        </w:tc>
        <w:tc>
          <w:tcPr>
            <w:tcW w:w="500" w:type="pct"/>
            <w:vAlign w:val="bottom"/>
          </w:tcPr>
          <w:p w:rsidR="00745A67" w:rsidRDefault="00A635D2">
            <w:pPr>
              <w:spacing w:after="0" w:line="240" w:lineRule="auto"/>
              <w:jc w:val="right"/>
            </w:pPr>
            <w:r>
              <w:rPr>
                <w:rFonts w:ascii="Times New Roman" w:hAnsi="Times New Roman" w:cs="Times New Roman"/>
                <w:sz w:val="18"/>
              </w:rPr>
              <w:t>48,0</w:t>
            </w:r>
          </w:p>
        </w:tc>
      </w:tr>
      <w:tr w:rsidR="00745A67">
        <w:tc>
          <w:tcPr>
            <w:tcW w:w="1400" w:type="pct"/>
            <w:vAlign w:val="bottom"/>
          </w:tcPr>
          <w:p w:rsidR="00745A67" w:rsidRDefault="00A635D2">
            <w:pPr>
              <w:spacing w:after="0" w:line="240" w:lineRule="auto"/>
            </w:pPr>
            <w:r>
              <w:rPr>
                <w:rFonts w:ascii="Times New Roman" w:hAnsi="Times New Roman" w:cs="Times New Roman"/>
                <w:sz w:val="18"/>
              </w:rPr>
              <w:t>4 RASHODI ZA NABAVU NEFINANCIJSKE IMOVINE</w:t>
            </w:r>
          </w:p>
        </w:tc>
        <w:tc>
          <w:tcPr>
            <w:tcW w:w="800" w:type="pct"/>
            <w:vAlign w:val="bottom"/>
          </w:tcPr>
          <w:p w:rsidR="00745A67" w:rsidRDefault="00A635D2">
            <w:pPr>
              <w:spacing w:after="0" w:line="240" w:lineRule="auto"/>
              <w:jc w:val="right"/>
            </w:pPr>
            <w:r>
              <w:rPr>
                <w:rFonts w:ascii="Times New Roman" w:hAnsi="Times New Roman" w:cs="Times New Roman"/>
                <w:sz w:val="18"/>
              </w:rPr>
              <w:t>142.223.959</w:t>
            </w:r>
          </w:p>
        </w:tc>
        <w:tc>
          <w:tcPr>
            <w:tcW w:w="800" w:type="pct"/>
            <w:vAlign w:val="bottom"/>
          </w:tcPr>
          <w:p w:rsidR="00745A67" w:rsidRDefault="00A635D2">
            <w:pPr>
              <w:spacing w:after="0" w:line="240" w:lineRule="auto"/>
              <w:jc w:val="right"/>
            </w:pPr>
            <w:r>
              <w:rPr>
                <w:rFonts w:ascii="Times New Roman" w:hAnsi="Times New Roman" w:cs="Times New Roman"/>
                <w:sz w:val="18"/>
              </w:rPr>
              <w:t>217.320.097</w:t>
            </w:r>
          </w:p>
        </w:tc>
        <w:tc>
          <w:tcPr>
            <w:tcW w:w="800" w:type="pct"/>
            <w:vAlign w:val="bottom"/>
          </w:tcPr>
          <w:p w:rsidR="00745A67" w:rsidRDefault="00A635D2">
            <w:pPr>
              <w:spacing w:after="0" w:line="240" w:lineRule="auto"/>
              <w:jc w:val="right"/>
            </w:pPr>
            <w:r>
              <w:rPr>
                <w:rFonts w:ascii="Times New Roman" w:hAnsi="Times New Roman" w:cs="Times New Roman"/>
                <w:sz w:val="18"/>
              </w:rPr>
              <w:t>110.310.904</w:t>
            </w:r>
          </w:p>
        </w:tc>
        <w:tc>
          <w:tcPr>
            <w:tcW w:w="500" w:type="pct"/>
            <w:vAlign w:val="bottom"/>
          </w:tcPr>
          <w:p w:rsidR="00745A67" w:rsidRDefault="00A635D2">
            <w:pPr>
              <w:spacing w:after="0" w:line="240" w:lineRule="auto"/>
              <w:jc w:val="right"/>
            </w:pPr>
            <w:r>
              <w:rPr>
                <w:rFonts w:ascii="Times New Roman" w:hAnsi="Times New Roman" w:cs="Times New Roman"/>
                <w:sz w:val="18"/>
              </w:rPr>
              <w:t>77,6</w:t>
            </w:r>
          </w:p>
        </w:tc>
        <w:tc>
          <w:tcPr>
            <w:tcW w:w="500" w:type="pct"/>
            <w:vAlign w:val="bottom"/>
          </w:tcPr>
          <w:p w:rsidR="00745A67" w:rsidRDefault="00A635D2">
            <w:pPr>
              <w:spacing w:after="0" w:line="240" w:lineRule="auto"/>
              <w:jc w:val="right"/>
            </w:pPr>
            <w:r>
              <w:rPr>
                <w:rFonts w:ascii="Times New Roman" w:hAnsi="Times New Roman" w:cs="Times New Roman"/>
                <w:sz w:val="18"/>
              </w:rPr>
              <w:t>50,8</w:t>
            </w:r>
          </w:p>
        </w:tc>
      </w:tr>
      <w:tr w:rsidR="00745A67">
        <w:tc>
          <w:tcPr>
            <w:tcW w:w="1400" w:type="pct"/>
            <w:vAlign w:val="bottom"/>
          </w:tcPr>
          <w:p w:rsidR="00745A67" w:rsidRDefault="00A635D2">
            <w:pPr>
              <w:spacing w:after="0" w:line="240" w:lineRule="auto"/>
            </w:pPr>
            <w:r>
              <w:rPr>
                <w:rFonts w:ascii="Times New Roman" w:hAnsi="Times New Roman" w:cs="Times New Roman"/>
                <w:b/>
                <w:sz w:val="18"/>
              </w:rPr>
              <w:t>UKUPNI RASHODI</w:t>
            </w:r>
          </w:p>
        </w:tc>
        <w:tc>
          <w:tcPr>
            <w:tcW w:w="800" w:type="pct"/>
            <w:vAlign w:val="bottom"/>
          </w:tcPr>
          <w:p w:rsidR="00745A67" w:rsidRDefault="00A635D2">
            <w:pPr>
              <w:spacing w:after="0" w:line="240" w:lineRule="auto"/>
              <w:jc w:val="right"/>
            </w:pPr>
            <w:r>
              <w:rPr>
                <w:rFonts w:ascii="Times New Roman" w:hAnsi="Times New Roman" w:cs="Times New Roman"/>
                <w:b/>
                <w:sz w:val="18"/>
              </w:rPr>
              <w:t>216.083.005</w:t>
            </w:r>
          </w:p>
        </w:tc>
        <w:tc>
          <w:tcPr>
            <w:tcW w:w="800" w:type="pct"/>
            <w:vAlign w:val="bottom"/>
          </w:tcPr>
          <w:p w:rsidR="00745A67" w:rsidRDefault="00A635D2">
            <w:pPr>
              <w:spacing w:after="0" w:line="240" w:lineRule="auto"/>
              <w:jc w:val="right"/>
            </w:pPr>
            <w:r>
              <w:rPr>
                <w:rFonts w:ascii="Times New Roman" w:hAnsi="Times New Roman" w:cs="Times New Roman"/>
                <w:b/>
                <w:sz w:val="18"/>
              </w:rPr>
              <w:t>396.424.365</w:t>
            </w:r>
          </w:p>
        </w:tc>
        <w:tc>
          <w:tcPr>
            <w:tcW w:w="800" w:type="pct"/>
            <w:vAlign w:val="bottom"/>
          </w:tcPr>
          <w:p w:rsidR="00745A67" w:rsidRDefault="00A635D2">
            <w:pPr>
              <w:spacing w:after="0" w:line="240" w:lineRule="auto"/>
              <w:jc w:val="right"/>
            </w:pPr>
            <w:r>
              <w:rPr>
                <w:rFonts w:ascii="Times New Roman" w:hAnsi="Times New Roman" w:cs="Times New Roman"/>
                <w:b/>
                <w:sz w:val="18"/>
              </w:rPr>
              <w:t>196.356.798</w:t>
            </w:r>
          </w:p>
        </w:tc>
        <w:tc>
          <w:tcPr>
            <w:tcW w:w="500" w:type="pct"/>
            <w:vAlign w:val="bottom"/>
          </w:tcPr>
          <w:p w:rsidR="00745A67" w:rsidRDefault="00A635D2">
            <w:pPr>
              <w:spacing w:after="0" w:line="240" w:lineRule="auto"/>
              <w:jc w:val="right"/>
            </w:pPr>
            <w:r>
              <w:rPr>
                <w:rFonts w:ascii="Times New Roman" w:hAnsi="Times New Roman" w:cs="Times New Roman"/>
                <w:b/>
                <w:sz w:val="18"/>
              </w:rPr>
              <w:t>90,9</w:t>
            </w:r>
          </w:p>
        </w:tc>
        <w:tc>
          <w:tcPr>
            <w:tcW w:w="500" w:type="pct"/>
            <w:vAlign w:val="bottom"/>
          </w:tcPr>
          <w:p w:rsidR="00745A67" w:rsidRDefault="00A635D2">
            <w:pPr>
              <w:spacing w:after="0" w:line="240" w:lineRule="auto"/>
              <w:jc w:val="right"/>
            </w:pPr>
            <w:r>
              <w:rPr>
                <w:rFonts w:ascii="Times New Roman" w:hAnsi="Times New Roman" w:cs="Times New Roman"/>
                <w:b/>
                <w:sz w:val="18"/>
              </w:rPr>
              <w:t>49,5</w:t>
            </w:r>
          </w:p>
        </w:tc>
      </w:tr>
    </w:tbl>
    <w:p w:rsidR="00745A67" w:rsidRDefault="00745A67">
      <w:pPr>
        <w:spacing w:after="0" w:line="240" w:lineRule="auto"/>
      </w:pPr>
    </w:p>
    <w:p w:rsidR="00745A67" w:rsidRDefault="00A635D2">
      <w:pPr>
        <w:spacing w:line="240" w:lineRule="auto"/>
        <w:jc w:val="both"/>
      </w:pPr>
      <w:r>
        <w:rPr>
          <w:rFonts w:ascii="Times New Roman" w:hAnsi="Times New Roman" w:cs="Times New Roman"/>
          <w:sz w:val="24"/>
        </w:rPr>
        <w:t>Ukupni rashodi Društva planirani su za 2023. godinu na razini od 396,42 milijuna eura. Ukupno izvršeni rashodi u prvih šest mjeseci 2023. godine iznose</w:t>
      </w:r>
      <w:r>
        <w:rPr>
          <w:rFonts w:ascii="Times New Roman" w:hAnsi="Times New Roman" w:cs="Times New Roman"/>
          <w:color w:val="FF0000"/>
          <w:sz w:val="24"/>
        </w:rPr>
        <w:t xml:space="preserve"> </w:t>
      </w:r>
      <w:r>
        <w:rPr>
          <w:rFonts w:ascii="Times New Roman" w:hAnsi="Times New Roman" w:cs="Times New Roman"/>
          <w:sz w:val="24"/>
        </w:rPr>
        <w:t>196,36 milijuna eura što je</w:t>
      </w:r>
      <w:r>
        <w:rPr>
          <w:rFonts w:ascii="Times New Roman" w:hAnsi="Times New Roman" w:cs="Times New Roman"/>
          <w:color w:val="FF0000"/>
          <w:sz w:val="24"/>
        </w:rPr>
        <w:t xml:space="preserve"> </w:t>
      </w:r>
      <w:r>
        <w:rPr>
          <w:rFonts w:ascii="Times New Roman" w:hAnsi="Times New Roman" w:cs="Times New Roman"/>
          <w:sz w:val="24"/>
        </w:rPr>
        <w:t xml:space="preserve">9,13% manje od prethodne godine. </w:t>
      </w:r>
    </w:p>
    <w:p w:rsidR="00745A67" w:rsidRDefault="00A635D2">
      <w:pPr>
        <w:spacing w:line="240" w:lineRule="auto"/>
        <w:jc w:val="both"/>
      </w:pPr>
      <w:r>
        <w:rPr>
          <w:rFonts w:ascii="Times New Roman" w:hAnsi="Times New Roman" w:cs="Times New Roman"/>
          <w:sz w:val="24"/>
        </w:rPr>
        <w:t>Rashodi poslovanja zabilježili su međugodišnji rast od 16,50% te u promatranom razdoblju iznose 86,05 milijuna eura.</w:t>
      </w:r>
    </w:p>
    <w:p w:rsidR="00745A67" w:rsidRDefault="00A635D2">
      <w:pPr>
        <w:spacing w:line="240" w:lineRule="auto"/>
        <w:jc w:val="both"/>
      </w:pPr>
      <w:r>
        <w:rPr>
          <w:rFonts w:ascii="Times New Roman" w:hAnsi="Times New Roman" w:cs="Times New Roman"/>
          <w:sz w:val="24"/>
        </w:rPr>
        <w:t xml:space="preserve">Rashodi za zaposlene izvršeni su u iznosu od 9,33 milijuna eura što predstavlja izvršenje od 43,61 % planiranih sredstava za tu namjenu. </w:t>
      </w:r>
    </w:p>
    <w:p w:rsidR="00745A67" w:rsidRDefault="00A635D2">
      <w:pPr>
        <w:spacing w:line="240" w:lineRule="auto"/>
        <w:jc w:val="both"/>
      </w:pPr>
      <w:r>
        <w:rPr>
          <w:rFonts w:ascii="Times New Roman" w:hAnsi="Times New Roman" w:cs="Times New Roman"/>
          <w:sz w:val="24"/>
        </w:rPr>
        <w:t>Ukupno izvršenje materijalnih rashoda iznosi 47,56 milijuna eura, to jest 45,77% plana za 2023. godinu te je realizacija veća za 13,06 % u odnosu na isto razdoblje 2022. godine. U strukturi materijalnih rashoda za promatrano razdoblje 86,96% čine rashodi za usluge koji se najvećim dijelom sastoje od rashoda za redovito održavanje državnih cesta i objekata, izvanrednog održavanja državnih cesta, te održavanje zgrada i opreme. Povećanje materijalnih rashoda najvećim je dijelom rezultat većeg ulaganja u redovito i izvanredno održavanje cesta u promatranom periodu u odnosu na prethodnu godinu.</w:t>
      </w:r>
    </w:p>
    <w:p w:rsidR="00745A67" w:rsidRDefault="00A635D2">
      <w:pPr>
        <w:spacing w:line="240" w:lineRule="auto"/>
        <w:jc w:val="both"/>
      </w:pPr>
      <w:r>
        <w:rPr>
          <w:rFonts w:ascii="Times New Roman" w:hAnsi="Times New Roman" w:cs="Times New Roman"/>
          <w:sz w:val="24"/>
        </w:rPr>
        <w:t xml:space="preserve">U 2023. godini financijski rashodi izvršeni su u iznosu od 27,80 milijuna eura od čega se najveći dio odnosi na kamate za primljene kredite i zajmove. </w:t>
      </w:r>
    </w:p>
    <w:p w:rsidR="00745A67" w:rsidRDefault="00A635D2">
      <w:pPr>
        <w:spacing w:line="240" w:lineRule="auto"/>
        <w:jc w:val="both"/>
      </w:pPr>
      <w:r>
        <w:rPr>
          <w:rFonts w:ascii="Times New Roman" w:hAnsi="Times New Roman" w:cs="Times New Roman"/>
          <w:sz w:val="24"/>
        </w:rPr>
        <w:t>Ukupni rashodi za nabavu nefinancijske imovine u 2023. godini planirani su u iznosu od 217,32 milijuna eura od čega je tijekom prvih šest mjeseci realizirano 110,31 milijuna eura odnosno 50,76 % plana. U strukturi rashoda za nabavu nefinancijske imovine najveći dio se odnosi na rashode za nabavu proizvedene dugotrajne imovine u iznosu od 103,06  milijuna eura, od čega 101,73 milijuna eura čine rashodi za građevinske objekte (izgradnja državnih cesta, investicijsko održavanje i rekonstrukcija državnih cesta).</w:t>
      </w:r>
    </w:p>
    <w:p w:rsidR="00A635D2" w:rsidRDefault="00A635D2">
      <w:pPr>
        <w:spacing w:line="360" w:lineRule="auto"/>
        <w:rPr>
          <w:rFonts w:ascii="Times New Roman" w:hAnsi="Times New Roman" w:cs="Times New Roman"/>
          <w:b/>
          <w:sz w:val="24"/>
          <w:u w:val="single"/>
        </w:rPr>
      </w:pPr>
      <w:r>
        <w:rPr>
          <w:rFonts w:ascii="Times New Roman" w:hAnsi="Times New Roman" w:cs="Times New Roman"/>
          <w:b/>
          <w:sz w:val="24"/>
          <w:u w:val="single"/>
        </w:rPr>
        <w:br/>
      </w:r>
    </w:p>
    <w:p w:rsidR="00A635D2" w:rsidRDefault="00A635D2">
      <w:pPr>
        <w:spacing w:line="360" w:lineRule="auto"/>
        <w:rPr>
          <w:rFonts w:ascii="Times New Roman" w:hAnsi="Times New Roman" w:cs="Times New Roman"/>
          <w:b/>
          <w:sz w:val="24"/>
          <w:u w:val="single"/>
        </w:rPr>
      </w:pPr>
    </w:p>
    <w:p w:rsidR="00A635D2" w:rsidRDefault="00A635D2">
      <w:pPr>
        <w:spacing w:line="360" w:lineRule="auto"/>
        <w:rPr>
          <w:rFonts w:ascii="Times New Roman" w:hAnsi="Times New Roman" w:cs="Times New Roman"/>
          <w:b/>
          <w:sz w:val="24"/>
          <w:u w:val="single"/>
        </w:rPr>
      </w:pPr>
    </w:p>
    <w:p w:rsidR="00A635D2" w:rsidRDefault="00A635D2">
      <w:pPr>
        <w:spacing w:line="360" w:lineRule="auto"/>
        <w:rPr>
          <w:rFonts w:ascii="Times New Roman" w:hAnsi="Times New Roman" w:cs="Times New Roman"/>
          <w:b/>
          <w:sz w:val="24"/>
          <w:u w:val="single"/>
        </w:rPr>
      </w:pPr>
    </w:p>
    <w:p w:rsidR="00E1508C" w:rsidRDefault="00E1508C">
      <w:pPr>
        <w:spacing w:line="360" w:lineRule="auto"/>
        <w:rPr>
          <w:rFonts w:ascii="Times New Roman" w:hAnsi="Times New Roman" w:cs="Times New Roman"/>
          <w:b/>
          <w:sz w:val="24"/>
          <w:u w:val="single"/>
        </w:rPr>
      </w:pPr>
    </w:p>
    <w:p w:rsidR="00E1508C" w:rsidRDefault="00E1508C">
      <w:pPr>
        <w:spacing w:line="360" w:lineRule="auto"/>
        <w:rPr>
          <w:rFonts w:ascii="Times New Roman" w:hAnsi="Times New Roman" w:cs="Times New Roman"/>
          <w:b/>
          <w:sz w:val="24"/>
          <w:u w:val="single"/>
        </w:rPr>
      </w:pPr>
    </w:p>
    <w:p w:rsidR="00E1508C" w:rsidRDefault="00E1508C">
      <w:pPr>
        <w:spacing w:line="360" w:lineRule="auto"/>
        <w:rPr>
          <w:rFonts w:ascii="Times New Roman" w:hAnsi="Times New Roman" w:cs="Times New Roman"/>
          <w:b/>
          <w:sz w:val="24"/>
          <w:u w:val="single"/>
        </w:rPr>
      </w:pPr>
    </w:p>
    <w:p w:rsidR="00745A67" w:rsidRDefault="00A635D2">
      <w:pPr>
        <w:spacing w:line="360" w:lineRule="auto"/>
      </w:pPr>
      <w:r>
        <w:rPr>
          <w:rFonts w:ascii="Times New Roman" w:hAnsi="Times New Roman" w:cs="Times New Roman"/>
          <w:b/>
          <w:sz w:val="24"/>
          <w:u w:val="single"/>
        </w:rPr>
        <w:lastRenderedPageBreak/>
        <w:t>RAČUN FINANCIRANJA</w:t>
      </w:r>
    </w:p>
    <w:p w:rsidR="00745A67" w:rsidRDefault="00A635D2">
      <w:pPr>
        <w:spacing w:line="360" w:lineRule="auto"/>
        <w:rPr>
          <w:rFonts w:ascii="Times New Roman" w:hAnsi="Times New Roman" w:cs="Times New Roman"/>
          <w:b/>
          <w:sz w:val="24"/>
          <w:u w:val="single"/>
        </w:rPr>
      </w:pPr>
      <w:r>
        <w:rPr>
          <w:rFonts w:ascii="Times New Roman" w:hAnsi="Times New Roman" w:cs="Times New Roman"/>
          <w:b/>
          <w:sz w:val="24"/>
          <w:u w:val="single"/>
        </w:rPr>
        <w:t>Račun prihoda i rashoda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496"/>
        <w:gridCol w:w="1800"/>
        <w:gridCol w:w="1799"/>
        <w:gridCol w:w="899"/>
      </w:tblGrid>
      <w:tr w:rsidR="00745A67" w:rsidTr="00A635D2">
        <w:tc>
          <w:tcPr>
            <w:tcW w:w="2499" w:type="pct"/>
            <w:shd w:val="clear" w:color="auto" w:fill="BCDFFB"/>
            <w:vAlign w:val="center"/>
          </w:tcPr>
          <w:p w:rsidR="00745A67" w:rsidRDefault="00A635D2">
            <w:pPr>
              <w:spacing w:after="0" w:line="240" w:lineRule="auto"/>
              <w:jc w:val="center"/>
            </w:pPr>
            <w:r>
              <w:rPr>
                <w:rFonts w:ascii="Times New Roman" w:hAnsi="Times New Roman" w:cs="Times New Roman"/>
                <w:b/>
                <w:sz w:val="18"/>
              </w:rPr>
              <w:t>BROJČANA OZNAKA I NAZIV</w:t>
            </w:r>
          </w:p>
        </w:tc>
        <w:tc>
          <w:tcPr>
            <w:tcW w:w="1000" w:type="pct"/>
            <w:shd w:val="clear" w:color="auto" w:fill="BCDFFB"/>
            <w:vAlign w:val="center"/>
          </w:tcPr>
          <w:p w:rsidR="00745A67" w:rsidRDefault="00B50B64">
            <w:pPr>
              <w:spacing w:after="0" w:line="240" w:lineRule="auto"/>
              <w:jc w:val="center"/>
            </w:pPr>
            <w:r>
              <w:rPr>
                <w:rFonts w:ascii="Times New Roman" w:hAnsi="Times New Roman" w:cs="Times New Roman"/>
                <w:b/>
                <w:sz w:val="18"/>
              </w:rPr>
              <w:t>REBALANS</w:t>
            </w:r>
            <w:r w:rsidR="00A635D2">
              <w:rPr>
                <w:rFonts w:ascii="Times New Roman" w:hAnsi="Times New Roman" w:cs="Times New Roman"/>
                <w:b/>
                <w:sz w:val="18"/>
              </w:rPr>
              <w:br/>
              <w:t>2023.</w:t>
            </w:r>
          </w:p>
        </w:tc>
        <w:tc>
          <w:tcPr>
            <w:tcW w:w="1000" w:type="pct"/>
            <w:shd w:val="clear" w:color="auto" w:fill="BCDFFB"/>
            <w:vAlign w:val="center"/>
          </w:tcPr>
          <w:p w:rsidR="00745A67" w:rsidRDefault="00A635D2">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IZVRŠENJE 1.-6. 2023.</w:t>
            </w:r>
          </w:p>
        </w:tc>
        <w:tc>
          <w:tcPr>
            <w:tcW w:w="500" w:type="pct"/>
            <w:shd w:val="clear" w:color="auto" w:fill="BCDFFB"/>
            <w:vAlign w:val="center"/>
          </w:tcPr>
          <w:p w:rsidR="00745A67" w:rsidRDefault="00A635D2">
            <w:pPr>
              <w:spacing w:after="0" w:line="240" w:lineRule="auto"/>
              <w:jc w:val="center"/>
            </w:pPr>
            <w:r>
              <w:rPr>
                <w:rFonts w:ascii="Times New Roman" w:hAnsi="Times New Roman" w:cs="Times New Roman"/>
                <w:b/>
                <w:sz w:val="18"/>
              </w:rPr>
              <w:t>INDEKS</w:t>
            </w:r>
          </w:p>
        </w:tc>
      </w:tr>
      <w:tr w:rsidR="00745A67" w:rsidTr="00A635D2">
        <w:tc>
          <w:tcPr>
            <w:tcW w:w="2499" w:type="pct"/>
            <w:shd w:val="clear" w:color="auto" w:fill="BCDFFB"/>
            <w:vAlign w:val="center"/>
          </w:tcPr>
          <w:p w:rsidR="00745A67" w:rsidRDefault="00A635D2">
            <w:pPr>
              <w:spacing w:after="0" w:line="240" w:lineRule="auto"/>
              <w:jc w:val="center"/>
            </w:pPr>
            <w:r>
              <w:rPr>
                <w:rFonts w:ascii="Times New Roman" w:hAnsi="Times New Roman" w:cs="Times New Roman"/>
                <w:sz w:val="14"/>
              </w:rPr>
              <w:t>1</w:t>
            </w:r>
          </w:p>
        </w:tc>
        <w:tc>
          <w:tcPr>
            <w:tcW w:w="1000" w:type="pct"/>
            <w:shd w:val="clear" w:color="auto" w:fill="BCDFFB"/>
            <w:vAlign w:val="center"/>
          </w:tcPr>
          <w:p w:rsidR="00745A67" w:rsidRDefault="00A635D2">
            <w:pPr>
              <w:spacing w:after="0" w:line="240" w:lineRule="auto"/>
              <w:jc w:val="center"/>
            </w:pPr>
            <w:r>
              <w:rPr>
                <w:rFonts w:ascii="Times New Roman" w:hAnsi="Times New Roman" w:cs="Times New Roman"/>
                <w:sz w:val="14"/>
              </w:rPr>
              <w:t>2</w:t>
            </w:r>
          </w:p>
        </w:tc>
        <w:tc>
          <w:tcPr>
            <w:tcW w:w="1000" w:type="pct"/>
            <w:shd w:val="clear" w:color="auto" w:fill="BCDFFB"/>
            <w:vAlign w:val="center"/>
          </w:tcPr>
          <w:p w:rsidR="00745A67" w:rsidRDefault="00A635D2">
            <w:pPr>
              <w:spacing w:after="0" w:line="240" w:lineRule="auto"/>
              <w:jc w:val="center"/>
            </w:pPr>
            <w:r>
              <w:rPr>
                <w:rFonts w:ascii="Times New Roman" w:hAnsi="Times New Roman" w:cs="Times New Roman"/>
                <w:sz w:val="14"/>
              </w:rPr>
              <w:t>3</w:t>
            </w:r>
          </w:p>
        </w:tc>
        <w:tc>
          <w:tcPr>
            <w:tcW w:w="500" w:type="pct"/>
            <w:shd w:val="clear" w:color="auto" w:fill="BCDFFB"/>
            <w:vAlign w:val="center"/>
          </w:tcPr>
          <w:p w:rsidR="00745A67" w:rsidRDefault="00A635D2">
            <w:pPr>
              <w:spacing w:after="0" w:line="240" w:lineRule="auto"/>
              <w:jc w:val="center"/>
            </w:pPr>
            <w:r>
              <w:rPr>
                <w:rFonts w:ascii="Times New Roman" w:hAnsi="Times New Roman" w:cs="Times New Roman"/>
                <w:sz w:val="14"/>
              </w:rPr>
              <w:t>4=3/2</w:t>
            </w:r>
          </w:p>
        </w:tc>
      </w:tr>
      <w:tr w:rsidR="00745A67" w:rsidTr="00A635D2">
        <w:tc>
          <w:tcPr>
            <w:tcW w:w="2499" w:type="pct"/>
            <w:vAlign w:val="center"/>
          </w:tcPr>
          <w:p w:rsidR="00745A67" w:rsidRDefault="00A635D2">
            <w:pPr>
              <w:spacing w:after="0" w:line="240" w:lineRule="auto"/>
            </w:pPr>
            <w:r>
              <w:rPr>
                <w:rFonts w:ascii="Times New Roman" w:hAnsi="Times New Roman" w:cs="Times New Roman"/>
                <w:sz w:val="18"/>
              </w:rPr>
              <w:t>UKUPNI PRIHODI</w:t>
            </w:r>
          </w:p>
        </w:tc>
        <w:tc>
          <w:tcPr>
            <w:tcW w:w="1000" w:type="pct"/>
            <w:vAlign w:val="bottom"/>
          </w:tcPr>
          <w:p w:rsidR="00745A67" w:rsidRDefault="00A635D2">
            <w:pPr>
              <w:spacing w:after="0" w:line="240" w:lineRule="auto"/>
              <w:jc w:val="right"/>
            </w:pPr>
            <w:r>
              <w:rPr>
                <w:rFonts w:ascii="Times New Roman" w:hAnsi="Times New Roman" w:cs="Times New Roman"/>
                <w:sz w:val="18"/>
              </w:rPr>
              <w:t>338.468.214</w:t>
            </w:r>
          </w:p>
        </w:tc>
        <w:tc>
          <w:tcPr>
            <w:tcW w:w="1000" w:type="pct"/>
            <w:vAlign w:val="bottom"/>
          </w:tcPr>
          <w:p w:rsidR="00745A67" w:rsidRDefault="00A635D2">
            <w:pPr>
              <w:spacing w:after="0" w:line="240" w:lineRule="auto"/>
              <w:jc w:val="right"/>
            </w:pPr>
            <w:r>
              <w:rPr>
                <w:rFonts w:ascii="Times New Roman" w:hAnsi="Times New Roman" w:cs="Times New Roman"/>
                <w:sz w:val="18"/>
              </w:rPr>
              <w:t>237.458.867</w:t>
            </w:r>
          </w:p>
        </w:tc>
        <w:tc>
          <w:tcPr>
            <w:tcW w:w="500" w:type="pct"/>
            <w:vAlign w:val="bottom"/>
          </w:tcPr>
          <w:p w:rsidR="00745A67" w:rsidRDefault="00A635D2">
            <w:pPr>
              <w:spacing w:after="0" w:line="240" w:lineRule="auto"/>
              <w:jc w:val="right"/>
            </w:pPr>
            <w:r>
              <w:rPr>
                <w:rFonts w:ascii="Times New Roman" w:hAnsi="Times New Roman" w:cs="Times New Roman"/>
                <w:sz w:val="18"/>
              </w:rPr>
              <w:t>70,2</w:t>
            </w:r>
          </w:p>
        </w:tc>
      </w:tr>
      <w:tr w:rsidR="00745A67" w:rsidTr="00A635D2">
        <w:tc>
          <w:tcPr>
            <w:tcW w:w="2499" w:type="pct"/>
            <w:vAlign w:val="bottom"/>
          </w:tcPr>
          <w:p w:rsidR="00745A67" w:rsidRDefault="00A635D2">
            <w:pPr>
              <w:spacing w:after="0" w:line="240" w:lineRule="auto"/>
            </w:pPr>
            <w:r>
              <w:rPr>
                <w:rFonts w:ascii="Times New Roman" w:hAnsi="Times New Roman" w:cs="Times New Roman"/>
                <w:sz w:val="18"/>
              </w:rPr>
              <w:t>UKUPNI RASHODI</w:t>
            </w:r>
          </w:p>
        </w:tc>
        <w:tc>
          <w:tcPr>
            <w:tcW w:w="1000" w:type="pct"/>
            <w:vAlign w:val="bottom"/>
          </w:tcPr>
          <w:p w:rsidR="00745A67" w:rsidRDefault="00A635D2">
            <w:pPr>
              <w:spacing w:after="0" w:line="240" w:lineRule="auto"/>
              <w:jc w:val="right"/>
            </w:pPr>
            <w:r>
              <w:rPr>
                <w:rFonts w:ascii="Times New Roman" w:hAnsi="Times New Roman" w:cs="Times New Roman"/>
                <w:sz w:val="18"/>
              </w:rPr>
              <w:t>396.424.365</w:t>
            </w:r>
          </w:p>
        </w:tc>
        <w:tc>
          <w:tcPr>
            <w:tcW w:w="1000" w:type="pct"/>
            <w:vAlign w:val="bottom"/>
          </w:tcPr>
          <w:p w:rsidR="00745A67" w:rsidRDefault="00A635D2">
            <w:pPr>
              <w:spacing w:after="0" w:line="240" w:lineRule="auto"/>
              <w:jc w:val="right"/>
            </w:pPr>
            <w:r>
              <w:rPr>
                <w:rFonts w:ascii="Times New Roman" w:hAnsi="Times New Roman" w:cs="Times New Roman"/>
                <w:sz w:val="18"/>
              </w:rPr>
              <w:t>196.356.798</w:t>
            </w:r>
          </w:p>
        </w:tc>
        <w:tc>
          <w:tcPr>
            <w:tcW w:w="500" w:type="pct"/>
            <w:vAlign w:val="bottom"/>
          </w:tcPr>
          <w:p w:rsidR="00745A67" w:rsidRDefault="00A635D2">
            <w:pPr>
              <w:spacing w:after="0" w:line="240" w:lineRule="auto"/>
              <w:jc w:val="right"/>
            </w:pPr>
            <w:r>
              <w:rPr>
                <w:rFonts w:ascii="Times New Roman" w:hAnsi="Times New Roman" w:cs="Times New Roman"/>
                <w:sz w:val="18"/>
              </w:rPr>
              <w:t>49,5</w:t>
            </w:r>
          </w:p>
        </w:tc>
      </w:tr>
      <w:tr w:rsidR="00745A67" w:rsidTr="00A635D2">
        <w:tc>
          <w:tcPr>
            <w:tcW w:w="2499" w:type="pct"/>
            <w:vAlign w:val="bottom"/>
          </w:tcPr>
          <w:p w:rsidR="00745A67" w:rsidRDefault="00A635D2">
            <w:pPr>
              <w:spacing w:after="0" w:line="240" w:lineRule="auto"/>
            </w:pPr>
            <w:r>
              <w:rPr>
                <w:rFonts w:ascii="Times New Roman" w:hAnsi="Times New Roman" w:cs="Times New Roman"/>
                <w:b/>
                <w:sz w:val="18"/>
              </w:rPr>
              <w:t>RAZLIKA - VIŠAK/MANJAK</w:t>
            </w:r>
          </w:p>
        </w:tc>
        <w:tc>
          <w:tcPr>
            <w:tcW w:w="1000" w:type="pct"/>
            <w:vAlign w:val="bottom"/>
          </w:tcPr>
          <w:p w:rsidR="00745A67" w:rsidRDefault="00A635D2">
            <w:pPr>
              <w:spacing w:after="0" w:line="240" w:lineRule="auto"/>
              <w:jc w:val="right"/>
            </w:pPr>
            <w:r>
              <w:rPr>
                <w:rFonts w:ascii="Times New Roman" w:hAnsi="Times New Roman" w:cs="Times New Roman"/>
                <w:b/>
                <w:sz w:val="18"/>
              </w:rPr>
              <w:t>-57.956.151</w:t>
            </w:r>
          </w:p>
        </w:tc>
        <w:tc>
          <w:tcPr>
            <w:tcW w:w="1000" w:type="pct"/>
            <w:vAlign w:val="bottom"/>
          </w:tcPr>
          <w:p w:rsidR="00745A67" w:rsidRDefault="00A635D2">
            <w:pPr>
              <w:spacing w:after="0" w:line="240" w:lineRule="auto"/>
              <w:jc w:val="right"/>
            </w:pPr>
            <w:r>
              <w:rPr>
                <w:rFonts w:ascii="Times New Roman" w:hAnsi="Times New Roman" w:cs="Times New Roman"/>
                <w:b/>
                <w:sz w:val="18"/>
              </w:rPr>
              <w:t>41.102.069</w:t>
            </w:r>
          </w:p>
        </w:tc>
        <w:tc>
          <w:tcPr>
            <w:tcW w:w="500" w:type="pct"/>
            <w:vAlign w:val="bottom"/>
          </w:tcPr>
          <w:p w:rsidR="00745A67" w:rsidRDefault="00A635D2">
            <w:pPr>
              <w:spacing w:after="0" w:line="240" w:lineRule="auto"/>
              <w:jc w:val="right"/>
            </w:pPr>
            <w:r>
              <w:rPr>
                <w:rFonts w:ascii="Times New Roman" w:hAnsi="Times New Roman" w:cs="Times New Roman"/>
                <w:b/>
                <w:sz w:val="18"/>
              </w:rPr>
              <w:t>-70,9</w:t>
            </w:r>
          </w:p>
        </w:tc>
      </w:tr>
    </w:tbl>
    <w:p w:rsidR="00745A67" w:rsidRDefault="00745A67">
      <w:pPr>
        <w:spacing w:after="0" w:line="240" w:lineRule="auto"/>
      </w:pPr>
    </w:p>
    <w:p w:rsidR="00745A67" w:rsidRDefault="00A635D2">
      <w:pPr>
        <w:spacing w:line="360" w:lineRule="auto"/>
      </w:pPr>
      <w:r>
        <w:rPr>
          <w:rFonts w:ascii="Times New Roman" w:hAnsi="Times New Roman" w:cs="Times New Roman"/>
          <w:b/>
          <w:sz w:val="24"/>
          <w:u w:val="single"/>
        </w:rP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497"/>
        <w:gridCol w:w="1799"/>
        <w:gridCol w:w="1799"/>
        <w:gridCol w:w="899"/>
      </w:tblGrid>
      <w:tr w:rsidR="00745A67">
        <w:tc>
          <w:tcPr>
            <w:tcW w:w="2500" w:type="pct"/>
            <w:shd w:val="clear" w:color="auto" w:fill="BCDFFB"/>
            <w:vAlign w:val="center"/>
          </w:tcPr>
          <w:p w:rsidR="00745A67" w:rsidRDefault="00A635D2">
            <w:pPr>
              <w:spacing w:after="0" w:line="240" w:lineRule="auto"/>
              <w:jc w:val="center"/>
            </w:pPr>
            <w:r>
              <w:rPr>
                <w:rFonts w:ascii="Times New Roman" w:hAnsi="Times New Roman" w:cs="Times New Roman"/>
                <w:b/>
                <w:sz w:val="18"/>
              </w:rPr>
              <w:t>BROJČANA OZNAKA I NAZIV</w:t>
            </w:r>
          </w:p>
        </w:tc>
        <w:tc>
          <w:tcPr>
            <w:tcW w:w="1000" w:type="pct"/>
            <w:shd w:val="clear" w:color="auto" w:fill="BCDFFB"/>
            <w:vAlign w:val="center"/>
          </w:tcPr>
          <w:p w:rsidR="00745A67" w:rsidRDefault="00B50B64">
            <w:pPr>
              <w:spacing w:after="0" w:line="240" w:lineRule="auto"/>
              <w:jc w:val="center"/>
            </w:pPr>
            <w:r>
              <w:rPr>
                <w:rFonts w:ascii="Times New Roman" w:hAnsi="Times New Roman" w:cs="Times New Roman"/>
                <w:b/>
                <w:sz w:val="18"/>
              </w:rPr>
              <w:t>REBALANS</w:t>
            </w:r>
            <w:r w:rsidR="00A635D2">
              <w:rPr>
                <w:rFonts w:ascii="Times New Roman" w:hAnsi="Times New Roman" w:cs="Times New Roman"/>
                <w:b/>
                <w:sz w:val="18"/>
              </w:rPr>
              <w:br/>
              <w:t>2023.</w:t>
            </w:r>
          </w:p>
        </w:tc>
        <w:tc>
          <w:tcPr>
            <w:tcW w:w="1000" w:type="pct"/>
            <w:shd w:val="clear" w:color="auto" w:fill="BCDFFB"/>
            <w:vAlign w:val="center"/>
          </w:tcPr>
          <w:p w:rsidR="00745A67" w:rsidRDefault="00A635D2">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IZVRŠENJE 1.-6. 2023.</w:t>
            </w:r>
          </w:p>
        </w:tc>
        <w:tc>
          <w:tcPr>
            <w:tcW w:w="800" w:type="pct"/>
            <w:shd w:val="clear" w:color="auto" w:fill="BCDFFB"/>
            <w:vAlign w:val="center"/>
          </w:tcPr>
          <w:p w:rsidR="00745A67" w:rsidRDefault="00A635D2">
            <w:pPr>
              <w:spacing w:after="0" w:line="240" w:lineRule="auto"/>
              <w:jc w:val="center"/>
            </w:pPr>
            <w:r>
              <w:rPr>
                <w:rFonts w:ascii="Times New Roman" w:hAnsi="Times New Roman" w:cs="Times New Roman"/>
                <w:b/>
                <w:sz w:val="18"/>
              </w:rPr>
              <w:t>INDEKS</w:t>
            </w:r>
          </w:p>
        </w:tc>
      </w:tr>
      <w:tr w:rsidR="00745A67">
        <w:tc>
          <w:tcPr>
            <w:tcW w:w="2500" w:type="pct"/>
            <w:shd w:val="clear" w:color="auto" w:fill="BCDFFB"/>
            <w:vAlign w:val="center"/>
          </w:tcPr>
          <w:p w:rsidR="00745A67" w:rsidRDefault="00A635D2">
            <w:pPr>
              <w:spacing w:after="0" w:line="240" w:lineRule="auto"/>
              <w:jc w:val="center"/>
            </w:pPr>
            <w:r>
              <w:rPr>
                <w:rFonts w:ascii="Times New Roman" w:hAnsi="Times New Roman" w:cs="Times New Roman"/>
                <w:sz w:val="14"/>
              </w:rPr>
              <w:t>1</w:t>
            </w:r>
          </w:p>
        </w:tc>
        <w:tc>
          <w:tcPr>
            <w:tcW w:w="1000" w:type="pct"/>
            <w:shd w:val="clear" w:color="auto" w:fill="BCDFFB"/>
            <w:vAlign w:val="center"/>
          </w:tcPr>
          <w:p w:rsidR="00745A67" w:rsidRDefault="00A635D2">
            <w:pPr>
              <w:spacing w:after="0" w:line="240" w:lineRule="auto"/>
              <w:jc w:val="center"/>
            </w:pPr>
            <w:r>
              <w:rPr>
                <w:rFonts w:ascii="Times New Roman" w:hAnsi="Times New Roman" w:cs="Times New Roman"/>
                <w:sz w:val="14"/>
              </w:rPr>
              <w:t>2</w:t>
            </w:r>
          </w:p>
        </w:tc>
        <w:tc>
          <w:tcPr>
            <w:tcW w:w="1000" w:type="pct"/>
            <w:shd w:val="clear" w:color="auto" w:fill="BCDFFB"/>
            <w:vAlign w:val="center"/>
          </w:tcPr>
          <w:p w:rsidR="00745A67" w:rsidRDefault="00A635D2">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745A67" w:rsidRDefault="00A635D2">
            <w:pPr>
              <w:spacing w:after="0" w:line="240" w:lineRule="auto"/>
              <w:jc w:val="center"/>
            </w:pPr>
            <w:r>
              <w:rPr>
                <w:rFonts w:ascii="Times New Roman" w:hAnsi="Times New Roman" w:cs="Times New Roman"/>
                <w:sz w:val="14"/>
              </w:rPr>
              <w:t>4=3/2</w:t>
            </w:r>
          </w:p>
        </w:tc>
      </w:tr>
      <w:tr w:rsidR="00745A67">
        <w:tc>
          <w:tcPr>
            <w:tcW w:w="2500" w:type="pct"/>
            <w:vAlign w:val="center"/>
          </w:tcPr>
          <w:p w:rsidR="00745A67" w:rsidRDefault="00A635D2">
            <w:pPr>
              <w:spacing w:after="0" w:line="240" w:lineRule="auto"/>
            </w:pPr>
            <w:r>
              <w:rPr>
                <w:rFonts w:ascii="Times New Roman" w:hAnsi="Times New Roman" w:cs="Times New Roman"/>
                <w:sz w:val="18"/>
              </w:rPr>
              <w:t>8 PRIMICI OD FINANCIJSKE IMOVINE I ZADUŽIVANJA</w:t>
            </w:r>
          </w:p>
        </w:tc>
        <w:tc>
          <w:tcPr>
            <w:tcW w:w="1000" w:type="pct"/>
            <w:vAlign w:val="bottom"/>
          </w:tcPr>
          <w:p w:rsidR="00745A67" w:rsidRDefault="00A635D2">
            <w:pPr>
              <w:spacing w:after="0" w:line="240" w:lineRule="auto"/>
              <w:jc w:val="right"/>
            </w:pPr>
            <w:r>
              <w:rPr>
                <w:rFonts w:ascii="Times New Roman" w:hAnsi="Times New Roman" w:cs="Times New Roman"/>
                <w:sz w:val="18"/>
              </w:rPr>
              <w:t>130.786.335</w:t>
            </w:r>
          </w:p>
        </w:tc>
        <w:tc>
          <w:tcPr>
            <w:tcW w:w="1000" w:type="pct"/>
            <w:vAlign w:val="bottom"/>
          </w:tcPr>
          <w:p w:rsidR="00745A67" w:rsidRDefault="00A635D2">
            <w:pPr>
              <w:spacing w:after="0" w:line="240" w:lineRule="auto"/>
              <w:jc w:val="right"/>
            </w:pPr>
            <w:r>
              <w:rPr>
                <w:rFonts w:ascii="Times New Roman" w:hAnsi="Times New Roman" w:cs="Times New Roman"/>
                <w:sz w:val="18"/>
              </w:rPr>
              <w:t>50.000.000</w:t>
            </w:r>
          </w:p>
        </w:tc>
        <w:tc>
          <w:tcPr>
            <w:tcW w:w="800" w:type="pct"/>
            <w:vAlign w:val="bottom"/>
          </w:tcPr>
          <w:p w:rsidR="00745A67" w:rsidRDefault="00A635D2">
            <w:pPr>
              <w:spacing w:after="0" w:line="240" w:lineRule="auto"/>
              <w:jc w:val="right"/>
            </w:pPr>
            <w:r>
              <w:rPr>
                <w:rFonts w:ascii="Times New Roman" w:hAnsi="Times New Roman" w:cs="Times New Roman"/>
                <w:sz w:val="18"/>
              </w:rPr>
              <w:t>38,2</w:t>
            </w:r>
          </w:p>
        </w:tc>
      </w:tr>
      <w:tr w:rsidR="00745A67">
        <w:tc>
          <w:tcPr>
            <w:tcW w:w="2500" w:type="pct"/>
            <w:vAlign w:val="bottom"/>
          </w:tcPr>
          <w:p w:rsidR="00745A67" w:rsidRDefault="00A635D2">
            <w:pPr>
              <w:spacing w:after="0" w:line="240" w:lineRule="auto"/>
            </w:pPr>
            <w:r>
              <w:rPr>
                <w:rFonts w:ascii="Times New Roman" w:hAnsi="Times New Roman" w:cs="Times New Roman"/>
                <w:sz w:val="18"/>
              </w:rPr>
              <w:t>5 IZDACI ZA FINANCIJSKU IMOVINU I OTPLATE ZAJMOVA</w:t>
            </w:r>
          </w:p>
        </w:tc>
        <w:tc>
          <w:tcPr>
            <w:tcW w:w="1000" w:type="pct"/>
            <w:vAlign w:val="bottom"/>
          </w:tcPr>
          <w:p w:rsidR="00745A67" w:rsidRDefault="00A635D2">
            <w:pPr>
              <w:spacing w:after="0" w:line="240" w:lineRule="auto"/>
              <w:jc w:val="right"/>
            </w:pPr>
            <w:r>
              <w:rPr>
                <w:rFonts w:ascii="Times New Roman" w:hAnsi="Times New Roman" w:cs="Times New Roman"/>
                <w:sz w:val="18"/>
              </w:rPr>
              <w:t>72.830.184</w:t>
            </w:r>
          </w:p>
        </w:tc>
        <w:tc>
          <w:tcPr>
            <w:tcW w:w="1000" w:type="pct"/>
            <w:vAlign w:val="bottom"/>
          </w:tcPr>
          <w:p w:rsidR="00745A67" w:rsidRDefault="00A635D2">
            <w:pPr>
              <w:spacing w:after="0" w:line="240" w:lineRule="auto"/>
              <w:jc w:val="right"/>
            </w:pPr>
            <w:r>
              <w:rPr>
                <w:rFonts w:ascii="Times New Roman" w:hAnsi="Times New Roman" w:cs="Times New Roman"/>
                <w:sz w:val="18"/>
              </w:rPr>
              <w:t>36.438.870</w:t>
            </w:r>
          </w:p>
        </w:tc>
        <w:tc>
          <w:tcPr>
            <w:tcW w:w="800" w:type="pct"/>
            <w:vAlign w:val="bottom"/>
          </w:tcPr>
          <w:p w:rsidR="00745A67" w:rsidRDefault="00A635D2">
            <w:pPr>
              <w:spacing w:after="0" w:line="240" w:lineRule="auto"/>
              <w:jc w:val="right"/>
            </w:pPr>
            <w:r>
              <w:rPr>
                <w:rFonts w:ascii="Times New Roman" w:hAnsi="Times New Roman" w:cs="Times New Roman"/>
                <w:sz w:val="18"/>
              </w:rPr>
              <w:t>50,0</w:t>
            </w:r>
          </w:p>
        </w:tc>
      </w:tr>
      <w:tr w:rsidR="00745A67">
        <w:tc>
          <w:tcPr>
            <w:tcW w:w="2500" w:type="pct"/>
            <w:vAlign w:val="bottom"/>
          </w:tcPr>
          <w:p w:rsidR="00745A67" w:rsidRDefault="00A635D2">
            <w:pPr>
              <w:spacing w:after="0" w:line="240" w:lineRule="auto"/>
            </w:pPr>
            <w:r>
              <w:rPr>
                <w:rFonts w:ascii="Times New Roman" w:hAnsi="Times New Roman" w:cs="Times New Roman"/>
                <w:b/>
                <w:sz w:val="18"/>
              </w:rPr>
              <w:t>RAZLIKA PRIMITAKA I IZDATAKA</w:t>
            </w:r>
          </w:p>
        </w:tc>
        <w:tc>
          <w:tcPr>
            <w:tcW w:w="1000" w:type="pct"/>
            <w:vAlign w:val="bottom"/>
          </w:tcPr>
          <w:p w:rsidR="00745A67" w:rsidRDefault="00A635D2">
            <w:pPr>
              <w:spacing w:after="0" w:line="240" w:lineRule="auto"/>
              <w:jc w:val="right"/>
            </w:pPr>
            <w:r>
              <w:rPr>
                <w:rFonts w:ascii="Times New Roman" w:hAnsi="Times New Roman" w:cs="Times New Roman"/>
                <w:b/>
                <w:sz w:val="18"/>
              </w:rPr>
              <w:t>57.956.151</w:t>
            </w:r>
          </w:p>
        </w:tc>
        <w:tc>
          <w:tcPr>
            <w:tcW w:w="1000" w:type="pct"/>
            <w:vAlign w:val="bottom"/>
          </w:tcPr>
          <w:p w:rsidR="00745A67" w:rsidRDefault="00A635D2">
            <w:pPr>
              <w:spacing w:after="0" w:line="240" w:lineRule="auto"/>
              <w:jc w:val="right"/>
            </w:pPr>
            <w:r>
              <w:rPr>
                <w:rFonts w:ascii="Times New Roman" w:hAnsi="Times New Roman" w:cs="Times New Roman"/>
                <w:b/>
                <w:sz w:val="18"/>
              </w:rPr>
              <w:t>13.561.130</w:t>
            </w:r>
          </w:p>
        </w:tc>
        <w:tc>
          <w:tcPr>
            <w:tcW w:w="800" w:type="pct"/>
            <w:vAlign w:val="bottom"/>
          </w:tcPr>
          <w:p w:rsidR="00745A67" w:rsidRDefault="00A635D2">
            <w:pPr>
              <w:spacing w:after="0" w:line="240" w:lineRule="auto"/>
              <w:jc w:val="right"/>
            </w:pPr>
            <w:r>
              <w:rPr>
                <w:rFonts w:ascii="Times New Roman" w:hAnsi="Times New Roman" w:cs="Times New Roman"/>
                <w:b/>
                <w:sz w:val="18"/>
              </w:rPr>
              <w:t>23,4</w:t>
            </w:r>
          </w:p>
        </w:tc>
      </w:tr>
      <w:tr w:rsidR="00745A67">
        <w:tc>
          <w:tcPr>
            <w:tcW w:w="2500" w:type="pct"/>
            <w:vAlign w:val="bottom"/>
          </w:tcPr>
          <w:p w:rsidR="00745A67" w:rsidRDefault="00A635D2">
            <w:pPr>
              <w:spacing w:after="0" w:line="240" w:lineRule="auto"/>
            </w:pPr>
            <w:r>
              <w:rPr>
                <w:rFonts w:ascii="Times New Roman" w:hAnsi="Times New Roman" w:cs="Times New Roman"/>
                <w:sz w:val="18"/>
              </w:rPr>
              <w:t>PRIJENOS SREDSTAVA IZ PRETHODNE GODINE</w:t>
            </w:r>
          </w:p>
        </w:tc>
        <w:tc>
          <w:tcPr>
            <w:tcW w:w="1000" w:type="pct"/>
            <w:vAlign w:val="bottom"/>
          </w:tcPr>
          <w:p w:rsidR="00745A67" w:rsidRDefault="00A635D2">
            <w:pPr>
              <w:spacing w:after="0" w:line="240" w:lineRule="auto"/>
              <w:jc w:val="right"/>
            </w:pPr>
            <w:r>
              <w:rPr>
                <w:rFonts w:ascii="Times New Roman" w:hAnsi="Times New Roman" w:cs="Times New Roman"/>
                <w:sz w:val="18"/>
              </w:rPr>
              <w:t>31.101.757</w:t>
            </w:r>
          </w:p>
        </w:tc>
        <w:tc>
          <w:tcPr>
            <w:tcW w:w="800" w:type="pct"/>
            <w:vAlign w:val="bottom"/>
          </w:tcPr>
          <w:p w:rsidR="00745A67" w:rsidRDefault="00A635D2">
            <w:pPr>
              <w:spacing w:after="0" w:line="240" w:lineRule="auto"/>
              <w:jc w:val="right"/>
            </w:pPr>
            <w:r>
              <w:rPr>
                <w:rFonts w:ascii="Times New Roman" w:hAnsi="Times New Roman" w:cs="Times New Roman"/>
                <w:sz w:val="18"/>
              </w:rPr>
              <w:t>31.101.757</w:t>
            </w:r>
          </w:p>
        </w:tc>
        <w:tc>
          <w:tcPr>
            <w:tcW w:w="800" w:type="pct"/>
            <w:vAlign w:val="bottom"/>
          </w:tcPr>
          <w:p w:rsidR="00745A67" w:rsidRDefault="00A635D2">
            <w:pPr>
              <w:spacing w:after="0" w:line="240" w:lineRule="auto"/>
              <w:jc w:val="right"/>
            </w:pPr>
            <w:r>
              <w:rPr>
                <w:rFonts w:ascii="Times New Roman" w:hAnsi="Times New Roman" w:cs="Times New Roman"/>
                <w:sz w:val="18"/>
              </w:rPr>
              <w:t>100,0</w:t>
            </w:r>
          </w:p>
        </w:tc>
      </w:tr>
      <w:tr w:rsidR="00745A67">
        <w:tc>
          <w:tcPr>
            <w:tcW w:w="2500" w:type="pct"/>
            <w:vAlign w:val="bottom"/>
          </w:tcPr>
          <w:p w:rsidR="00745A67" w:rsidRDefault="00A635D2">
            <w:pPr>
              <w:spacing w:after="0" w:line="240" w:lineRule="auto"/>
            </w:pPr>
            <w:r>
              <w:rPr>
                <w:rFonts w:ascii="Times New Roman" w:hAnsi="Times New Roman" w:cs="Times New Roman"/>
                <w:sz w:val="18"/>
              </w:rPr>
              <w:t>PRIJENOS SREDSTAVA U SLJEDEĆE RAZDOBLJE</w:t>
            </w:r>
          </w:p>
        </w:tc>
        <w:tc>
          <w:tcPr>
            <w:tcW w:w="1000" w:type="pct"/>
            <w:vAlign w:val="bottom"/>
          </w:tcPr>
          <w:p w:rsidR="00745A67" w:rsidRDefault="00A635D2">
            <w:pPr>
              <w:spacing w:after="0" w:line="240" w:lineRule="auto"/>
              <w:jc w:val="right"/>
            </w:pPr>
            <w:r>
              <w:rPr>
                <w:rFonts w:ascii="Times New Roman" w:hAnsi="Times New Roman" w:cs="Times New Roman"/>
                <w:sz w:val="18"/>
              </w:rPr>
              <w:t>-31.101.757</w:t>
            </w:r>
          </w:p>
        </w:tc>
        <w:tc>
          <w:tcPr>
            <w:tcW w:w="800" w:type="pct"/>
            <w:vAlign w:val="bottom"/>
          </w:tcPr>
          <w:p w:rsidR="00745A67" w:rsidRDefault="00A635D2">
            <w:pPr>
              <w:spacing w:after="0" w:line="240" w:lineRule="auto"/>
              <w:jc w:val="right"/>
            </w:pPr>
            <w:r>
              <w:rPr>
                <w:rFonts w:ascii="Times New Roman" w:hAnsi="Times New Roman" w:cs="Times New Roman"/>
                <w:sz w:val="18"/>
              </w:rPr>
              <w:t>-85.764.956</w:t>
            </w:r>
          </w:p>
        </w:tc>
        <w:tc>
          <w:tcPr>
            <w:tcW w:w="800" w:type="pct"/>
            <w:vAlign w:val="bottom"/>
          </w:tcPr>
          <w:p w:rsidR="00745A67" w:rsidRDefault="00A635D2">
            <w:pPr>
              <w:spacing w:after="0" w:line="240" w:lineRule="auto"/>
              <w:jc w:val="right"/>
            </w:pPr>
            <w:r>
              <w:rPr>
                <w:rFonts w:ascii="Times New Roman" w:hAnsi="Times New Roman" w:cs="Times New Roman"/>
                <w:sz w:val="18"/>
              </w:rPr>
              <w:t>275,8</w:t>
            </w:r>
          </w:p>
        </w:tc>
      </w:tr>
      <w:tr w:rsidR="00745A67">
        <w:tc>
          <w:tcPr>
            <w:tcW w:w="2500" w:type="pct"/>
            <w:vAlign w:val="bottom"/>
          </w:tcPr>
          <w:p w:rsidR="00745A67" w:rsidRDefault="00A635D2">
            <w:pPr>
              <w:spacing w:after="0" w:line="240" w:lineRule="auto"/>
            </w:pPr>
            <w:r>
              <w:rPr>
                <w:rFonts w:ascii="Times New Roman" w:hAnsi="Times New Roman" w:cs="Times New Roman"/>
                <w:sz w:val="18"/>
              </w:rPr>
              <w:t>NETO FINANCIRANJE</w:t>
            </w:r>
          </w:p>
        </w:tc>
        <w:tc>
          <w:tcPr>
            <w:tcW w:w="1000" w:type="pct"/>
            <w:vAlign w:val="bottom"/>
          </w:tcPr>
          <w:p w:rsidR="00745A67" w:rsidRDefault="00A635D2">
            <w:pPr>
              <w:spacing w:after="0" w:line="240" w:lineRule="auto"/>
              <w:jc w:val="right"/>
            </w:pPr>
            <w:r>
              <w:rPr>
                <w:rFonts w:ascii="Times New Roman" w:hAnsi="Times New Roman" w:cs="Times New Roman"/>
                <w:sz w:val="18"/>
              </w:rPr>
              <w:t>57.956.151</w:t>
            </w:r>
          </w:p>
        </w:tc>
        <w:tc>
          <w:tcPr>
            <w:tcW w:w="800" w:type="pct"/>
            <w:vAlign w:val="bottom"/>
          </w:tcPr>
          <w:p w:rsidR="00745A67" w:rsidRDefault="00A635D2">
            <w:pPr>
              <w:spacing w:after="0" w:line="240" w:lineRule="auto"/>
              <w:jc w:val="right"/>
            </w:pPr>
            <w:r>
              <w:rPr>
                <w:rFonts w:ascii="Times New Roman" w:hAnsi="Times New Roman" w:cs="Times New Roman"/>
                <w:sz w:val="18"/>
              </w:rPr>
              <w:t>-41.102.069</w:t>
            </w:r>
          </w:p>
        </w:tc>
        <w:tc>
          <w:tcPr>
            <w:tcW w:w="800" w:type="pct"/>
            <w:vAlign w:val="bottom"/>
          </w:tcPr>
          <w:p w:rsidR="00745A67" w:rsidRDefault="00A635D2">
            <w:pPr>
              <w:spacing w:after="0" w:line="240" w:lineRule="auto"/>
              <w:jc w:val="right"/>
            </w:pPr>
            <w:r>
              <w:rPr>
                <w:rFonts w:ascii="Times New Roman" w:hAnsi="Times New Roman" w:cs="Times New Roman"/>
                <w:sz w:val="18"/>
              </w:rPr>
              <w:t>-70,9</w:t>
            </w:r>
          </w:p>
        </w:tc>
      </w:tr>
      <w:tr w:rsidR="00745A67">
        <w:tc>
          <w:tcPr>
            <w:tcW w:w="2500" w:type="pct"/>
            <w:vAlign w:val="bottom"/>
          </w:tcPr>
          <w:p w:rsidR="00745A67" w:rsidRDefault="00A635D2">
            <w:pPr>
              <w:spacing w:after="0" w:line="240" w:lineRule="auto"/>
            </w:pPr>
            <w:r>
              <w:rPr>
                <w:rFonts w:ascii="Times New Roman" w:hAnsi="Times New Roman" w:cs="Times New Roman"/>
                <w:b/>
                <w:sz w:val="18"/>
              </w:rPr>
              <w:t>VIŠAK/MANJAK + NETO FINANCIRANJE</w:t>
            </w:r>
          </w:p>
        </w:tc>
        <w:tc>
          <w:tcPr>
            <w:tcW w:w="1000" w:type="pct"/>
            <w:vAlign w:val="bottom"/>
          </w:tcPr>
          <w:p w:rsidR="00745A67" w:rsidRDefault="00A635D2">
            <w:pPr>
              <w:spacing w:after="0" w:line="240" w:lineRule="auto"/>
              <w:jc w:val="right"/>
            </w:pPr>
            <w:r>
              <w:rPr>
                <w:rFonts w:ascii="Times New Roman" w:hAnsi="Times New Roman" w:cs="Times New Roman"/>
                <w:b/>
                <w:sz w:val="18"/>
              </w:rPr>
              <w:t>0</w:t>
            </w:r>
          </w:p>
        </w:tc>
        <w:tc>
          <w:tcPr>
            <w:tcW w:w="800" w:type="pct"/>
            <w:vAlign w:val="bottom"/>
          </w:tcPr>
          <w:p w:rsidR="00745A67" w:rsidRDefault="00A635D2">
            <w:pPr>
              <w:spacing w:after="0" w:line="240" w:lineRule="auto"/>
              <w:jc w:val="right"/>
            </w:pPr>
            <w:r>
              <w:rPr>
                <w:rFonts w:ascii="Times New Roman" w:hAnsi="Times New Roman" w:cs="Times New Roman"/>
                <w:b/>
                <w:sz w:val="18"/>
              </w:rPr>
              <w:t>0</w:t>
            </w:r>
          </w:p>
        </w:tc>
        <w:tc>
          <w:tcPr>
            <w:tcW w:w="800" w:type="pct"/>
            <w:vAlign w:val="bottom"/>
          </w:tcPr>
          <w:p w:rsidR="00745A67" w:rsidRDefault="00745A67">
            <w:pPr>
              <w:spacing w:after="0" w:line="240" w:lineRule="auto"/>
              <w:jc w:val="right"/>
            </w:pPr>
          </w:p>
        </w:tc>
      </w:tr>
    </w:tbl>
    <w:p w:rsidR="00745A67" w:rsidRDefault="00745A67">
      <w:pPr>
        <w:spacing w:after="0" w:line="240" w:lineRule="auto"/>
      </w:pPr>
    </w:p>
    <w:p w:rsidR="00745A67" w:rsidRDefault="00A635D2">
      <w:pPr>
        <w:spacing w:line="240" w:lineRule="auto"/>
        <w:jc w:val="both"/>
      </w:pPr>
      <w:r>
        <w:rPr>
          <w:rFonts w:ascii="Times New Roman" w:hAnsi="Times New Roman" w:cs="Times New Roman"/>
          <w:sz w:val="24"/>
        </w:rPr>
        <w:t>U prvoj polovici 2023. godine primici od zaduživanja iznose 50,00 milijuna eura, dok izdaci za otplatu glavnice primljenih kredita i zajmova iznose 36,44 milijuna eura, odnosno 50,03% planiranog iznosa.</w:t>
      </w:r>
    </w:p>
    <w:p w:rsidR="00745A67" w:rsidRDefault="00A635D2">
      <w:pPr>
        <w:spacing w:line="240" w:lineRule="auto"/>
        <w:jc w:val="both"/>
      </w:pPr>
      <w:r>
        <w:rPr>
          <w:rFonts w:ascii="Times New Roman" w:hAnsi="Times New Roman" w:cs="Times New Roman"/>
          <w:sz w:val="24"/>
        </w:rPr>
        <w:t>Prijenos sredstava iz prethodne godine prema Izvršenju financijskog plana Hrvatskih cesta za prvo polugodište 2023. godine iznosi 31,10 milijuna eura. Najveći dio prenesenih sredstava odnosi se na stanje na redovnim računima Hrvatskih cesta, posebno sredstva od naknade za financiranje građenja i održavanja državnih cesta. Ova sredstva omogućavaju održavanje stabilnosti i likvidnosti Društva u početnom periodu godine. Prenesena sredstva uključuju i namjenska sredstva za financiranje projekata koji se sufinanciraju iz fondova Europske unije te deponirana sredstva za izvlaštenje zemljišta i sudski polozi.</w:t>
      </w:r>
    </w:p>
    <w:p w:rsidR="00745A67" w:rsidRDefault="00A635D2">
      <w:pPr>
        <w:spacing w:line="240" w:lineRule="auto"/>
        <w:jc w:val="both"/>
        <w:rPr>
          <w:rFonts w:ascii="Times New Roman" w:hAnsi="Times New Roman" w:cs="Times New Roman"/>
          <w:sz w:val="24"/>
        </w:rPr>
      </w:pPr>
      <w:r>
        <w:rPr>
          <w:rFonts w:ascii="Times New Roman" w:hAnsi="Times New Roman" w:cs="Times New Roman"/>
          <w:sz w:val="24"/>
        </w:rPr>
        <w:t>Prijenos sredstava u sljedeće razdoblje iznosi 85,76 milijuna eura što se planira trošiti na poslovne aktivnosti Društva u drugom dijelu proračunske godine.</w:t>
      </w:r>
    </w:p>
    <w:p w:rsidR="00E1508C" w:rsidRDefault="00E1508C">
      <w:pPr>
        <w:spacing w:line="240" w:lineRule="auto"/>
        <w:jc w:val="both"/>
        <w:rPr>
          <w:rFonts w:ascii="Times New Roman" w:hAnsi="Times New Roman" w:cs="Times New Roman"/>
          <w:sz w:val="24"/>
        </w:rPr>
      </w:pPr>
    </w:p>
    <w:p w:rsidR="00E1508C" w:rsidRDefault="00E1508C">
      <w:pPr>
        <w:spacing w:line="240" w:lineRule="auto"/>
        <w:jc w:val="both"/>
        <w:rPr>
          <w:rFonts w:ascii="Times New Roman" w:hAnsi="Times New Roman" w:cs="Times New Roman"/>
          <w:sz w:val="24"/>
        </w:rPr>
      </w:pPr>
    </w:p>
    <w:p w:rsidR="00E1508C" w:rsidRDefault="00E1508C">
      <w:pPr>
        <w:spacing w:line="240" w:lineRule="auto"/>
        <w:jc w:val="both"/>
        <w:rPr>
          <w:rFonts w:ascii="Times New Roman" w:hAnsi="Times New Roman" w:cs="Times New Roman"/>
          <w:sz w:val="24"/>
        </w:rPr>
      </w:pPr>
    </w:p>
    <w:p w:rsidR="00E1508C" w:rsidRDefault="00E1508C">
      <w:pPr>
        <w:spacing w:line="240" w:lineRule="auto"/>
        <w:jc w:val="both"/>
        <w:rPr>
          <w:rFonts w:ascii="Times New Roman" w:hAnsi="Times New Roman" w:cs="Times New Roman"/>
          <w:sz w:val="24"/>
        </w:rPr>
      </w:pPr>
    </w:p>
    <w:p w:rsidR="00E1508C" w:rsidRDefault="00E1508C">
      <w:pPr>
        <w:spacing w:line="240" w:lineRule="auto"/>
        <w:jc w:val="both"/>
        <w:rPr>
          <w:rFonts w:ascii="Times New Roman" w:hAnsi="Times New Roman" w:cs="Times New Roman"/>
          <w:sz w:val="24"/>
        </w:rPr>
      </w:pPr>
    </w:p>
    <w:p w:rsidR="00E1508C" w:rsidRDefault="00E1508C">
      <w:pPr>
        <w:spacing w:line="240" w:lineRule="auto"/>
        <w:jc w:val="both"/>
      </w:pPr>
    </w:p>
    <w:p w:rsidR="00AF4303" w:rsidRDefault="00AF4303">
      <w:pPr>
        <w:spacing w:line="360" w:lineRule="auto"/>
        <w:jc w:val="center"/>
        <w:rPr>
          <w:rFonts w:ascii="Times New Roman" w:hAnsi="Times New Roman" w:cs="Times New Roman"/>
          <w:b/>
          <w:sz w:val="28"/>
        </w:rPr>
      </w:pPr>
    </w:p>
    <w:p w:rsidR="00745A67" w:rsidRDefault="00A635D2">
      <w:pPr>
        <w:spacing w:line="360" w:lineRule="auto"/>
        <w:jc w:val="center"/>
      </w:pPr>
      <w:r>
        <w:rPr>
          <w:rFonts w:ascii="Times New Roman" w:hAnsi="Times New Roman" w:cs="Times New Roman"/>
          <w:b/>
          <w:sz w:val="28"/>
        </w:rPr>
        <w:lastRenderedPageBreak/>
        <w:t>IZVJEŠTAJ O ZADUŽIVANJU NA DOMAĆEM I STRANOM TRŽIŠTU NOVCA I KAPITALA</w:t>
      </w:r>
    </w:p>
    <w:p w:rsidR="00745A67" w:rsidRDefault="00A635D2">
      <w:pPr>
        <w:spacing w:line="240" w:lineRule="auto"/>
        <w:jc w:val="both"/>
      </w:pPr>
      <w:r>
        <w:rPr>
          <w:rFonts w:ascii="Times New Roman" w:hAnsi="Times New Roman" w:cs="Times New Roman"/>
          <w:sz w:val="24"/>
        </w:rPr>
        <w:t xml:space="preserve">U prvom polugodištu 2023. godine, Društvo je, uz suglasnost Vlade Republike Hrvatske i državno jamstvo,  ugovorilo dugoročno kreditno zaduženje kod sindikata poslovnih banaka u iznosu od 116,70 milijuna eura za financiranje projekata i plana poslovanja u 2023. godini. Krajnje dospijeće kredita je 12 godina, uz tri godine počeka te fiksnu kamatnu stopu od 4,40%. </w:t>
      </w:r>
    </w:p>
    <w:p w:rsidR="00745A67" w:rsidRDefault="00A635D2">
      <w:pPr>
        <w:spacing w:line="240" w:lineRule="auto"/>
        <w:jc w:val="both"/>
      </w:pPr>
      <w:r>
        <w:rPr>
          <w:rFonts w:ascii="Times New Roman" w:hAnsi="Times New Roman" w:cs="Times New Roman"/>
          <w:sz w:val="24"/>
        </w:rPr>
        <w:t>Do 30. lipnja 2023. godine, Društvo je povuklo sredstva u iznosu od 50,00 milijuna eura te do kraja godine planira iskoristiti ukupan iznos ugovorenog kredita.</w:t>
      </w:r>
    </w:p>
    <w:p w:rsidR="00745A67" w:rsidRDefault="00A635D2">
      <w:pPr>
        <w:spacing w:line="240" w:lineRule="auto"/>
        <w:jc w:val="both"/>
        <w:rPr>
          <w:rFonts w:ascii="Times New Roman" w:hAnsi="Times New Roman" w:cs="Times New Roman"/>
          <w:sz w:val="24"/>
        </w:rPr>
      </w:pPr>
      <w:r>
        <w:rPr>
          <w:rFonts w:ascii="Times New Roman" w:hAnsi="Times New Roman" w:cs="Times New Roman"/>
          <w:sz w:val="24"/>
        </w:rPr>
        <w:t>Otplata glavnice ovog kredita ugovorena je u jednakim šestomjesečnim ratama. Godišnji iznos otplate glavnice iznosi 12,28 milijuna eura u razdoblju od 2026. godine do 2034. godine, te 6,14 milijuna eura u 2035. godini. </w:t>
      </w:r>
    </w:p>
    <w:p w:rsidR="00E1508C" w:rsidRDefault="00E1508C">
      <w:pPr>
        <w:spacing w:line="240" w:lineRule="auto"/>
        <w:jc w:val="both"/>
      </w:pPr>
    </w:p>
    <w:p w:rsidR="00745A67" w:rsidRDefault="00A635D2">
      <w:pPr>
        <w:spacing w:line="360" w:lineRule="auto"/>
        <w:jc w:val="center"/>
      </w:pPr>
      <w:r>
        <w:rPr>
          <w:rFonts w:ascii="Times New Roman" w:hAnsi="Times New Roman" w:cs="Times New Roman"/>
          <w:b/>
          <w:sz w:val="28"/>
        </w:rPr>
        <w:br/>
        <w:t xml:space="preserve">IZVJEŠTAJ O DANIM JAMSTVIMA I PLAĆANJIMA PO PROTESTIRANIM JAMSTVIMA </w:t>
      </w:r>
    </w:p>
    <w:p w:rsidR="00745A67" w:rsidRDefault="00A635D2">
      <w:pPr>
        <w:spacing w:line="240" w:lineRule="auto"/>
        <w:jc w:val="both"/>
      </w:pPr>
      <w:r>
        <w:rPr>
          <w:rFonts w:ascii="Times New Roman" w:hAnsi="Times New Roman" w:cs="Times New Roman"/>
          <w:sz w:val="24"/>
        </w:rPr>
        <w:t>U razdoblju od siječnja do lipnja 2023. godine, Društvo nije izdalo jamstva niti izvršilo plaćanja po protestiranim jamstvima.</w:t>
      </w:r>
    </w:p>
    <w:sectPr w:rsidR="00745A67" w:rsidSect="00E1508C">
      <w:footerReference w:type="default" r:id="rId7"/>
      <w:pgSz w:w="11906" w:h="16838" w:code="9"/>
      <w:pgMar w:top="1417" w:right="1417" w:bottom="1417" w:left="1417" w:header="720" w:footer="720" w:gutter="0"/>
      <w:pgNumType w:start="1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59A3" w:rsidRDefault="008E59A3" w:rsidP="008E59A3">
      <w:pPr>
        <w:spacing w:after="0" w:line="240" w:lineRule="auto"/>
      </w:pPr>
      <w:r>
        <w:separator/>
      </w:r>
    </w:p>
  </w:endnote>
  <w:endnote w:type="continuationSeparator" w:id="0">
    <w:p w:rsidR="008E59A3" w:rsidRDefault="008E59A3" w:rsidP="008E5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3017520"/>
      <w:docPartObj>
        <w:docPartGallery w:val="Page Numbers (Bottom of Page)"/>
        <w:docPartUnique/>
      </w:docPartObj>
    </w:sdtPr>
    <w:sdtEndPr>
      <w:rPr>
        <w:rFonts w:ascii="Times New Roman" w:hAnsi="Times New Roman" w:cs="Times New Roman"/>
        <w:sz w:val="24"/>
        <w:szCs w:val="24"/>
      </w:rPr>
    </w:sdtEndPr>
    <w:sdtContent>
      <w:p w:rsidR="008E59A3" w:rsidRPr="008E59A3" w:rsidRDefault="008E59A3">
        <w:pPr>
          <w:pStyle w:val="Podnoje"/>
          <w:jc w:val="center"/>
          <w:rPr>
            <w:rFonts w:ascii="Times New Roman" w:hAnsi="Times New Roman" w:cs="Times New Roman"/>
            <w:sz w:val="24"/>
            <w:szCs w:val="24"/>
          </w:rPr>
        </w:pPr>
        <w:r w:rsidRPr="008E59A3">
          <w:rPr>
            <w:rFonts w:ascii="Times New Roman" w:hAnsi="Times New Roman" w:cs="Times New Roman"/>
            <w:sz w:val="24"/>
            <w:szCs w:val="24"/>
          </w:rPr>
          <w:fldChar w:fldCharType="begin"/>
        </w:r>
        <w:r w:rsidRPr="008E59A3">
          <w:rPr>
            <w:rFonts w:ascii="Times New Roman" w:hAnsi="Times New Roman" w:cs="Times New Roman"/>
            <w:sz w:val="24"/>
            <w:szCs w:val="24"/>
          </w:rPr>
          <w:instrText>PAGE   \* MERGEFORMAT</w:instrText>
        </w:r>
        <w:r w:rsidRPr="008E59A3">
          <w:rPr>
            <w:rFonts w:ascii="Times New Roman" w:hAnsi="Times New Roman" w:cs="Times New Roman"/>
            <w:sz w:val="24"/>
            <w:szCs w:val="24"/>
          </w:rPr>
          <w:fldChar w:fldCharType="separate"/>
        </w:r>
        <w:r w:rsidR="002F1FC3">
          <w:rPr>
            <w:rFonts w:ascii="Times New Roman" w:hAnsi="Times New Roman" w:cs="Times New Roman"/>
            <w:noProof/>
            <w:sz w:val="24"/>
            <w:szCs w:val="24"/>
          </w:rPr>
          <w:t>11</w:t>
        </w:r>
        <w:r w:rsidRPr="008E59A3">
          <w:rPr>
            <w:rFonts w:ascii="Times New Roman" w:hAnsi="Times New Roman" w:cs="Times New Roman"/>
            <w:sz w:val="24"/>
            <w:szCs w:val="24"/>
          </w:rPr>
          <w:fldChar w:fldCharType="end"/>
        </w:r>
      </w:p>
    </w:sdtContent>
  </w:sdt>
  <w:p w:rsidR="008E59A3" w:rsidRDefault="008E59A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59A3" w:rsidRDefault="008E59A3" w:rsidP="008E59A3">
      <w:pPr>
        <w:spacing w:after="0" w:line="240" w:lineRule="auto"/>
      </w:pPr>
      <w:r>
        <w:separator/>
      </w:r>
    </w:p>
  </w:footnote>
  <w:footnote w:type="continuationSeparator" w:id="0">
    <w:p w:rsidR="008E59A3" w:rsidRDefault="008E59A3" w:rsidP="008E59A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45A67"/>
    <w:rsid w:val="002F1FC3"/>
    <w:rsid w:val="00745A67"/>
    <w:rsid w:val="008E59A3"/>
    <w:rsid w:val="00A635D2"/>
    <w:rsid w:val="00AF4303"/>
    <w:rsid w:val="00B50B64"/>
    <w:rsid w:val="00C46092"/>
    <w:rsid w:val="00E1508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5E6C1"/>
  <w15:docId w15:val="{60AEBAB9-5C27-49F1-830F-35F909E3E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8E59A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E59A3"/>
  </w:style>
  <w:style w:type="paragraph" w:styleId="Podnoje">
    <w:name w:val="footer"/>
    <w:basedOn w:val="Normal"/>
    <w:link w:val="PodnojeChar"/>
    <w:uiPriority w:val="99"/>
    <w:unhideWhenUsed/>
    <w:rsid w:val="008E59A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E59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98636E-90A2-4242-925B-1E0B32875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1135</Words>
  <Characters>6470</Characters>
  <Application>Microsoft Office Word</Application>
  <DocSecurity>0</DocSecurity>
  <Lines>53</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Mirta Hukman</cp:lastModifiedBy>
  <cp:revision>8</cp:revision>
  <dcterms:created xsi:type="dcterms:W3CDTF">2023-08-31T09:37:00Z</dcterms:created>
  <dcterms:modified xsi:type="dcterms:W3CDTF">2023-09-14T12:16:00Z</dcterms:modified>
</cp:coreProperties>
</file>