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2DD4E" w14:textId="0878984E" w:rsidR="007E6CEF" w:rsidRPr="00E56538" w:rsidRDefault="00122E8C" w:rsidP="00E56538">
      <w:pPr>
        <w:spacing w:after="160"/>
        <w:jc w:val="center"/>
        <w:rPr>
          <w:rFonts w:ascii="Times New Roman" w:hAnsi="Times New Roman" w:cs="Times New Roman"/>
          <w:b/>
          <w:sz w:val="28"/>
          <w:szCs w:val="22"/>
          <w:lang w:eastAsia="hr-HR"/>
        </w:rPr>
      </w:pPr>
      <w:r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OBRAZLOŽENJE IZVRŠENJA FINANCIJSK</w:t>
      </w:r>
      <w:r w:rsidR="008125EE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OG</w:t>
      </w:r>
      <w:r w:rsidR="00001B90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 xml:space="preserve"> PLANA</w:t>
      </w:r>
      <w:r w:rsidR="008125EE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 xml:space="preserve"> </w:t>
      </w:r>
    </w:p>
    <w:p w14:paraId="1BE9780F" w14:textId="2220ADED" w:rsidR="00683463" w:rsidRPr="00E56538" w:rsidRDefault="00DE3800" w:rsidP="00E56538">
      <w:pPr>
        <w:spacing w:after="160"/>
        <w:jc w:val="center"/>
        <w:rPr>
          <w:rFonts w:ascii="Times New Roman" w:hAnsi="Times New Roman" w:cs="Times New Roman"/>
          <w:b/>
          <w:sz w:val="28"/>
          <w:szCs w:val="22"/>
          <w:lang w:eastAsia="hr-HR"/>
        </w:rPr>
      </w:pPr>
      <w:r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HŽ INFRASTRUKTURE</w:t>
      </w:r>
      <w:r w:rsidR="008125EE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 xml:space="preserve"> ZA </w:t>
      </w:r>
      <w:r w:rsidR="000B1442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PRVO POLUGODIŠTE</w:t>
      </w:r>
      <w:r w:rsidR="00FB0887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 xml:space="preserve"> </w:t>
      </w:r>
      <w:r w:rsidR="008125EE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20</w:t>
      </w:r>
      <w:r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2</w:t>
      </w:r>
      <w:r w:rsidR="0088045B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3</w:t>
      </w:r>
      <w:r w:rsidR="00122E8C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. GODIN</w:t>
      </w:r>
      <w:r w:rsidR="000B1442" w:rsidRPr="00E56538">
        <w:rPr>
          <w:rFonts w:ascii="Times New Roman" w:hAnsi="Times New Roman" w:cs="Times New Roman"/>
          <w:b/>
          <w:sz w:val="28"/>
          <w:szCs w:val="22"/>
          <w:lang w:eastAsia="hr-HR"/>
        </w:rPr>
        <w:t>E</w:t>
      </w:r>
    </w:p>
    <w:p w14:paraId="66AFA945" w14:textId="77777777" w:rsidR="005E75FF" w:rsidRDefault="005E75FF" w:rsidP="0097764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4E486DE" w14:textId="77777777" w:rsidR="002413D2" w:rsidRDefault="002413D2" w:rsidP="00555910">
      <w:pPr>
        <w:spacing w:line="240" w:lineRule="auto"/>
        <w:rPr>
          <w:rFonts w:ascii="Times New Roman" w:hAnsi="Times New Roman" w:cs="Times New Roman"/>
          <w:b/>
          <w:bCs/>
          <w:szCs w:val="24"/>
        </w:rPr>
      </w:pPr>
    </w:p>
    <w:p w14:paraId="4C721FAD" w14:textId="297126A6" w:rsidR="005E75FF" w:rsidRPr="00326222" w:rsidRDefault="003D4EA2" w:rsidP="00326222">
      <w:pPr>
        <w:spacing w:after="240" w:line="240" w:lineRule="auto"/>
        <w:rPr>
          <w:rFonts w:ascii="Times New Roman" w:hAnsi="Times New Roman" w:cs="Times New Roman"/>
          <w:b/>
          <w:bCs/>
          <w:szCs w:val="24"/>
          <w:u w:val="single"/>
        </w:rPr>
      </w:pPr>
      <w:r w:rsidRPr="00326222">
        <w:rPr>
          <w:rFonts w:ascii="Times New Roman" w:hAnsi="Times New Roman" w:cs="Times New Roman"/>
          <w:b/>
          <w:bCs/>
          <w:szCs w:val="24"/>
          <w:u w:val="single"/>
        </w:rPr>
        <w:t>UVOD</w:t>
      </w:r>
    </w:p>
    <w:p w14:paraId="707CF643" w14:textId="77777777" w:rsidR="00555910" w:rsidRPr="00880FD6" w:rsidRDefault="00555910" w:rsidP="00555910">
      <w:pPr>
        <w:spacing w:line="240" w:lineRule="auto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 xml:space="preserve">HŽ Infrastruktura je strateško društvo u vlasništvu Republike Hrvatske koje upravlja željezničkom infrastrukturom u Republici Hrvatskoj. Kao upravitelj željezničke infrastrukture, HŽ Infrastruktura je dužna osigurati siguran, pouzdan, </w:t>
      </w:r>
      <w:proofErr w:type="spellStart"/>
      <w:r w:rsidRPr="00880FD6">
        <w:rPr>
          <w:rFonts w:ascii="Times New Roman" w:hAnsi="Times New Roman" w:cs="Times New Roman"/>
          <w:szCs w:val="24"/>
        </w:rPr>
        <w:t>nediskriminirajući</w:t>
      </w:r>
      <w:proofErr w:type="spellEnd"/>
      <w:r w:rsidRPr="00880FD6">
        <w:rPr>
          <w:rFonts w:ascii="Times New Roman" w:hAnsi="Times New Roman" w:cs="Times New Roman"/>
          <w:szCs w:val="24"/>
        </w:rPr>
        <w:t>, gospodarski učinkovit i razvojno održiv željeznički promet u skladu sa zakonskim propisima i ugovornim obvezama. Stoga, upravljanje željezničkom infrastrukturom kao djelatnost od javnog interesa obuhvaća:</w:t>
      </w:r>
    </w:p>
    <w:p w14:paraId="0500543E" w14:textId="77777777" w:rsidR="00555910" w:rsidRPr="00880FD6" w:rsidRDefault="00555910" w:rsidP="00555910">
      <w:pPr>
        <w:pStyle w:val="Odlomakpopisa"/>
        <w:numPr>
          <w:ilvl w:val="0"/>
          <w:numId w:val="19"/>
        </w:numPr>
        <w:spacing w:after="0" w:line="259" w:lineRule="auto"/>
        <w:ind w:left="709" w:hanging="283"/>
        <w:contextualSpacing w:val="0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Organizaciju i regulaciju željezničkog prometa</w:t>
      </w:r>
    </w:p>
    <w:p w14:paraId="78AC7136" w14:textId="77777777" w:rsidR="00555910" w:rsidRPr="00880FD6" w:rsidRDefault="00555910" w:rsidP="00555910">
      <w:pPr>
        <w:pStyle w:val="Odlomakpopisa"/>
        <w:numPr>
          <w:ilvl w:val="0"/>
          <w:numId w:val="19"/>
        </w:numPr>
        <w:spacing w:after="0" w:line="259" w:lineRule="auto"/>
        <w:ind w:left="709" w:hanging="283"/>
        <w:contextualSpacing w:val="0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Osiguranje pristupa i korištenje željezničke infrastrukture svim željezničkim prijevoznicima koji ispunjavaju propisane uvjete</w:t>
      </w:r>
    </w:p>
    <w:p w14:paraId="0A8028A5" w14:textId="77777777" w:rsidR="00555910" w:rsidRPr="00880FD6" w:rsidRDefault="00555910" w:rsidP="00555910">
      <w:pPr>
        <w:pStyle w:val="Odlomakpopisa"/>
        <w:numPr>
          <w:ilvl w:val="0"/>
          <w:numId w:val="19"/>
        </w:numPr>
        <w:spacing w:after="0" w:line="259" w:lineRule="auto"/>
        <w:ind w:left="709" w:hanging="283"/>
        <w:contextualSpacing w:val="0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 xml:space="preserve">Održavanje željezničke infrastrukture </w:t>
      </w:r>
    </w:p>
    <w:p w14:paraId="71A3F783" w14:textId="77777777" w:rsidR="00555910" w:rsidRPr="00880FD6" w:rsidRDefault="00555910" w:rsidP="00555910">
      <w:pPr>
        <w:pStyle w:val="Odlomakpopisa"/>
        <w:numPr>
          <w:ilvl w:val="0"/>
          <w:numId w:val="19"/>
        </w:numPr>
        <w:spacing w:after="0" w:line="259" w:lineRule="auto"/>
        <w:ind w:left="709" w:hanging="283"/>
        <w:contextualSpacing w:val="0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Izgradnju, dogradnju i obnovu kao i osuvremenjivanje željezničke infrastrukture sukladno Nacionalnom programu željezničke infrastrukture</w:t>
      </w:r>
    </w:p>
    <w:p w14:paraId="3A5B57EC" w14:textId="77777777" w:rsidR="00555910" w:rsidRPr="00880FD6" w:rsidRDefault="00555910" w:rsidP="00555910">
      <w:pPr>
        <w:pStyle w:val="Odlomakpopisa"/>
        <w:spacing w:after="0"/>
        <w:ind w:left="709"/>
        <w:contextualSpacing w:val="0"/>
        <w:rPr>
          <w:rFonts w:ascii="Times New Roman" w:hAnsi="Times New Roman" w:cs="Times New Roman"/>
          <w:szCs w:val="24"/>
        </w:rPr>
      </w:pPr>
    </w:p>
    <w:p w14:paraId="5D48D1F9" w14:textId="77777777" w:rsidR="00555910" w:rsidRPr="00880FD6" w:rsidRDefault="00555910" w:rsidP="00555910">
      <w:pPr>
        <w:spacing w:line="240" w:lineRule="auto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HŽ Infrastruktura upravlja sa 2.617 kilometara pruge koje su kategorizirane na:</w:t>
      </w:r>
    </w:p>
    <w:p w14:paraId="4DAC241C" w14:textId="77777777" w:rsidR="00555910" w:rsidRPr="00880FD6" w:rsidRDefault="00555910" w:rsidP="00C53434">
      <w:pPr>
        <w:pStyle w:val="Odlomakpopisa"/>
        <w:numPr>
          <w:ilvl w:val="0"/>
          <w:numId w:val="20"/>
        </w:numPr>
        <w:spacing w:line="240" w:lineRule="auto"/>
        <w:ind w:left="709" w:hanging="284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Međunarodne pruge:</w:t>
      </w:r>
    </w:p>
    <w:p w14:paraId="5FF21A2A" w14:textId="77777777" w:rsidR="00555910" w:rsidRPr="00880FD6" w:rsidRDefault="00555910" w:rsidP="00C53434">
      <w:pPr>
        <w:pStyle w:val="Odlomakpopisa"/>
        <w:numPr>
          <w:ilvl w:val="1"/>
          <w:numId w:val="20"/>
        </w:numPr>
        <w:spacing w:line="240" w:lineRule="auto"/>
        <w:ind w:left="993" w:hanging="284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glavne pruge – 782 km (30% ukupne mreže na kojoj se odvija 75% ukupnog prometa)</w:t>
      </w:r>
    </w:p>
    <w:p w14:paraId="65E2AED9" w14:textId="77777777" w:rsidR="00555910" w:rsidRPr="00880FD6" w:rsidRDefault="00555910" w:rsidP="00C53434">
      <w:pPr>
        <w:pStyle w:val="Odlomakpopisa"/>
        <w:numPr>
          <w:ilvl w:val="1"/>
          <w:numId w:val="20"/>
        </w:numPr>
        <w:spacing w:line="240" w:lineRule="auto"/>
        <w:ind w:left="993" w:hanging="284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ostale pruge – 678 km (26% ukupne mreže na kojoj se odvija 15% ukupnog prometa)</w:t>
      </w:r>
    </w:p>
    <w:p w14:paraId="445AA2C2" w14:textId="77777777" w:rsidR="00555910" w:rsidRPr="00880FD6" w:rsidRDefault="00555910" w:rsidP="00C53434">
      <w:pPr>
        <w:pStyle w:val="Odlomakpopisa"/>
        <w:numPr>
          <w:ilvl w:val="0"/>
          <w:numId w:val="20"/>
        </w:numPr>
        <w:spacing w:line="240" w:lineRule="auto"/>
        <w:ind w:left="709" w:hanging="284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Regionalne pruge – 626 km (24% ukupne mreže na kojoj se odvija 7% ukupnog prometa)</w:t>
      </w:r>
    </w:p>
    <w:p w14:paraId="6422C3D7" w14:textId="77777777" w:rsidR="00555910" w:rsidRPr="00880FD6" w:rsidRDefault="00555910" w:rsidP="00C53434">
      <w:pPr>
        <w:pStyle w:val="Odlomakpopisa"/>
        <w:numPr>
          <w:ilvl w:val="0"/>
          <w:numId w:val="20"/>
        </w:numPr>
        <w:spacing w:line="240" w:lineRule="auto"/>
        <w:ind w:left="709" w:hanging="284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>Lokalne pruge – 531 km (20% ukupne mreže na kojoj se odvija 3% ukupnog prometa)</w:t>
      </w:r>
    </w:p>
    <w:p w14:paraId="24C0075E" w14:textId="77777777" w:rsidR="00555910" w:rsidRPr="00880FD6" w:rsidRDefault="00555910" w:rsidP="00555910">
      <w:pPr>
        <w:spacing w:line="240" w:lineRule="auto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 xml:space="preserve">Osim pruga, željezničku infrastrukturu čine i ostali objekti u pružnom pojasu –službena mjesta, željezničko-cestovni prijelazi te mostovi, tuneli i propusti. </w:t>
      </w:r>
    </w:p>
    <w:p w14:paraId="1BE9A743" w14:textId="75E76914" w:rsidR="00FD7169" w:rsidRDefault="00555910" w:rsidP="00555910">
      <w:pPr>
        <w:spacing w:line="240" w:lineRule="auto"/>
        <w:rPr>
          <w:rFonts w:ascii="Times New Roman" w:hAnsi="Times New Roman" w:cs="Times New Roman"/>
          <w:szCs w:val="24"/>
        </w:rPr>
      </w:pPr>
      <w:r w:rsidRPr="00880FD6">
        <w:rPr>
          <w:rFonts w:ascii="Times New Roman" w:hAnsi="Times New Roman" w:cs="Times New Roman"/>
          <w:szCs w:val="24"/>
        </w:rPr>
        <w:t xml:space="preserve">Poslovanje HŽ Infrastrukture odvija se sukladno strateškim dokumentima za razvoj željeznice, a određeno je Zakonom o željeznici, Zakonom o trgovačkim društvima i Izjavi o osnivanju društva, te drugim zakonskim i </w:t>
      </w:r>
      <w:proofErr w:type="spellStart"/>
      <w:r w:rsidRPr="00880FD6">
        <w:rPr>
          <w:rFonts w:ascii="Times New Roman" w:hAnsi="Times New Roman" w:cs="Times New Roman"/>
          <w:szCs w:val="24"/>
        </w:rPr>
        <w:t>podzakonskim</w:t>
      </w:r>
      <w:proofErr w:type="spellEnd"/>
      <w:r w:rsidRPr="00880FD6">
        <w:rPr>
          <w:rFonts w:ascii="Times New Roman" w:hAnsi="Times New Roman" w:cs="Times New Roman"/>
          <w:szCs w:val="24"/>
        </w:rPr>
        <w:t xml:space="preserve"> aktima vezanim uz djelatnost HŽ Infrastrukture.</w:t>
      </w:r>
    </w:p>
    <w:p w14:paraId="3CFE2546" w14:textId="77777777" w:rsidR="007A2E28" w:rsidRPr="007A2E28" w:rsidRDefault="007A2E28" w:rsidP="007A2E28">
      <w:pPr>
        <w:spacing w:line="240" w:lineRule="auto"/>
        <w:rPr>
          <w:rFonts w:ascii="Times New Roman" w:hAnsi="Times New Roman" w:cs="Times New Roman"/>
          <w:szCs w:val="24"/>
        </w:rPr>
      </w:pPr>
    </w:p>
    <w:p w14:paraId="46508C7E" w14:textId="77777777" w:rsidR="00927B35" w:rsidRDefault="00927B35" w:rsidP="00326222">
      <w:pPr>
        <w:spacing w:after="240" w:line="276" w:lineRule="auto"/>
        <w:rPr>
          <w:rFonts w:ascii="Times New Roman" w:eastAsia="Times New Roman" w:hAnsi="Times New Roman" w:cs="Times New Roman"/>
          <w:b/>
          <w:szCs w:val="24"/>
          <w:u w:val="single"/>
          <w:lang w:eastAsia="hr-HR"/>
        </w:rPr>
      </w:pPr>
    </w:p>
    <w:p w14:paraId="29EDBD29" w14:textId="77777777" w:rsidR="00927B35" w:rsidRDefault="00927B35" w:rsidP="00326222">
      <w:pPr>
        <w:spacing w:after="240" w:line="276" w:lineRule="auto"/>
        <w:rPr>
          <w:rFonts w:ascii="Times New Roman" w:eastAsia="Times New Roman" w:hAnsi="Times New Roman" w:cs="Times New Roman"/>
          <w:b/>
          <w:szCs w:val="24"/>
          <w:u w:val="single"/>
          <w:lang w:eastAsia="hr-HR"/>
        </w:rPr>
      </w:pPr>
    </w:p>
    <w:p w14:paraId="62BED910" w14:textId="77777777" w:rsidR="00927B35" w:rsidRDefault="00927B35" w:rsidP="00326222">
      <w:pPr>
        <w:spacing w:after="240" w:line="276" w:lineRule="auto"/>
        <w:rPr>
          <w:rFonts w:ascii="Times New Roman" w:eastAsia="Times New Roman" w:hAnsi="Times New Roman" w:cs="Times New Roman"/>
          <w:b/>
          <w:szCs w:val="24"/>
          <w:u w:val="single"/>
          <w:lang w:eastAsia="hr-HR"/>
        </w:rPr>
      </w:pPr>
    </w:p>
    <w:p w14:paraId="3DB3560F" w14:textId="77777777" w:rsidR="00927B35" w:rsidRDefault="00927B35" w:rsidP="00326222">
      <w:pPr>
        <w:spacing w:after="240" w:line="276" w:lineRule="auto"/>
        <w:rPr>
          <w:rFonts w:ascii="Times New Roman" w:eastAsia="Times New Roman" w:hAnsi="Times New Roman" w:cs="Times New Roman"/>
          <w:b/>
          <w:szCs w:val="24"/>
          <w:u w:val="single"/>
          <w:lang w:eastAsia="hr-HR"/>
        </w:rPr>
      </w:pPr>
    </w:p>
    <w:p w14:paraId="478E69A7" w14:textId="77777777" w:rsidR="00927B35" w:rsidRDefault="00927B35" w:rsidP="00326222">
      <w:pPr>
        <w:spacing w:after="240" w:line="276" w:lineRule="auto"/>
        <w:rPr>
          <w:rFonts w:ascii="Times New Roman" w:eastAsia="Times New Roman" w:hAnsi="Times New Roman" w:cs="Times New Roman"/>
          <w:b/>
          <w:szCs w:val="24"/>
          <w:u w:val="single"/>
          <w:lang w:eastAsia="hr-HR"/>
        </w:rPr>
      </w:pPr>
    </w:p>
    <w:p w14:paraId="7F85E27E" w14:textId="77777777" w:rsidR="00927B35" w:rsidRDefault="00927B35" w:rsidP="00326222">
      <w:pPr>
        <w:spacing w:after="240" w:line="276" w:lineRule="auto"/>
        <w:rPr>
          <w:rFonts w:ascii="Times New Roman" w:eastAsia="Times New Roman" w:hAnsi="Times New Roman" w:cs="Times New Roman"/>
          <w:b/>
          <w:szCs w:val="24"/>
          <w:u w:val="single"/>
          <w:lang w:eastAsia="hr-HR"/>
        </w:rPr>
      </w:pPr>
    </w:p>
    <w:p w14:paraId="1B65C85A" w14:textId="54133284" w:rsidR="005E75FF" w:rsidRPr="00326222" w:rsidRDefault="005E75FF" w:rsidP="00326222">
      <w:pPr>
        <w:spacing w:after="240" w:line="276" w:lineRule="auto"/>
        <w:rPr>
          <w:rFonts w:ascii="Times New Roman" w:eastAsia="Times New Roman" w:hAnsi="Times New Roman" w:cs="Times New Roman"/>
          <w:b/>
          <w:szCs w:val="24"/>
          <w:u w:val="single"/>
          <w:lang w:eastAsia="hr-HR"/>
        </w:rPr>
      </w:pPr>
      <w:r w:rsidRPr="00326222">
        <w:rPr>
          <w:rFonts w:ascii="Times New Roman" w:eastAsia="Times New Roman" w:hAnsi="Times New Roman" w:cs="Times New Roman"/>
          <w:b/>
          <w:szCs w:val="24"/>
          <w:u w:val="single"/>
          <w:lang w:eastAsia="hr-HR"/>
        </w:rPr>
        <w:t xml:space="preserve">PRIHODI </w:t>
      </w:r>
    </w:p>
    <w:tbl>
      <w:tblPr>
        <w:tblW w:w="4908" w:type="pct"/>
        <w:tblInd w:w="-6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69"/>
        <w:gridCol w:w="1464"/>
        <w:gridCol w:w="1464"/>
        <w:gridCol w:w="1464"/>
        <w:gridCol w:w="916"/>
        <w:gridCol w:w="916"/>
      </w:tblGrid>
      <w:tr w:rsidR="000127DE" w14:paraId="1AD289D3" w14:textId="77777777" w:rsidTr="00BD4F54">
        <w:tc>
          <w:tcPr>
            <w:tcW w:w="1500" w:type="pct"/>
            <w:shd w:val="clear" w:color="auto" w:fill="BCDFFB"/>
            <w:vAlign w:val="center"/>
          </w:tcPr>
          <w:p w14:paraId="2F77C046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2017FF4B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53A9AD1F" w14:textId="363306D6" w:rsidR="000127DE" w:rsidRDefault="00D71E20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 w:rsidR="000127DE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2F63660A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15" w:type="pct"/>
            <w:shd w:val="clear" w:color="auto" w:fill="BCDFFB"/>
            <w:vAlign w:val="center"/>
          </w:tcPr>
          <w:p w14:paraId="134E5711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15" w:type="pct"/>
            <w:shd w:val="clear" w:color="auto" w:fill="BCDFFB"/>
            <w:vAlign w:val="center"/>
          </w:tcPr>
          <w:p w14:paraId="3F6EDAF4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0127DE" w14:paraId="564E9A6C" w14:textId="77777777" w:rsidTr="00BD4F54">
        <w:tc>
          <w:tcPr>
            <w:tcW w:w="1500" w:type="pct"/>
            <w:shd w:val="clear" w:color="auto" w:fill="BCDFFB"/>
            <w:vAlign w:val="center"/>
          </w:tcPr>
          <w:p w14:paraId="19FE2C8F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470039AC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6EB15F83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25AA113D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15" w:type="pct"/>
            <w:shd w:val="clear" w:color="auto" w:fill="BCDFFB"/>
            <w:vAlign w:val="center"/>
          </w:tcPr>
          <w:p w14:paraId="08641353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15" w:type="pct"/>
            <w:shd w:val="clear" w:color="auto" w:fill="BCDFFB"/>
            <w:vAlign w:val="center"/>
          </w:tcPr>
          <w:p w14:paraId="0246198B" w14:textId="77777777" w:rsidR="000127DE" w:rsidRDefault="000127DE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0127DE" w14:paraId="6C2D79EC" w14:textId="77777777" w:rsidTr="00BD4F54">
        <w:tc>
          <w:tcPr>
            <w:tcW w:w="1500" w:type="pct"/>
            <w:vAlign w:val="bottom"/>
          </w:tcPr>
          <w:p w14:paraId="20871288" w14:textId="77777777" w:rsidR="000127DE" w:rsidRDefault="000127DE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23" w:type="pct"/>
            <w:vAlign w:val="bottom"/>
          </w:tcPr>
          <w:p w14:paraId="78DEA818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126.737.763</w:t>
            </w:r>
          </w:p>
        </w:tc>
        <w:tc>
          <w:tcPr>
            <w:tcW w:w="823" w:type="pct"/>
            <w:vAlign w:val="bottom"/>
          </w:tcPr>
          <w:p w14:paraId="10E3A5DF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394.117.931</w:t>
            </w:r>
          </w:p>
        </w:tc>
        <w:tc>
          <w:tcPr>
            <w:tcW w:w="823" w:type="pct"/>
            <w:vAlign w:val="bottom"/>
          </w:tcPr>
          <w:p w14:paraId="085F06F3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180.701.842</w:t>
            </w:r>
          </w:p>
        </w:tc>
        <w:tc>
          <w:tcPr>
            <w:tcW w:w="515" w:type="pct"/>
            <w:vAlign w:val="bottom"/>
          </w:tcPr>
          <w:p w14:paraId="409A4ED3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142,6</w:t>
            </w:r>
          </w:p>
        </w:tc>
        <w:tc>
          <w:tcPr>
            <w:tcW w:w="515" w:type="pct"/>
            <w:vAlign w:val="bottom"/>
          </w:tcPr>
          <w:p w14:paraId="7ACED77B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45,8</w:t>
            </w:r>
          </w:p>
        </w:tc>
      </w:tr>
      <w:tr w:rsidR="000127DE" w14:paraId="531D76EB" w14:textId="77777777" w:rsidTr="00BD4F54">
        <w:tc>
          <w:tcPr>
            <w:tcW w:w="1500" w:type="pct"/>
            <w:vAlign w:val="bottom"/>
          </w:tcPr>
          <w:p w14:paraId="27AB56D6" w14:textId="77777777" w:rsidR="000127DE" w:rsidRDefault="000127DE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23" w:type="pct"/>
            <w:vAlign w:val="bottom"/>
          </w:tcPr>
          <w:p w14:paraId="732F0C35" w14:textId="2BAFDC84" w:rsidR="000127DE" w:rsidRPr="00E56538" w:rsidRDefault="00E56538" w:rsidP="002E3A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56538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23" w:type="pct"/>
            <w:vAlign w:val="bottom"/>
          </w:tcPr>
          <w:p w14:paraId="6EF43D7E" w14:textId="115DC6BA" w:rsidR="000127DE" w:rsidRPr="00E56538" w:rsidRDefault="00E56538" w:rsidP="002E3A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56538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23" w:type="pct"/>
            <w:vAlign w:val="bottom"/>
          </w:tcPr>
          <w:p w14:paraId="2AE80EE0" w14:textId="529041E6" w:rsidR="000127DE" w:rsidRPr="00E56538" w:rsidRDefault="00E56538" w:rsidP="002E3A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E56538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515" w:type="pct"/>
            <w:vAlign w:val="bottom"/>
          </w:tcPr>
          <w:p w14:paraId="238F63D8" w14:textId="77777777" w:rsidR="000127DE" w:rsidRDefault="000127DE" w:rsidP="002E3AF7">
            <w:pPr>
              <w:spacing w:after="0" w:line="240" w:lineRule="auto"/>
              <w:jc w:val="right"/>
            </w:pPr>
          </w:p>
        </w:tc>
        <w:tc>
          <w:tcPr>
            <w:tcW w:w="515" w:type="pct"/>
            <w:vAlign w:val="bottom"/>
          </w:tcPr>
          <w:p w14:paraId="4EF61F59" w14:textId="77777777" w:rsidR="000127DE" w:rsidRDefault="000127DE" w:rsidP="002E3AF7">
            <w:pPr>
              <w:spacing w:after="0" w:line="240" w:lineRule="auto"/>
              <w:jc w:val="right"/>
            </w:pPr>
          </w:p>
        </w:tc>
      </w:tr>
      <w:tr w:rsidR="000127DE" w14:paraId="0CF4FA2C" w14:textId="77777777" w:rsidTr="00BD4F54">
        <w:tc>
          <w:tcPr>
            <w:tcW w:w="1500" w:type="pct"/>
            <w:vAlign w:val="bottom"/>
          </w:tcPr>
          <w:p w14:paraId="2C67EA31" w14:textId="77777777" w:rsidR="000127DE" w:rsidRDefault="000127DE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23" w:type="pct"/>
            <w:vAlign w:val="bottom"/>
          </w:tcPr>
          <w:p w14:paraId="299024F5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126.737.763</w:t>
            </w:r>
          </w:p>
        </w:tc>
        <w:tc>
          <w:tcPr>
            <w:tcW w:w="823" w:type="pct"/>
            <w:vAlign w:val="bottom"/>
          </w:tcPr>
          <w:p w14:paraId="19E6859A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394.117.931</w:t>
            </w:r>
          </w:p>
        </w:tc>
        <w:tc>
          <w:tcPr>
            <w:tcW w:w="823" w:type="pct"/>
            <w:vAlign w:val="bottom"/>
          </w:tcPr>
          <w:p w14:paraId="3BA01A12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180.701.842</w:t>
            </w:r>
          </w:p>
        </w:tc>
        <w:tc>
          <w:tcPr>
            <w:tcW w:w="515" w:type="pct"/>
            <w:vAlign w:val="bottom"/>
          </w:tcPr>
          <w:p w14:paraId="0814F611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142,6</w:t>
            </w:r>
          </w:p>
        </w:tc>
        <w:tc>
          <w:tcPr>
            <w:tcW w:w="515" w:type="pct"/>
            <w:vAlign w:val="bottom"/>
          </w:tcPr>
          <w:p w14:paraId="27308F44" w14:textId="77777777" w:rsidR="000127DE" w:rsidRDefault="000127DE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45,8</w:t>
            </w:r>
          </w:p>
        </w:tc>
      </w:tr>
    </w:tbl>
    <w:p w14:paraId="5C39C642" w14:textId="77777777" w:rsidR="000127DE" w:rsidRPr="005F2F50" w:rsidRDefault="000127DE" w:rsidP="00262D4E">
      <w:pPr>
        <w:spacing w:line="276" w:lineRule="auto"/>
        <w:rPr>
          <w:rFonts w:ascii="Times New Roman" w:eastAsia="Times New Roman" w:hAnsi="Times New Roman" w:cs="Times New Roman"/>
          <w:b/>
          <w:color w:val="FF0000"/>
          <w:szCs w:val="24"/>
          <w:lang w:eastAsia="hr-HR"/>
        </w:rPr>
      </w:pPr>
    </w:p>
    <w:p w14:paraId="43B490C4" w14:textId="66DA8BC4" w:rsidR="00801134" w:rsidRDefault="00801134" w:rsidP="008125EE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U prvom polugodištu 2023. godine HŽ Infrastruktura </w:t>
      </w:r>
      <w:r w:rsidR="00395EF5">
        <w:rPr>
          <w:rFonts w:ascii="Times New Roman" w:hAnsi="Times New Roman" w:cs="Times New Roman"/>
          <w:szCs w:val="24"/>
        </w:rPr>
        <w:t xml:space="preserve">je </w:t>
      </w:r>
      <w:r>
        <w:rPr>
          <w:rFonts w:ascii="Times New Roman" w:hAnsi="Times New Roman" w:cs="Times New Roman"/>
          <w:szCs w:val="24"/>
        </w:rPr>
        <w:t>ostvarila ukupne prihode u iznosu od 180,70 milijuna eura ili 45,</w:t>
      </w:r>
      <w:r w:rsidR="00395EF5">
        <w:rPr>
          <w:rFonts w:ascii="Times New Roman" w:hAnsi="Times New Roman" w:cs="Times New Roman"/>
          <w:szCs w:val="24"/>
        </w:rPr>
        <w:t>9</w:t>
      </w:r>
      <w:r>
        <w:rPr>
          <w:rFonts w:ascii="Times New Roman" w:hAnsi="Times New Roman" w:cs="Times New Roman"/>
          <w:szCs w:val="24"/>
        </w:rPr>
        <w:t>% planiranih</w:t>
      </w:r>
      <w:r w:rsidR="00D119C0">
        <w:rPr>
          <w:rFonts w:ascii="Times New Roman" w:hAnsi="Times New Roman" w:cs="Times New Roman"/>
          <w:szCs w:val="24"/>
        </w:rPr>
        <w:t xml:space="preserve">, a u odnosu na isto razdoblje prethodne godine </w:t>
      </w:r>
      <w:r w:rsidR="00394AAD">
        <w:rPr>
          <w:rFonts w:ascii="Times New Roman" w:hAnsi="Times New Roman" w:cs="Times New Roman"/>
          <w:szCs w:val="24"/>
        </w:rPr>
        <w:t>ukupni prihodi veći su za 42,</w:t>
      </w:r>
      <w:r w:rsidR="009348A7">
        <w:rPr>
          <w:rFonts w:ascii="Times New Roman" w:hAnsi="Times New Roman" w:cs="Times New Roman"/>
          <w:szCs w:val="24"/>
        </w:rPr>
        <w:t>6</w:t>
      </w:r>
      <w:r w:rsidR="00394AAD">
        <w:rPr>
          <w:rFonts w:ascii="Times New Roman" w:hAnsi="Times New Roman" w:cs="Times New Roman"/>
          <w:szCs w:val="24"/>
        </w:rPr>
        <w:t>%</w:t>
      </w:r>
      <w:r w:rsidR="00DA362C">
        <w:rPr>
          <w:rFonts w:ascii="Times New Roman" w:hAnsi="Times New Roman" w:cs="Times New Roman"/>
          <w:szCs w:val="24"/>
        </w:rPr>
        <w:t>.</w:t>
      </w:r>
    </w:p>
    <w:p w14:paraId="2F34001C" w14:textId="53F909E1" w:rsidR="00B91D54" w:rsidRDefault="00C6452A" w:rsidP="008125EE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Od ukupno ostvarenih prihoda, </w:t>
      </w:r>
      <w:r w:rsidR="006C5C93">
        <w:rPr>
          <w:rFonts w:ascii="Times New Roman" w:hAnsi="Times New Roman" w:cs="Times New Roman"/>
          <w:szCs w:val="24"/>
        </w:rPr>
        <w:t>88,1</w:t>
      </w:r>
      <w:r>
        <w:rPr>
          <w:rFonts w:ascii="Times New Roman" w:hAnsi="Times New Roman" w:cs="Times New Roman"/>
          <w:szCs w:val="24"/>
        </w:rPr>
        <w:t xml:space="preserve">% odnosi se na prihode evidentirane u skupini </w:t>
      </w:r>
      <w:r w:rsidR="00AD51E9" w:rsidRPr="00AD51E9">
        <w:rPr>
          <w:rFonts w:ascii="Times New Roman" w:hAnsi="Times New Roman" w:cs="Times New Roman"/>
          <w:i/>
          <w:iCs/>
          <w:szCs w:val="24"/>
        </w:rPr>
        <w:t>P</w:t>
      </w:r>
      <w:r w:rsidRPr="00AD51E9">
        <w:rPr>
          <w:rFonts w:ascii="Times New Roman" w:hAnsi="Times New Roman" w:cs="Times New Roman"/>
          <w:i/>
          <w:iCs/>
          <w:szCs w:val="24"/>
        </w:rPr>
        <w:t>omoći iz inozemstva i od subjekata unutar općeg proračuna</w:t>
      </w:r>
      <w:r>
        <w:rPr>
          <w:rFonts w:ascii="Times New Roman" w:hAnsi="Times New Roman" w:cs="Times New Roman"/>
          <w:szCs w:val="24"/>
        </w:rPr>
        <w:t xml:space="preserve"> (</w:t>
      </w:r>
      <w:r w:rsidR="00C863CB">
        <w:rPr>
          <w:rFonts w:ascii="Times New Roman" w:hAnsi="Times New Roman" w:cs="Times New Roman"/>
          <w:szCs w:val="24"/>
        </w:rPr>
        <w:t>159,21</w:t>
      </w:r>
      <w:r>
        <w:rPr>
          <w:rFonts w:ascii="Times New Roman" w:hAnsi="Times New Roman" w:cs="Times New Roman"/>
          <w:szCs w:val="24"/>
        </w:rPr>
        <w:t xml:space="preserve"> milijun </w:t>
      </w:r>
      <w:r w:rsidR="00C863CB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 xml:space="preserve">) od čega se na </w:t>
      </w:r>
      <w:r w:rsidR="00ED661C">
        <w:rPr>
          <w:rFonts w:ascii="Times New Roman" w:hAnsi="Times New Roman" w:cs="Times New Roman"/>
          <w:szCs w:val="24"/>
        </w:rPr>
        <w:t>poziciju</w:t>
      </w:r>
      <w:r>
        <w:rPr>
          <w:rFonts w:ascii="Times New Roman" w:hAnsi="Times New Roman" w:cs="Times New Roman"/>
          <w:szCs w:val="24"/>
        </w:rPr>
        <w:t xml:space="preserve"> </w:t>
      </w:r>
      <w:r w:rsidR="00ED661C" w:rsidRPr="00ED661C">
        <w:rPr>
          <w:rFonts w:ascii="Times New Roman" w:hAnsi="Times New Roman" w:cs="Times New Roman"/>
          <w:i/>
          <w:iCs/>
          <w:szCs w:val="24"/>
        </w:rPr>
        <w:t>P</w:t>
      </w:r>
      <w:r w:rsidRPr="00ED661C">
        <w:rPr>
          <w:rFonts w:ascii="Times New Roman" w:hAnsi="Times New Roman" w:cs="Times New Roman"/>
          <w:i/>
          <w:iCs/>
          <w:szCs w:val="24"/>
        </w:rPr>
        <w:t>omoći proračunu iz drugih proračuna</w:t>
      </w:r>
      <w:r w:rsidR="008C1A5C">
        <w:rPr>
          <w:rFonts w:ascii="Times New Roman" w:hAnsi="Times New Roman" w:cs="Times New Roman"/>
          <w:i/>
          <w:iCs/>
          <w:szCs w:val="24"/>
        </w:rPr>
        <w:t xml:space="preserve"> i izvanproračunskim korisnicima</w:t>
      </w:r>
      <w:r>
        <w:rPr>
          <w:rFonts w:ascii="Times New Roman" w:hAnsi="Times New Roman" w:cs="Times New Roman"/>
          <w:szCs w:val="24"/>
        </w:rPr>
        <w:t xml:space="preserve"> odnosi </w:t>
      </w:r>
      <w:r w:rsidR="00515D36">
        <w:rPr>
          <w:rFonts w:ascii="Times New Roman" w:hAnsi="Times New Roman" w:cs="Times New Roman"/>
          <w:szCs w:val="24"/>
        </w:rPr>
        <w:t>59,</w:t>
      </w:r>
      <w:r w:rsidR="009348A7">
        <w:rPr>
          <w:rFonts w:ascii="Times New Roman" w:hAnsi="Times New Roman" w:cs="Times New Roman"/>
          <w:szCs w:val="24"/>
        </w:rPr>
        <w:t>1</w:t>
      </w:r>
      <w:r w:rsidR="00606606">
        <w:rPr>
          <w:rFonts w:ascii="Times New Roman" w:hAnsi="Times New Roman" w:cs="Times New Roman"/>
          <w:szCs w:val="24"/>
        </w:rPr>
        <w:t>%</w:t>
      </w:r>
      <w:r>
        <w:rPr>
          <w:rFonts w:ascii="Times New Roman" w:hAnsi="Times New Roman" w:cs="Times New Roman"/>
          <w:szCs w:val="24"/>
        </w:rPr>
        <w:t xml:space="preserve"> odnosno </w:t>
      </w:r>
      <w:r w:rsidR="00FC6CDE">
        <w:rPr>
          <w:rFonts w:ascii="Times New Roman" w:hAnsi="Times New Roman" w:cs="Times New Roman"/>
          <w:szCs w:val="24"/>
        </w:rPr>
        <w:t>94,05</w:t>
      </w:r>
      <w:r>
        <w:rPr>
          <w:rFonts w:ascii="Times New Roman" w:hAnsi="Times New Roman" w:cs="Times New Roman"/>
          <w:szCs w:val="24"/>
        </w:rPr>
        <w:t xml:space="preserve"> milijuna </w:t>
      </w:r>
      <w:r w:rsidR="00FC6CDE">
        <w:rPr>
          <w:rFonts w:ascii="Times New Roman" w:hAnsi="Times New Roman" w:cs="Times New Roman"/>
          <w:szCs w:val="24"/>
        </w:rPr>
        <w:t>eura</w:t>
      </w:r>
      <w:r w:rsidR="00B91D54">
        <w:rPr>
          <w:rFonts w:ascii="Times New Roman" w:hAnsi="Times New Roman" w:cs="Times New Roman"/>
          <w:szCs w:val="24"/>
        </w:rPr>
        <w:t>. Predmetna sredstva najvećim dijelom odnose se na sredstva za u</w:t>
      </w:r>
      <w:r w:rsidR="00B91D54" w:rsidRPr="00C6452A">
        <w:rPr>
          <w:rFonts w:ascii="Times New Roman" w:hAnsi="Times New Roman" w:cs="Times New Roman"/>
          <w:szCs w:val="24"/>
        </w:rPr>
        <w:t>pravljanje, organizacij</w:t>
      </w:r>
      <w:r w:rsidR="00B91D54">
        <w:rPr>
          <w:rFonts w:ascii="Times New Roman" w:hAnsi="Times New Roman" w:cs="Times New Roman"/>
          <w:szCs w:val="24"/>
        </w:rPr>
        <w:t>u</w:t>
      </w:r>
      <w:r w:rsidR="00B91D54" w:rsidRPr="00C6452A">
        <w:rPr>
          <w:rFonts w:ascii="Times New Roman" w:hAnsi="Times New Roman" w:cs="Times New Roman"/>
          <w:szCs w:val="24"/>
        </w:rPr>
        <w:t xml:space="preserve"> i regulacij</w:t>
      </w:r>
      <w:r w:rsidR="00B91D54">
        <w:rPr>
          <w:rFonts w:ascii="Times New Roman" w:hAnsi="Times New Roman" w:cs="Times New Roman"/>
          <w:szCs w:val="24"/>
        </w:rPr>
        <w:t>u</w:t>
      </w:r>
      <w:r w:rsidR="00B91D54" w:rsidRPr="00C6452A">
        <w:rPr>
          <w:rFonts w:ascii="Times New Roman" w:hAnsi="Times New Roman" w:cs="Times New Roman"/>
          <w:szCs w:val="24"/>
        </w:rPr>
        <w:t xml:space="preserve"> željezničkog prometa</w:t>
      </w:r>
      <w:r w:rsidR="00B91D54">
        <w:rPr>
          <w:rFonts w:ascii="Times New Roman" w:hAnsi="Times New Roman" w:cs="Times New Roman"/>
          <w:szCs w:val="24"/>
        </w:rPr>
        <w:t xml:space="preserve"> (</w:t>
      </w:r>
      <w:r w:rsidR="008D55FC">
        <w:rPr>
          <w:rFonts w:ascii="Times New Roman" w:hAnsi="Times New Roman" w:cs="Times New Roman"/>
          <w:szCs w:val="24"/>
        </w:rPr>
        <w:t>37,22</w:t>
      </w:r>
      <w:r w:rsidR="00B91D54">
        <w:rPr>
          <w:rFonts w:ascii="Times New Roman" w:hAnsi="Times New Roman" w:cs="Times New Roman"/>
          <w:szCs w:val="24"/>
        </w:rPr>
        <w:t xml:space="preserve"> milijun</w:t>
      </w:r>
      <w:r w:rsidR="008D55FC">
        <w:rPr>
          <w:rFonts w:ascii="Times New Roman" w:hAnsi="Times New Roman" w:cs="Times New Roman"/>
          <w:szCs w:val="24"/>
        </w:rPr>
        <w:t>a</w:t>
      </w:r>
      <w:r w:rsidR="00B91D54">
        <w:rPr>
          <w:rFonts w:ascii="Times New Roman" w:hAnsi="Times New Roman" w:cs="Times New Roman"/>
          <w:szCs w:val="24"/>
        </w:rPr>
        <w:t xml:space="preserve"> </w:t>
      </w:r>
      <w:r w:rsidR="008D55FC">
        <w:rPr>
          <w:rFonts w:ascii="Times New Roman" w:hAnsi="Times New Roman" w:cs="Times New Roman"/>
          <w:szCs w:val="24"/>
        </w:rPr>
        <w:t>eura</w:t>
      </w:r>
      <w:r w:rsidR="00B91D54">
        <w:rPr>
          <w:rFonts w:ascii="Times New Roman" w:hAnsi="Times New Roman" w:cs="Times New Roman"/>
          <w:szCs w:val="24"/>
        </w:rPr>
        <w:t>) i naknada u cijeni goriva (</w:t>
      </w:r>
      <w:r w:rsidR="008D55FC">
        <w:rPr>
          <w:rFonts w:ascii="Times New Roman" w:hAnsi="Times New Roman" w:cs="Times New Roman"/>
          <w:szCs w:val="24"/>
        </w:rPr>
        <w:t>37,</w:t>
      </w:r>
      <w:r w:rsidR="00A84431">
        <w:rPr>
          <w:rFonts w:ascii="Times New Roman" w:hAnsi="Times New Roman" w:cs="Times New Roman"/>
          <w:szCs w:val="24"/>
        </w:rPr>
        <w:t>60</w:t>
      </w:r>
      <w:r w:rsidR="00B91D54">
        <w:rPr>
          <w:rFonts w:ascii="Times New Roman" w:hAnsi="Times New Roman" w:cs="Times New Roman"/>
          <w:szCs w:val="24"/>
        </w:rPr>
        <w:t xml:space="preserve"> milijuna </w:t>
      </w:r>
      <w:r w:rsidR="00A84431">
        <w:rPr>
          <w:rFonts w:ascii="Times New Roman" w:hAnsi="Times New Roman" w:cs="Times New Roman"/>
          <w:szCs w:val="24"/>
        </w:rPr>
        <w:t>eura</w:t>
      </w:r>
      <w:r w:rsidR="00B91D54">
        <w:rPr>
          <w:rFonts w:ascii="Times New Roman" w:hAnsi="Times New Roman" w:cs="Times New Roman"/>
          <w:szCs w:val="24"/>
        </w:rPr>
        <w:t>). Osim navedenog, predmetna grupa obuhvaća i potpore u provedbi CEF projekata i potpore za pripremu projekata planiranih za sufinanciranje iz EU fondova</w:t>
      </w:r>
      <w:r w:rsidR="00AE4232">
        <w:rPr>
          <w:rFonts w:ascii="Times New Roman" w:hAnsi="Times New Roman" w:cs="Times New Roman"/>
          <w:szCs w:val="24"/>
        </w:rPr>
        <w:t xml:space="preserve"> te potpor</w:t>
      </w:r>
      <w:r w:rsidR="00F44E38">
        <w:rPr>
          <w:rFonts w:ascii="Times New Roman" w:hAnsi="Times New Roman" w:cs="Times New Roman"/>
          <w:szCs w:val="24"/>
        </w:rPr>
        <w:t>u za otplatu zajma IBRD</w:t>
      </w:r>
      <w:r w:rsidR="00183E81">
        <w:rPr>
          <w:rFonts w:ascii="Times New Roman" w:hAnsi="Times New Roman" w:cs="Times New Roman"/>
          <w:szCs w:val="24"/>
        </w:rPr>
        <w:t>.</w:t>
      </w:r>
    </w:p>
    <w:p w14:paraId="3675AF02" w14:textId="662558E9" w:rsidR="009718ED" w:rsidRDefault="009718ED" w:rsidP="009718ED">
      <w:pPr>
        <w:spacing w:line="240" w:lineRule="auto"/>
        <w:rPr>
          <w:rFonts w:ascii="Times New Roman" w:hAnsi="Times New Roman" w:cs="Times New Roman"/>
          <w:szCs w:val="24"/>
        </w:rPr>
      </w:pPr>
      <w:r w:rsidRPr="009718ED">
        <w:rPr>
          <w:rFonts w:ascii="Times New Roman" w:hAnsi="Times New Roman" w:cs="Times New Roman"/>
          <w:i/>
          <w:iCs/>
          <w:szCs w:val="24"/>
        </w:rPr>
        <w:t>Pomoći unutar općeg proračuna temeljem protestiranih jamstava</w:t>
      </w:r>
      <w:r>
        <w:rPr>
          <w:rFonts w:ascii="Times New Roman" w:hAnsi="Times New Roman" w:cs="Times New Roman"/>
          <w:szCs w:val="24"/>
        </w:rPr>
        <w:t xml:space="preserve"> </w:t>
      </w:r>
      <w:r w:rsidRPr="00AD51E9">
        <w:rPr>
          <w:rFonts w:ascii="Times New Roman" w:hAnsi="Times New Roman" w:cs="Times New Roman"/>
          <w:szCs w:val="24"/>
        </w:rPr>
        <w:t>odnosi se na pomoći iz državnog proračuna za podmirenje obveza otplate investicijskih kredita namijenjenih za financiranje ulaganja u željezničku infrastrukturu, a za koje je izdano državno jamstvo.</w:t>
      </w:r>
      <w:r>
        <w:rPr>
          <w:rFonts w:ascii="Times New Roman" w:hAnsi="Times New Roman" w:cs="Times New Roman"/>
          <w:szCs w:val="24"/>
        </w:rPr>
        <w:t xml:space="preserve"> U prvom polugodištu 202</w:t>
      </w:r>
      <w:r w:rsidR="00677738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 xml:space="preserve">. godine iznose </w:t>
      </w:r>
      <w:r w:rsidR="00677738">
        <w:rPr>
          <w:rFonts w:ascii="Times New Roman" w:hAnsi="Times New Roman" w:cs="Times New Roman"/>
          <w:szCs w:val="24"/>
        </w:rPr>
        <w:t>8,39</w:t>
      </w:r>
      <w:r>
        <w:rPr>
          <w:rFonts w:ascii="Times New Roman" w:hAnsi="Times New Roman" w:cs="Times New Roman"/>
          <w:szCs w:val="24"/>
        </w:rPr>
        <w:t xml:space="preserve"> milijuna </w:t>
      </w:r>
      <w:r w:rsidR="00677738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 xml:space="preserve"> što čini </w:t>
      </w:r>
      <w:r w:rsidR="00677738">
        <w:rPr>
          <w:rFonts w:ascii="Times New Roman" w:hAnsi="Times New Roman" w:cs="Times New Roman"/>
          <w:szCs w:val="24"/>
        </w:rPr>
        <w:t>43,</w:t>
      </w:r>
      <w:r w:rsidR="009348A7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/>
          <w:szCs w:val="24"/>
        </w:rPr>
        <w:t>% plana za 202</w:t>
      </w:r>
      <w:r w:rsidR="00677738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>. godinu.</w:t>
      </w:r>
    </w:p>
    <w:p w14:paraId="56FFDDA9" w14:textId="77777777" w:rsidR="009A7A2D" w:rsidRDefault="00B91D54" w:rsidP="008125EE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 prvom polugodištu 202</w:t>
      </w:r>
      <w:r w:rsidR="00677738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 xml:space="preserve">. godine </w:t>
      </w:r>
      <w:r w:rsidR="00ED661C">
        <w:rPr>
          <w:rFonts w:ascii="Times New Roman" w:hAnsi="Times New Roman" w:cs="Times New Roman"/>
          <w:szCs w:val="24"/>
        </w:rPr>
        <w:t xml:space="preserve">pozicija </w:t>
      </w:r>
      <w:r w:rsidR="00ED661C" w:rsidRPr="00063F6A">
        <w:rPr>
          <w:rFonts w:ascii="Times New Roman" w:hAnsi="Times New Roman" w:cs="Times New Roman"/>
          <w:i/>
          <w:iCs/>
          <w:szCs w:val="24"/>
        </w:rPr>
        <w:t>Pomoći temeljem prijenosa EU sredstava</w:t>
      </w:r>
      <w:r w:rsidR="00ED661C">
        <w:rPr>
          <w:rFonts w:ascii="Times New Roman" w:hAnsi="Times New Roman" w:cs="Times New Roman"/>
          <w:szCs w:val="24"/>
        </w:rPr>
        <w:t xml:space="preserve"> iznosi </w:t>
      </w:r>
      <w:r w:rsidR="00677738">
        <w:rPr>
          <w:rFonts w:ascii="Times New Roman" w:hAnsi="Times New Roman" w:cs="Times New Roman"/>
          <w:szCs w:val="24"/>
        </w:rPr>
        <w:t>12,22</w:t>
      </w:r>
      <w:r w:rsidR="00ED661C">
        <w:rPr>
          <w:rFonts w:ascii="Times New Roman" w:hAnsi="Times New Roman" w:cs="Times New Roman"/>
          <w:szCs w:val="24"/>
        </w:rPr>
        <w:t xml:space="preserve"> milijuna </w:t>
      </w:r>
      <w:r w:rsidR="006F5023">
        <w:rPr>
          <w:rFonts w:ascii="Times New Roman" w:hAnsi="Times New Roman" w:cs="Times New Roman"/>
          <w:szCs w:val="24"/>
        </w:rPr>
        <w:t>eura</w:t>
      </w:r>
      <w:r w:rsidR="00ED661C">
        <w:rPr>
          <w:rFonts w:ascii="Times New Roman" w:hAnsi="Times New Roman" w:cs="Times New Roman"/>
          <w:szCs w:val="24"/>
        </w:rPr>
        <w:t>, a odnose se na povlačenje sredstava za projekte iz</w:t>
      </w:r>
      <w:r w:rsidR="009A7A2D">
        <w:rPr>
          <w:rFonts w:ascii="Times New Roman" w:hAnsi="Times New Roman" w:cs="Times New Roman"/>
          <w:szCs w:val="24"/>
        </w:rPr>
        <w:t>:</w:t>
      </w:r>
    </w:p>
    <w:p w14:paraId="4FF86F44" w14:textId="55708260" w:rsidR="00863A14" w:rsidRPr="00C05E7F" w:rsidRDefault="00ED661C" w:rsidP="00C05E7F">
      <w:pPr>
        <w:pStyle w:val="Odlomakpopisa"/>
        <w:numPr>
          <w:ilvl w:val="0"/>
          <w:numId w:val="16"/>
        </w:numPr>
        <w:spacing w:line="240" w:lineRule="auto"/>
        <w:ind w:left="284" w:hanging="284"/>
        <w:rPr>
          <w:rFonts w:ascii="Times New Roman" w:hAnsi="Times New Roman" w:cs="Times New Roman"/>
          <w:szCs w:val="24"/>
        </w:rPr>
      </w:pPr>
      <w:r w:rsidRPr="00C05E7F">
        <w:rPr>
          <w:rFonts w:ascii="Times New Roman" w:hAnsi="Times New Roman" w:cs="Times New Roman"/>
          <w:szCs w:val="24"/>
        </w:rPr>
        <w:t xml:space="preserve"> OP Konkurentnost i kohezija, prioritetna os 7. Povezanost i mobilnost </w:t>
      </w:r>
      <w:r w:rsidR="005C1EC4">
        <w:rPr>
          <w:rFonts w:ascii="Times New Roman" w:hAnsi="Times New Roman" w:cs="Times New Roman"/>
          <w:szCs w:val="24"/>
        </w:rPr>
        <w:t xml:space="preserve">u ukupnom iznosu od 7,82 milijuna eura, a </w:t>
      </w:r>
      <w:r w:rsidR="00063F6A" w:rsidRPr="00C05E7F">
        <w:rPr>
          <w:rFonts w:ascii="Times New Roman" w:hAnsi="Times New Roman" w:cs="Times New Roman"/>
          <w:szCs w:val="24"/>
        </w:rPr>
        <w:t xml:space="preserve">po projektima kako </w:t>
      </w:r>
      <w:r w:rsidRPr="00C05E7F">
        <w:rPr>
          <w:rFonts w:ascii="Times New Roman" w:hAnsi="Times New Roman" w:cs="Times New Roman"/>
          <w:szCs w:val="24"/>
        </w:rPr>
        <w:t>slijedi:</w:t>
      </w:r>
    </w:p>
    <w:p w14:paraId="0BAD5294" w14:textId="469A332B" w:rsidR="00ED661C" w:rsidRPr="006853E6" w:rsidRDefault="00ED661C" w:rsidP="00C05E7F">
      <w:pPr>
        <w:pStyle w:val="Odlomakpopisa"/>
        <w:numPr>
          <w:ilvl w:val="0"/>
          <w:numId w:val="13"/>
        </w:numPr>
        <w:tabs>
          <w:tab w:val="right" w:leader="dot" w:pos="9070"/>
        </w:tabs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7E6CE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Rekonstrukcija i elekt</w:t>
      </w:r>
      <w:r w:rsidR="00504B5D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r</w:t>
      </w:r>
      <w:r w:rsidRPr="007E6CE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ifikacija željezničke pruge Vinkovci – Vukovar</w:t>
      </w:r>
      <w:r w:rsidRPr="007E6CE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394A0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4,30</w:t>
      </w:r>
      <w:r w:rsidRPr="006853E6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milijuna </w:t>
      </w:r>
      <w:r w:rsidR="00394A0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eura</w:t>
      </w:r>
    </w:p>
    <w:p w14:paraId="1979C95F" w14:textId="3D4AF0C0" w:rsidR="00ED661C" w:rsidRDefault="00ED661C" w:rsidP="00C05E7F">
      <w:pPr>
        <w:pStyle w:val="Odlomakpopisa"/>
        <w:numPr>
          <w:ilvl w:val="0"/>
          <w:numId w:val="13"/>
        </w:numPr>
        <w:tabs>
          <w:tab w:val="right" w:leader="dot" w:pos="9070"/>
        </w:tabs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7E6CE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Modernizacija, obnova i elektrifikacija dionice Zaprešić – Zabok</w:t>
      </w:r>
      <w:r w:rsidRPr="007E6CE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3B6AB4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0,98</w:t>
      </w:r>
      <w:r w:rsidRPr="007E6CE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milijuna </w:t>
      </w:r>
      <w:r w:rsidR="003B6AB4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eura</w:t>
      </w:r>
    </w:p>
    <w:p w14:paraId="2AA6A393" w14:textId="77777777" w:rsidR="00B721CA" w:rsidRDefault="00B721CA" w:rsidP="00C05E7F">
      <w:pPr>
        <w:pStyle w:val="Odlomakpopisa"/>
        <w:numPr>
          <w:ilvl w:val="0"/>
          <w:numId w:val="13"/>
        </w:numPr>
        <w:tabs>
          <w:tab w:val="right" w:leader="dot" w:pos="9070"/>
        </w:tabs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B721C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Rekonstrukcija postojećeg i izgradnja drugog kolosijeka željezničke </w:t>
      </w:r>
    </w:p>
    <w:p w14:paraId="13BC26F0" w14:textId="3B774E91" w:rsidR="00504B5D" w:rsidRDefault="00C05E7F" w:rsidP="00C05E7F">
      <w:pPr>
        <w:pStyle w:val="Odlomakpopisa"/>
        <w:tabs>
          <w:tab w:val="right" w:leader="dot" w:pos="9070"/>
        </w:tabs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B721CA" w:rsidRPr="00B721C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pruge na dionici pruge Dugo Selo-Križevci</w:t>
      </w:r>
      <w:r w:rsidR="00504B5D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35735B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1,53</w:t>
      </w:r>
      <w:r w:rsidR="00504B5D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milijuna </w:t>
      </w:r>
      <w:r w:rsidR="0035735B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eura</w:t>
      </w:r>
    </w:p>
    <w:p w14:paraId="1948CA9E" w14:textId="5DC2DFE0" w:rsidR="008B1E1A" w:rsidRPr="007E6CEF" w:rsidRDefault="008B1E1A" w:rsidP="00444562">
      <w:pPr>
        <w:pStyle w:val="Odlomakpopisa"/>
        <w:numPr>
          <w:ilvl w:val="0"/>
          <w:numId w:val="13"/>
        </w:numPr>
        <w:tabs>
          <w:tab w:val="right" w:leader="dot" w:pos="9070"/>
        </w:tabs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Modernizacija željezničko cestovnih prijelaza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2B6413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1,00</w:t>
      </w:r>
      <w:r w:rsidR="00BE523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milijuna eura</w:t>
      </w:r>
    </w:p>
    <w:p w14:paraId="613B2378" w14:textId="70FDB86C" w:rsidR="00863A14" w:rsidRPr="00661657" w:rsidRDefault="008A3903" w:rsidP="00C05E7F">
      <w:pPr>
        <w:pStyle w:val="Odlomakpopisa"/>
        <w:numPr>
          <w:ilvl w:val="0"/>
          <w:numId w:val="13"/>
        </w:numPr>
        <w:tabs>
          <w:tab w:val="right" w:leader="dot" w:pos="9070"/>
        </w:tabs>
        <w:spacing w:line="240" w:lineRule="auto"/>
        <w:ind w:left="426" w:hanging="284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Studijska i projektna dokumentacija 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BE523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0,01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milijun </w:t>
      </w:r>
      <w:r w:rsidR="00BE523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eura</w:t>
      </w:r>
    </w:p>
    <w:p w14:paraId="3C7DDCAD" w14:textId="65DA65E3" w:rsidR="00EF6B6B" w:rsidRDefault="00EF6B6B" w:rsidP="00EF6B6B">
      <w:pPr>
        <w:pStyle w:val="Odlomakpopisa"/>
        <w:numPr>
          <w:ilvl w:val="0"/>
          <w:numId w:val="16"/>
        </w:numPr>
        <w:spacing w:line="240" w:lineRule="auto"/>
        <w:ind w:left="284" w:hanging="28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Nacionalnog plana oporavka i otpornosti</w:t>
      </w:r>
      <w:r w:rsidR="005C1EC4">
        <w:rPr>
          <w:rFonts w:ascii="Times New Roman" w:hAnsi="Times New Roman" w:cs="Times New Roman"/>
          <w:szCs w:val="24"/>
        </w:rPr>
        <w:t xml:space="preserve"> u ukupnom iznosu od </w:t>
      </w:r>
      <w:r w:rsidR="00C43FEC">
        <w:rPr>
          <w:rFonts w:ascii="Times New Roman" w:hAnsi="Times New Roman" w:cs="Times New Roman"/>
          <w:szCs w:val="24"/>
        </w:rPr>
        <w:t>4,</w:t>
      </w:r>
      <w:r w:rsidR="009E4991">
        <w:rPr>
          <w:rFonts w:ascii="Times New Roman" w:hAnsi="Times New Roman" w:cs="Times New Roman"/>
          <w:szCs w:val="24"/>
        </w:rPr>
        <w:t>16</w:t>
      </w:r>
      <w:r w:rsidR="00C43FEC">
        <w:rPr>
          <w:rFonts w:ascii="Times New Roman" w:hAnsi="Times New Roman" w:cs="Times New Roman"/>
          <w:szCs w:val="24"/>
        </w:rPr>
        <w:t xml:space="preserve"> milijuna eura</w:t>
      </w:r>
      <w:r w:rsidR="009E4991">
        <w:rPr>
          <w:rFonts w:ascii="Times New Roman" w:hAnsi="Times New Roman" w:cs="Times New Roman"/>
          <w:szCs w:val="24"/>
        </w:rPr>
        <w:t xml:space="preserve"> za </w:t>
      </w:r>
      <w:r w:rsidR="00C43FEC">
        <w:rPr>
          <w:rFonts w:ascii="Times New Roman" w:hAnsi="Times New Roman" w:cs="Times New Roman"/>
          <w:szCs w:val="24"/>
        </w:rPr>
        <w:t xml:space="preserve"> projekt:</w:t>
      </w:r>
    </w:p>
    <w:p w14:paraId="6FA6871A" w14:textId="72B43F8F" w:rsidR="00E5515C" w:rsidRDefault="00E5515C" w:rsidP="00E5515C">
      <w:pPr>
        <w:pStyle w:val="Odlomakpopisa"/>
        <w:numPr>
          <w:ilvl w:val="0"/>
          <w:numId w:val="13"/>
        </w:numPr>
        <w:tabs>
          <w:tab w:val="right" w:leader="dot" w:pos="9070"/>
        </w:tabs>
        <w:spacing w:line="240" w:lineRule="auto"/>
        <w:ind w:left="426" w:hanging="284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E5515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Modernizacija dionice Zagreb </w:t>
      </w:r>
      <w:proofErr w:type="spellStart"/>
      <w:r w:rsidRPr="00E5515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Kustošija</w:t>
      </w:r>
      <w:proofErr w:type="spellEnd"/>
      <w:r w:rsidRPr="00E5515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-Zagreb ZK -Zagreb GK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  <w:t>4,</w:t>
      </w:r>
      <w:r w:rsidR="00267483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16 milijuna eura</w:t>
      </w:r>
    </w:p>
    <w:p w14:paraId="10CA86E8" w14:textId="3CA2FB81" w:rsidR="007A4499" w:rsidRDefault="008E31EA" w:rsidP="001D17D4">
      <w:pPr>
        <w:pStyle w:val="Odlomakpopisa"/>
        <w:numPr>
          <w:ilvl w:val="0"/>
          <w:numId w:val="16"/>
        </w:numPr>
        <w:tabs>
          <w:tab w:val="right" w:leader="dot" w:pos="9070"/>
        </w:tabs>
        <w:spacing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8E31E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Fond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a</w:t>
      </w:r>
      <w:r w:rsidRPr="008E31EA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solidarnosti Europske Unije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</w:t>
      </w:r>
      <w:r w:rsidR="004E2DA4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DD3D0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0,24 milijuna eura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</w:t>
      </w:r>
    </w:p>
    <w:p w14:paraId="05231DD4" w14:textId="77777777" w:rsidR="007A4499" w:rsidRPr="007A4499" w:rsidRDefault="007A4499" w:rsidP="007A4499">
      <w:pPr>
        <w:tabs>
          <w:tab w:val="right" w:leader="dot" w:pos="9070"/>
        </w:tabs>
        <w:spacing w:line="240" w:lineRule="auto"/>
        <w:ind w:left="142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</w:p>
    <w:p w14:paraId="71AFDA9C" w14:textId="7F0F2FC8" w:rsidR="009D13AE" w:rsidRDefault="00063F6A" w:rsidP="008A3903">
      <w:pPr>
        <w:tabs>
          <w:tab w:val="left" w:pos="8505"/>
          <w:tab w:val="right" w:leader="dot" w:pos="8789"/>
        </w:tabs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Pozicija </w:t>
      </w:r>
      <w:r w:rsidRPr="00063F6A">
        <w:rPr>
          <w:rFonts w:ascii="Times New Roman" w:hAnsi="Times New Roman" w:cs="Times New Roman"/>
          <w:i/>
          <w:iCs/>
          <w:szCs w:val="24"/>
        </w:rPr>
        <w:t>Pomoći od međunarodnih organizacija, te institucija i tijela EU</w:t>
      </w:r>
      <w:r>
        <w:rPr>
          <w:rFonts w:ascii="Times New Roman" w:hAnsi="Times New Roman" w:cs="Times New Roman"/>
          <w:szCs w:val="24"/>
        </w:rPr>
        <w:t xml:space="preserve"> iznosi </w:t>
      </w:r>
      <w:r w:rsidR="00F24435">
        <w:rPr>
          <w:rFonts w:ascii="Times New Roman" w:hAnsi="Times New Roman" w:cs="Times New Roman"/>
          <w:szCs w:val="24"/>
        </w:rPr>
        <w:t>44,54</w:t>
      </w:r>
      <w:r>
        <w:rPr>
          <w:rFonts w:ascii="Times New Roman" w:hAnsi="Times New Roman" w:cs="Times New Roman"/>
          <w:szCs w:val="24"/>
        </w:rPr>
        <w:t xml:space="preserve"> milijuna </w:t>
      </w:r>
      <w:r w:rsidR="00F24435">
        <w:rPr>
          <w:rFonts w:ascii="Times New Roman" w:hAnsi="Times New Roman" w:cs="Times New Roman"/>
          <w:szCs w:val="24"/>
        </w:rPr>
        <w:t>eura</w:t>
      </w:r>
      <w:r w:rsidR="00BB35D2">
        <w:rPr>
          <w:rFonts w:ascii="Times New Roman" w:hAnsi="Times New Roman" w:cs="Times New Roman"/>
          <w:szCs w:val="24"/>
        </w:rPr>
        <w:t xml:space="preserve">, </w:t>
      </w:r>
      <w:r w:rsidR="00F24435">
        <w:rPr>
          <w:rFonts w:ascii="Times New Roman" w:hAnsi="Times New Roman" w:cs="Times New Roman"/>
          <w:szCs w:val="24"/>
        </w:rPr>
        <w:t>a</w:t>
      </w:r>
      <w:r w:rsidR="00BB35D2">
        <w:rPr>
          <w:rFonts w:ascii="Times New Roman" w:hAnsi="Times New Roman" w:cs="Times New Roman"/>
          <w:szCs w:val="24"/>
        </w:rPr>
        <w:t xml:space="preserve"> obuhvaća</w:t>
      </w:r>
      <w:r>
        <w:rPr>
          <w:rFonts w:ascii="Times New Roman" w:hAnsi="Times New Roman" w:cs="Times New Roman"/>
          <w:szCs w:val="24"/>
        </w:rPr>
        <w:t xml:space="preserve"> kapitalne pomoći za provedbu CEF projekata</w:t>
      </w:r>
      <w:r w:rsidR="00815F63">
        <w:rPr>
          <w:rFonts w:ascii="Times New Roman" w:hAnsi="Times New Roman" w:cs="Times New Roman"/>
          <w:szCs w:val="24"/>
        </w:rPr>
        <w:t>. O</w:t>
      </w:r>
      <w:r w:rsidR="00BB35D2">
        <w:rPr>
          <w:rFonts w:ascii="Times New Roman" w:hAnsi="Times New Roman" w:cs="Times New Roman"/>
          <w:szCs w:val="24"/>
        </w:rPr>
        <w:t xml:space="preserve">stvareni iznos </w:t>
      </w:r>
      <w:r w:rsidR="008A3903">
        <w:rPr>
          <w:rFonts w:ascii="Times New Roman" w:hAnsi="Times New Roman" w:cs="Times New Roman"/>
          <w:szCs w:val="24"/>
        </w:rPr>
        <w:t>odnosi se</w:t>
      </w:r>
      <w:r>
        <w:rPr>
          <w:rFonts w:ascii="Times New Roman" w:hAnsi="Times New Roman" w:cs="Times New Roman"/>
          <w:szCs w:val="24"/>
        </w:rPr>
        <w:t xml:space="preserve"> </w:t>
      </w:r>
      <w:r w:rsidR="003E4D9D">
        <w:rPr>
          <w:rFonts w:ascii="Times New Roman" w:hAnsi="Times New Roman" w:cs="Times New Roman"/>
          <w:szCs w:val="24"/>
        </w:rPr>
        <w:t xml:space="preserve">na sljedeće </w:t>
      </w:r>
      <w:r>
        <w:rPr>
          <w:rFonts w:ascii="Times New Roman" w:hAnsi="Times New Roman" w:cs="Times New Roman"/>
          <w:szCs w:val="24"/>
        </w:rPr>
        <w:t>projekt</w:t>
      </w:r>
      <w:r w:rsidR="003E4D9D">
        <w:rPr>
          <w:rFonts w:ascii="Times New Roman" w:hAnsi="Times New Roman" w:cs="Times New Roman"/>
          <w:szCs w:val="24"/>
        </w:rPr>
        <w:t>e:</w:t>
      </w:r>
    </w:p>
    <w:p w14:paraId="5D2BA9E6" w14:textId="77777777" w:rsidR="00483A70" w:rsidRDefault="00483A70" w:rsidP="009D13AE">
      <w:pPr>
        <w:pStyle w:val="Odlomakpopisa"/>
        <w:numPr>
          <w:ilvl w:val="0"/>
          <w:numId w:val="13"/>
        </w:numPr>
        <w:tabs>
          <w:tab w:val="right" w:leader="dot" w:pos="9070"/>
        </w:tabs>
        <w:spacing w:line="240" w:lineRule="auto"/>
        <w:ind w:left="142" w:hanging="142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483A70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Rekonstrukcija postojećeg i izgradnja drugog kolosijeka na dionici</w:t>
      </w:r>
    </w:p>
    <w:p w14:paraId="1651B738" w14:textId="3F772044" w:rsidR="009D13AE" w:rsidRDefault="00483A70" w:rsidP="00483A70">
      <w:pPr>
        <w:pStyle w:val="Odlomakpopisa"/>
        <w:tabs>
          <w:tab w:val="right" w:leader="dot" w:pos="9070"/>
        </w:tabs>
        <w:spacing w:line="240" w:lineRule="auto"/>
        <w:ind w:left="142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483A70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Križevci-Koprivnica-DG</w:t>
      </w:r>
      <w:r w:rsidR="009D13AE" w:rsidRPr="007E6CE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A9014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43,59</w:t>
      </w:r>
      <w:r w:rsidR="009D13AE" w:rsidRPr="007E6CEF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milijuna </w:t>
      </w:r>
      <w:r w:rsidR="00A9014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eura</w:t>
      </w:r>
    </w:p>
    <w:p w14:paraId="6DF799BD" w14:textId="7CB0B16B" w:rsidR="00D7695C" w:rsidRDefault="00B502B5" w:rsidP="00B502B5">
      <w:pPr>
        <w:pStyle w:val="Odlomakpopisa"/>
        <w:numPr>
          <w:ilvl w:val="0"/>
          <w:numId w:val="13"/>
        </w:numPr>
        <w:tabs>
          <w:tab w:val="right" w:leader="dot" w:pos="9070"/>
        </w:tabs>
        <w:spacing w:line="240" w:lineRule="auto"/>
        <w:ind w:left="142" w:hanging="142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B502B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Izrada projektne dokumentacije rekonstrukcije željezničke pruge</w:t>
      </w:r>
    </w:p>
    <w:p w14:paraId="5D8ABFD3" w14:textId="28878E5B" w:rsidR="00B502B5" w:rsidRDefault="00B502B5" w:rsidP="00D7695C">
      <w:pPr>
        <w:pStyle w:val="Odlomakpopisa"/>
        <w:tabs>
          <w:tab w:val="right" w:leader="dot" w:pos="9070"/>
        </w:tabs>
        <w:spacing w:line="240" w:lineRule="auto"/>
        <w:ind w:left="142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B502B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M104 Novska - </w:t>
      </w:r>
      <w:proofErr w:type="spellStart"/>
      <w:r w:rsidRPr="00B502B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Tovarnik</w:t>
      </w:r>
      <w:proofErr w:type="spellEnd"/>
      <w:r w:rsidRPr="00B502B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- Dg na dionici </w:t>
      </w:r>
      <w:proofErr w:type="spellStart"/>
      <w:r w:rsidRPr="00B502B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Okučani</w:t>
      </w:r>
      <w:proofErr w:type="spellEnd"/>
      <w:r w:rsidRPr="00B502B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</w:t>
      </w:r>
      <w:r w:rsidR="00D7695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–</w:t>
      </w:r>
      <w:r w:rsidRPr="00B502B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Vinkovci</w:t>
      </w:r>
      <w:r w:rsidR="00D7695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ab/>
      </w:r>
      <w:r w:rsidR="00ED3516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0,95</w:t>
      </w:r>
      <w:r w:rsidR="00D7695C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milijuna kuna</w:t>
      </w:r>
    </w:p>
    <w:p w14:paraId="188FEFA6" w14:textId="65AADBF4" w:rsidR="008A3903" w:rsidRDefault="00AD51E9" w:rsidP="008A3903">
      <w:pPr>
        <w:tabs>
          <w:tab w:val="left" w:pos="8505"/>
          <w:tab w:val="right" w:leader="dot" w:pos="8789"/>
        </w:tabs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U prvom polugodištu 202</w:t>
      </w:r>
      <w:r w:rsidR="008C5578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. godine izvršenje skupine </w:t>
      </w:r>
      <w:r w:rsidR="00061840" w:rsidRPr="00B11CED">
        <w:rPr>
          <w:rFonts w:ascii="Times New Roman" w:eastAsia="Times New Roman" w:hAnsi="Times New Roman" w:cs="Times New Roman"/>
          <w:i/>
          <w:iCs/>
          <w:color w:val="000000"/>
          <w:szCs w:val="24"/>
          <w:lang w:eastAsia="hr-HR"/>
        </w:rPr>
        <w:t>Pomoći o</w:t>
      </w:r>
      <w:r w:rsidR="00061840" w:rsidRPr="00061840">
        <w:rPr>
          <w:rFonts w:ascii="Times New Roman" w:eastAsia="Times New Roman" w:hAnsi="Times New Roman" w:cs="Times New Roman"/>
          <w:i/>
          <w:iCs/>
          <w:color w:val="000000"/>
          <w:szCs w:val="24"/>
          <w:lang w:eastAsia="hr-HR"/>
        </w:rPr>
        <w:t>d međunarodnih organizacija, te institucija i tijela EU</w:t>
      </w:r>
      <w:r w:rsidR="00061840" w:rsidRPr="00061840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i/>
          <w:iCs/>
          <w:szCs w:val="24"/>
        </w:rPr>
        <w:t xml:space="preserve"> </w:t>
      </w:r>
      <w:r w:rsidR="00F92C59">
        <w:rPr>
          <w:rFonts w:ascii="Times New Roman" w:hAnsi="Times New Roman" w:cs="Times New Roman"/>
          <w:szCs w:val="24"/>
        </w:rPr>
        <w:t xml:space="preserve">veće </w:t>
      </w:r>
      <w:r w:rsidR="009718ED">
        <w:rPr>
          <w:rFonts w:ascii="Times New Roman" w:hAnsi="Times New Roman" w:cs="Times New Roman"/>
          <w:szCs w:val="24"/>
        </w:rPr>
        <w:t xml:space="preserve">je </w:t>
      </w:r>
      <w:r w:rsidR="00F92C59">
        <w:rPr>
          <w:rFonts w:ascii="Times New Roman" w:hAnsi="Times New Roman" w:cs="Times New Roman"/>
          <w:szCs w:val="24"/>
        </w:rPr>
        <w:t xml:space="preserve">za </w:t>
      </w:r>
      <w:r w:rsidR="00B11CED">
        <w:rPr>
          <w:rFonts w:ascii="Times New Roman" w:hAnsi="Times New Roman" w:cs="Times New Roman"/>
          <w:szCs w:val="24"/>
        </w:rPr>
        <w:t>34,18</w:t>
      </w:r>
      <w:r w:rsidR="00360D08">
        <w:rPr>
          <w:rFonts w:ascii="Times New Roman" w:hAnsi="Times New Roman" w:cs="Times New Roman"/>
          <w:szCs w:val="24"/>
        </w:rPr>
        <w:t xml:space="preserve"> milijuna eura</w:t>
      </w:r>
      <w:r w:rsidR="00F92C59">
        <w:rPr>
          <w:rFonts w:ascii="Times New Roman" w:hAnsi="Times New Roman" w:cs="Times New Roman"/>
          <w:szCs w:val="24"/>
        </w:rPr>
        <w:t xml:space="preserve"> od </w:t>
      </w:r>
      <w:r w:rsidR="009718ED">
        <w:rPr>
          <w:rFonts w:ascii="Times New Roman" w:hAnsi="Times New Roman" w:cs="Times New Roman"/>
          <w:szCs w:val="24"/>
        </w:rPr>
        <w:t xml:space="preserve">ostvarenja istog </w:t>
      </w:r>
      <w:r w:rsidRPr="00AD51E9">
        <w:rPr>
          <w:rFonts w:ascii="Times New Roman" w:hAnsi="Times New Roman" w:cs="Times New Roman"/>
          <w:szCs w:val="24"/>
        </w:rPr>
        <w:t>razdoblj</w:t>
      </w:r>
      <w:r w:rsidR="009718ED">
        <w:rPr>
          <w:rFonts w:ascii="Times New Roman" w:hAnsi="Times New Roman" w:cs="Times New Roman"/>
          <w:szCs w:val="24"/>
        </w:rPr>
        <w:t>a</w:t>
      </w:r>
      <w:r w:rsidRPr="00AD51E9">
        <w:rPr>
          <w:rFonts w:ascii="Times New Roman" w:hAnsi="Times New Roman" w:cs="Times New Roman"/>
          <w:szCs w:val="24"/>
        </w:rPr>
        <w:t xml:space="preserve"> prethodne godine</w:t>
      </w:r>
      <w:r>
        <w:rPr>
          <w:rFonts w:ascii="Times New Roman" w:hAnsi="Times New Roman" w:cs="Times New Roman"/>
          <w:szCs w:val="24"/>
        </w:rPr>
        <w:t xml:space="preserve">. U odnosu na </w:t>
      </w:r>
      <w:r w:rsidR="009718ED">
        <w:rPr>
          <w:rFonts w:ascii="Times New Roman" w:hAnsi="Times New Roman" w:cs="Times New Roman"/>
          <w:szCs w:val="24"/>
        </w:rPr>
        <w:t>p</w:t>
      </w:r>
      <w:r>
        <w:rPr>
          <w:rFonts w:ascii="Times New Roman" w:hAnsi="Times New Roman" w:cs="Times New Roman"/>
          <w:szCs w:val="24"/>
        </w:rPr>
        <w:t>lan za 202</w:t>
      </w:r>
      <w:r w:rsidR="00C03853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 xml:space="preserve">. godinu </w:t>
      </w:r>
      <w:r w:rsidR="00D94F1D">
        <w:rPr>
          <w:rFonts w:ascii="Times New Roman" w:hAnsi="Times New Roman" w:cs="Times New Roman"/>
          <w:szCs w:val="24"/>
        </w:rPr>
        <w:t>ostvareno</w:t>
      </w:r>
      <w:r>
        <w:rPr>
          <w:rFonts w:ascii="Times New Roman" w:hAnsi="Times New Roman" w:cs="Times New Roman"/>
          <w:szCs w:val="24"/>
        </w:rPr>
        <w:t xml:space="preserve"> je </w:t>
      </w:r>
      <w:r w:rsidR="00B11CED">
        <w:rPr>
          <w:rFonts w:ascii="Times New Roman" w:hAnsi="Times New Roman" w:cs="Times New Roman"/>
          <w:szCs w:val="24"/>
        </w:rPr>
        <w:t>67,79</w:t>
      </w:r>
      <w:r>
        <w:rPr>
          <w:rFonts w:ascii="Times New Roman" w:hAnsi="Times New Roman" w:cs="Times New Roman"/>
          <w:szCs w:val="24"/>
        </w:rPr>
        <w:t>%.</w:t>
      </w:r>
      <w:r w:rsidR="00661657">
        <w:rPr>
          <w:rFonts w:ascii="Times New Roman" w:hAnsi="Times New Roman" w:cs="Times New Roman"/>
          <w:szCs w:val="24"/>
        </w:rPr>
        <w:t xml:space="preserve"> </w:t>
      </w:r>
      <w:r w:rsidR="00B11CED">
        <w:rPr>
          <w:rFonts w:ascii="Times New Roman" w:hAnsi="Times New Roman" w:cs="Times New Roman"/>
          <w:szCs w:val="24"/>
        </w:rPr>
        <w:t xml:space="preserve">Povećanje u odnosu na prethodnu godinu uglavnom je rezultat primljene nove tranše avansa za projekt </w:t>
      </w:r>
      <w:r w:rsidR="00B11CED" w:rsidRPr="00111064">
        <w:rPr>
          <w:rFonts w:ascii="Times New Roman" w:hAnsi="Times New Roman" w:cs="Times New Roman"/>
          <w:i/>
          <w:iCs/>
          <w:szCs w:val="24"/>
        </w:rPr>
        <w:t>Rekonstrukcija postojećeg i izgradnja drugog kolosijeka na dionici Križevci-Koprivnica-DG</w:t>
      </w:r>
      <w:r w:rsidR="00B11CED">
        <w:rPr>
          <w:rFonts w:ascii="Times New Roman" w:hAnsi="Times New Roman" w:cs="Times New Roman"/>
          <w:i/>
          <w:iCs/>
          <w:szCs w:val="24"/>
        </w:rPr>
        <w:t>.</w:t>
      </w:r>
    </w:p>
    <w:p w14:paraId="167BA84B" w14:textId="778A231D" w:rsidR="000B5F0A" w:rsidRDefault="000B5F0A" w:rsidP="000B5F0A">
      <w:pPr>
        <w:spacing w:line="240" w:lineRule="auto"/>
        <w:rPr>
          <w:rFonts w:ascii="Times New Roman" w:hAnsi="Times New Roman" w:cs="Times New Roman"/>
          <w:szCs w:val="24"/>
        </w:rPr>
      </w:pPr>
      <w:r w:rsidRPr="00661657">
        <w:rPr>
          <w:rFonts w:ascii="Times New Roman" w:hAnsi="Times New Roman" w:cs="Times New Roman"/>
          <w:i/>
          <w:iCs/>
          <w:szCs w:val="24"/>
        </w:rPr>
        <w:t>Prihodi od imovine</w:t>
      </w:r>
      <w:r>
        <w:rPr>
          <w:rFonts w:ascii="Times New Roman" w:hAnsi="Times New Roman" w:cs="Times New Roman"/>
          <w:szCs w:val="24"/>
        </w:rPr>
        <w:t xml:space="preserve"> iznose </w:t>
      </w:r>
      <w:r w:rsidR="009E144E">
        <w:rPr>
          <w:rFonts w:ascii="Times New Roman" w:hAnsi="Times New Roman" w:cs="Times New Roman"/>
          <w:szCs w:val="24"/>
        </w:rPr>
        <w:t>1,85</w:t>
      </w:r>
      <w:r>
        <w:rPr>
          <w:rFonts w:ascii="Times New Roman" w:hAnsi="Times New Roman" w:cs="Times New Roman"/>
          <w:szCs w:val="24"/>
        </w:rPr>
        <w:t xml:space="preserve"> milijuna </w:t>
      </w:r>
      <w:r w:rsidR="009E144E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 xml:space="preserve">, a najvećim dijelom </w:t>
      </w:r>
      <w:r w:rsidR="00513302">
        <w:rPr>
          <w:rFonts w:ascii="Times New Roman" w:hAnsi="Times New Roman" w:cs="Times New Roman"/>
          <w:szCs w:val="24"/>
        </w:rPr>
        <w:t xml:space="preserve">se </w:t>
      </w:r>
      <w:r>
        <w:rPr>
          <w:rFonts w:ascii="Times New Roman" w:hAnsi="Times New Roman" w:cs="Times New Roman"/>
          <w:szCs w:val="24"/>
        </w:rPr>
        <w:t>odnose na ostvarene prihode od zakupa i iznajmljivanja imovine (</w:t>
      </w:r>
      <w:r w:rsidR="009E144E">
        <w:rPr>
          <w:rFonts w:ascii="Times New Roman" w:hAnsi="Times New Roman" w:cs="Times New Roman"/>
          <w:szCs w:val="24"/>
        </w:rPr>
        <w:t>1,80</w:t>
      </w:r>
      <w:r>
        <w:rPr>
          <w:rFonts w:ascii="Times New Roman" w:hAnsi="Times New Roman" w:cs="Times New Roman"/>
          <w:szCs w:val="24"/>
        </w:rPr>
        <w:t xml:space="preserve"> milijun</w:t>
      </w:r>
      <w:r w:rsidR="009E144E"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 xml:space="preserve"> </w:t>
      </w:r>
      <w:r w:rsidR="009E144E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>) i prihoda od zateznih kamata (</w:t>
      </w:r>
      <w:r w:rsidR="00661657">
        <w:rPr>
          <w:rFonts w:ascii="Times New Roman" w:hAnsi="Times New Roman" w:cs="Times New Roman"/>
          <w:szCs w:val="24"/>
        </w:rPr>
        <w:t>0,</w:t>
      </w:r>
      <w:r w:rsidR="00082839">
        <w:rPr>
          <w:rFonts w:ascii="Times New Roman" w:hAnsi="Times New Roman" w:cs="Times New Roman"/>
          <w:szCs w:val="24"/>
        </w:rPr>
        <w:t>47</w:t>
      </w:r>
      <w:r>
        <w:rPr>
          <w:rFonts w:ascii="Times New Roman" w:hAnsi="Times New Roman" w:cs="Times New Roman"/>
          <w:szCs w:val="24"/>
        </w:rPr>
        <w:t xml:space="preserve"> milijuna </w:t>
      </w:r>
      <w:r w:rsidR="00082839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>)</w:t>
      </w:r>
      <w:r w:rsidR="00661657">
        <w:rPr>
          <w:rFonts w:ascii="Times New Roman" w:hAnsi="Times New Roman" w:cs="Times New Roman"/>
          <w:szCs w:val="24"/>
        </w:rPr>
        <w:t xml:space="preserve">. U odnosu na isto razdoblje prethodne godine ukupni Prihodi od imovine </w:t>
      </w:r>
      <w:r w:rsidR="00082839">
        <w:rPr>
          <w:rFonts w:ascii="Times New Roman" w:hAnsi="Times New Roman" w:cs="Times New Roman"/>
          <w:szCs w:val="24"/>
        </w:rPr>
        <w:lastRenderedPageBreak/>
        <w:t>ve</w:t>
      </w:r>
      <w:r w:rsidR="009348A7">
        <w:rPr>
          <w:rFonts w:ascii="Times New Roman" w:hAnsi="Times New Roman" w:cs="Times New Roman"/>
          <w:szCs w:val="24"/>
        </w:rPr>
        <w:t>ć</w:t>
      </w:r>
      <w:r w:rsidR="00082839">
        <w:rPr>
          <w:rFonts w:ascii="Times New Roman" w:hAnsi="Times New Roman" w:cs="Times New Roman"/>
          <w:szCs w:val="24"/>
        </w:rPr>
        <w:t>i</w:t>
      </w:r>
      <w:r w:rsidR="00451242">
        <w:rPr>
          <w:rFonts w:ascii="Times New Roman" w:hAnsi="Times New Roman" w:cs="Times New Roman"/>
          <w:szCs w:val="24"/>
        </w:rPr>
        <w:t xml:space="preserve"> su</w:t>
      </w:r>
      <w:r w:rsidR="00661657">
        <w:rPr>
          <w:rFonts w:ascii="Times New Roman" w:hAnsi="Times New Roman" w:cs="Times New Roman"/>
          <w:szCs w:val="24"/>
        </w:rPr>
        <w:t xml:space="preserve"> za </w:t>
      </w:r>
      <w:r w:rsidR="0053258E">
        <w:rPr>
          <w:rFonts w:ascii="Times New Roman" w:hAnsi="Times New Roman" w:cs="Times New Roman"/>
          <w:szCs w:val="24"/>
        </w:rPr>
        <w:t>24,</w:t>
      </w:r>
      <w:r w:rsidR="009348A7">
        <w:rPr>
          <w:rFonts w:ascii="Times New Roman" w:hAnsi="Times New Roman" w:cs="Times New Roman"/>
          <w:szCs w:val="24"/>
        </w:rPr>
        <w:t>4</w:t>
      </w:r>
      <w:r w:rsidR="00661657">
        <w:rPr>
          <w:rFonts w:ascii="Times New Roman" w:hAnsi="Times New Roman" w:cs="Times New Roman"/>
          <w:szCs w:val="24"/>
        </w:rPr>
        <w:t xml:space="preserve">% što je rezultat </w:t>
      </w:r>
      <w:r w:rsidR="0053258E">
        <w:rPr>
          <w:rFonts w:ascii="Times New Roman" w:hAnsi="Times New Roman" w:cs="Times New Roman"/>
          <w:szCs w:val="24"/>
        </w:rPr>
        <w:t>povećanja</w:t>
      </w:r>
      <w:r w:rsidR="00661657">
        <w:rPr>
          <w:rFonts w:ascii="Times New Roman" w:hAnsi="Times New Roman" w:cs="Times New Roman"/>
          <w:szCs w:val="24"/>
        </w:rPr>
        <w:t xml:space="preserve"> prihoda od zakupa i iznajmljivanja imovine za </w:t>
      </w:r>
      <w:r w:rsidR="0053258E">
        <w:rPr>
          <w:rFonts w:ascii="Times New Roman" w:hAnsi="Times New Roman" w:cs="Times New Roman"/>
          <w:szCs w:val="24"/>
        </w:rPr>
        <w:t>23,9</w:t>
      </w:r>
      <w:r w:rsidR="00661657">
        <w:rPr>
          <w:rFonts w:ascii="Times New Roman" w:hAnsi="Times New Roman" w:cs="Times New Roman"/>
          <w:szCs w:val="24"/>
        </w:rPr>
        <w:t xml:space="preserve">% u odnosu na prethodnu godinu. Prihodi od imovine </w:t>
      </w:r>
      <w:r w:rsidR="00D94F1D">
        <w:rPr>
          <w:rFonts w:ascii="Times New Roman" w:hAnsi="Times New Roman" w:cs="Times New Roman"/>
          <w:szCs w:val="24"/>
        </w:rPr>
        <w:t>ostvareni su na razini</w:t>
      </w:r>
      <w:r w:rsidR="00661657">
        <w:rPr>
          <w:rFonts w:ascii="Times New Roman" w:hAnsi="Times New Roman" w:cs="Times New Roman"/>
          <w:szCs w:val="24"/>
        </w:rPr>
        <w:t xml:space="preserve"> od </w:t>
      </w:r>
      <w:r w:rsidR="0053258E">
        <w:rPr>
          <w:rFonts w:ascii="Times New Roman" w:hAnsi="Times New Roman" w:cs="Times New Roman"/>
          <w:szCs w:val="24"/>
        </w:rPr>
        <w:t>44,2</w:t>
      </w:r>
      <w:r w:rsidR="00661657">
        <w:rPr>
          <w:rFonts w:ascii="Times New Roman" w:hAnsi="Times New Roman" w:cs="Times New Roman"/>
          <w:szCs w:val="24"/>
        </w:rPr>
        <w:t xml:space="preserve">% </w:t>
      </w:r>
      <w:r w:rsidR="00314455">
        <w:rPr>
          <w:rFonts w:ascii="Times New Roman" w:hAnsi="Times New Roman" w:cs="Times New Roman"/>
          <w:szCs w:val="24"/>
        </w:rPr>
        <w:t>p</w:t>
      </w:r>
      <w:r w:rsidR="00661657">
        <w:rPr>
          <w:rFonts w:ascii="Times New Roman" w:hAnsi="Times New Roman" w:cs="Times New Roman"/>
          <w:szCs w:val="24"/>
        </w:rPr>
        <w:t>lana za 202</w:t>
      </w:r>
      <w:r w:rsidR="0053258E">
        <w:rPr>
          <w:rFonts w:ascii="Times New Roman" w:hAnsi="Times New Roman" w:cs="Times New Roman"/>
          <w:szCs w:val="24"/>
        </w:rPr>
        <w:t>3</w:t>
      </w:r>
      <w:r w:rsidR="00661657">
        <w:rPr>
          <w:rFonts w:ascii="Times New Roman" w:hAnsi="Times New Roman" w:cs="Times New Roman"/>
          <w:szCs w:val="24"/>
        </w:rPr>
        <w:t>. godinu.</w:t>
      </w:r>
    </w:p>
    <w:p w14:paraId="20F4005E" w14:textId="0139E4ED" w:rsidR="000B5F0A" w:rsidRDefault="00B11CED" w:rsidP="000B5F0A">
      <w:pPr>
        <w:spacing w:line="240" w:lineRule="auto"/>
        <w:rPr>
          <w:rFonts w:ascii="Times New Roman" w:hAnsi="Times New Roman" w:cs="Times New Roman"/>
          <w:szCs w:val="24"/>
        </w:rPr>
      </w:pPr>
      <w:r w:rsidRPr="00B11CED">
        <w:rPr>
          <w:rFonts w:ascii="Times New Roman" w:hAnsi="Times New Roman" w:cs="Times New Roman"/>
          <w:i/>
          <w:iCs/>
          <w:szCs w:val="24"/>
        </w:rPr>
        <w:t>Prihodi od prodaje proizvoda i robe te pruženih usluga, prihodi od donacija te povrati po protestiranim jamstvima</w:t>
      </w:r>
      <w:r w:rsidRPr="00B11CED" w:rsidDel="00B11CED">
        <w:rPr>
          <w:rFonts w:ascii="Times New Roman" w:hAnsi="Times New Roman" w:cs="Times New Roman"/>
          <w:i/>
          <w:iCs/>
          <w:szCs w:val="24"/>
        </w:rPr>
        <w:t xml:space="preserve"> </w:t>
      </w:r>
      <w:r w:rsidR="000B5F0A">
        <w:rPr>
          <w:rFonts w:ascii="Times New Roman" w:hAnsi="Times New Roman" w:cs="Times New Roman"/>
          <w:szCs w:val="24"/>
        </w:rPr>
        <w:t xml:space="preserve">iznose </w:t>
      </w:r>
      <w:r w:rsidR="0053258E">
        <w:rPr>
          <w:rFonts w:ascii="Times New Roman" w:hAnsi="Times New Roman" w:cs="Times New Roman"/>
          <w:szCs w:val="24"/>
        </w:rPr>
        <w:t>19,65</w:t>
      </w:r>
      <w:r w:rsidR="000B5F0A">
        <w:rPr>
          <w:rFonts w:ascii="Times New Roman" w:hAnsi="Times New Roman" w:cs="Times New Roman"/>
          <w:szCs w:val="24"/>
        </w:rPr>
        <w:t xml:space="preserve"> milijun</w:t>
      </w:r>
      <w:r w:rsidR="0053258E">
        <w:rPr>
          <w:rFonts w:ascii="Times New Roman" w:hAnsi="Times New Roman" w:cs="Times New Roman"/>
          <w:szCs w:val="24"/>
        </w:rPr>
        <w:t>a</w:t>
      </w:r>
      <w:r w:rsidR="000B5F0A">
        <w:rPr>
          <w:rFonts w:ascii="Times New Roman" w:hAnsi="Times New Roman" w:cs="Times New Roman"/>
          <w:szCs w:val="24"/>
        </w:rPr>
        <w:t xml:space="preserve"> </w:t>
      </w:r>
      <w:r w:rsidR="0053258E">
        <w:rPr>
          <w:rFonts w:ascii="Times New Roman" w:hAnsi="Times New Roman" w:cs="Times New Roman"/>
          <w:szCs w:val="24"/>
        </w:rPr>
        <w:t>eura</w:t>
      </w:r>
      <w:r w:rsidR="00661657">
        <w:rPr>
          <w:rFonts w:ascii="Times New Roman" w:hAnsi="Times New Roman" w:cs="Times New Roman"/>
          <w:szCs w:val="24"/>
        </w:rPr>
        <w:t xml:space="preserve"> i u odnosu</w:t>
      </w:r>
      <w:r w:rsidR="00CB7761">
        <w:rPr>
          <w:rFonts w:ascii="Times New Roman" w:hAnsi="Times New Roman" w:cs="Times New Roman"/>
          <w:szCs w:val="24"/>
        </w:rPr>
        <w:t xml:space="preserve"> na</w:t>
      </w:r>
      <w:r w:rsidR="00661657">
        <w:rPr>
          <w:rFonts w:ascii="Times New Roman" w:hAnsi="Times New Roman" w:cs="Times New Roman"/>
          <w:szCs w:val="24"/>
        </w:rPr>
        <w:t xml:space="preserve"> isto razdoblje prethodne godine veći su za </w:t>
      </w:r>
      <w:r w:rsidR="00B67617">
        <w:rPr>
          <w:rFonts w:ascii="Times New Roman" w:hAnsi="Times New Roman" w:cs="Times New Roman"/>
          <w:szCs w:val="24"/>
        </w:rPr>
        <w:t>95,5</w:t>
      </w:r>
      <w:r w:rsidR="00661657">
        <w:rPr>
          <w:rFonts w:ascii="Times New Roman" w:hAnsi="Times New Roman" w:cs="Times New Roman"/>
          <w:szCs w:val="24"/>
        </w:rPr>
        <w:t xml:space="preserve">% odnosno </w:t>
      </w:r>
      <w:r w:rsidR="00D94F1D">
        <w:rPr>
          <w:rFonts w:ascii="Times New Roman" w:hAnsi="Times New Roman" w:cs="Times New Roman"/>
          <w:szCs w:val="24"/>
        </w:rPr>
        <w:t xml:space="preserve">ostvareni su na razini od </w:t>
      </w:r>
      <w:r w:rsidR="00B67617">
        <w:rPr>
          <w:rFonts w:ascii="Times New Roman" w:hAnsi="Times New Roman" w:cs="Times New Roman"/>
          <w:szCs w:val="24"/>
        </w:rPr>
        <w:t>47,7</w:t>
      </w:r>
      <w:r w:rsidR="00D94F1D">
        <w:rPr>
          <w:rFonts w:ascii="Times New Roman" w:hAnsi="Times New Roman" w:cs="Times New Roman"/>
          <w:szCs w:val="24"/>
        </w:rPr>
        <w:t xml:space="preserve">% </w:t>
      </w:r>
      <w:r w:rsidR="00314455">
        <w:rPr>
          <w:rFonts w:ascii="Times New Roman" w:hAnsi="Times New Roman" w:cs="Times New Roman"/>
          <w:szCs w:val="24"/>
        </w:rPr>
        <w:t>p</w:t>
      </w:r>
      <w:r w:rsidR="00661657">
        <w:rPr>
          <w:rFonts w:ascii="Times New Roman" w:hAnsi="Times New Roman" w:cs="Times New Roman"/>
          <w:szCs w:val="24"/>
        </w:rPr>
        <w:t>lan</w:t>
      </w:r>
      <w:r w:rsidR="00D94F1D">
        <w:rPr>
          <w:rFonts w:ascii="Times New Roman" w:hAnsi="Times New Roman" w:cs="Times New Roman"/>
          <w:szCs w:val="24"/>
        </w:rPr>
        <w:t>a</w:t>
      </w:r>
      <w:r w:rsidR="00661657">
        <w:rPr>
          <w:rFonts w:ascii="Times New Roman" w:hAnsi="Times New Roman" w:cs="Times New Roman"/>
          <w:szCs w:val="24"/>
        </w:rPr>
        <w:t xml:space="preserve"> za 202</w:t>
      </w:r>
      <w:r w:rsidR="00B67617">
        <w:rPr>
          <w:rFonts w:ascii="Times New Roman" w:hAnsi="Times New Roman" w:cs="Times New Roman"/>
          <w:szCs w:val="24"/>
        </w:rPr>
        <w:t>3</w:t>
      </w:r>
      <w:r w:rsidR="00661657">
        <w:rPr>
          <w:rFonts w:ascii="Times New Roman" w:hAnsi="Times New Roman" w:cs="Times New Roman"/>
          <w:szCs w:val="24"/>
        </w:rPr>
        <w:t>. godinu</w:t>
      </w:r>
      <w:r w:rsidR="00D94F1D">
        <w:rPr>
          <w:rFonts w:ascii="Times New Roman" w:hAnsi="Times New Roman" w:cs="Times New Roman"/>
          <w:szCs w:val="24"/>
        </w:rPr>
        <w:t>. Najvećim dijelom</w:t>
      </w:r>
      <w:r w:rsidR="000B5F0A">
        <w:rPr>
          <w:rFonts w:ascii="Times New Roman" w:hAnsi="Times New Roman" w:cs="Times New Roman"/>
          <w:szCs w:val="24"/>
        </w:rPr>
        <w:t xml:space="preserve"> ostvareni</w:t>
      </w:r>
      <w:r w:rsidR="00D94F1D">
        <w:rPr>
          <w:rFonts w:ascii="Times New Roman" w:hAnsi="Times New Roman" w:cs="Times New Roman"/>
          <w:szCs w:val="24"/>
        </w:rPr>
        <w:t xml:space="preserve"> su</w:t>
      </w:r>
      <w:r w:rsidR="000B5F0A">
        <w:rPr>
          <w:rFonts w:ascii="Times New Roman" w:hAnsi="Times New Roman" w:cs="Times New Roman"/>
          <w:szCs w:val="24"/>
        </w:rPr>
        <w:t xml:space="preserve"> od pružanja željezničkih usluga (</w:t>
      </w:r>
      <w:r w:rsidR="00D15021">
        <w:rPr>
          <w:rFonts w:ascii="Times New Roman" w:hAnsi="Times New Roman" w:cs="Times New Roman"/>
          <w:szCs w:val="24"/>
        </w:rPr>
        <w:t>19,46</w:t>
      </w:r>
      <w:r w:rsidR="000B5F0A">
        <w:rPr>
          <w:rFonts w:ascii="Times New Roman" w:hAnsi="Times New Roman" w:cs="Times New Roman"/>
          <w:szCs w:val="24"/>
        </w:rPr>
        <w:t xml:space="preserve"> milijun</w:t>
      </w:r>
      <w:r w:rsidR="00530118">
        <w:rPr>
          <w:rFonts w:ascii="Times New Roman" w:hAnsi="Times New Roman" w:cs="Times New Roman"/>
          <w:szCs w:val="24"/>
        </w:rPr>
        <w:t>a</w:t>
      </w:r>
      <w:r w:rsidR="000B5F0A">
        <w:rPr>
          <w:rFonts w:ascii="Times New Roman" w:hAnsi="Times New Roman" w:cs="Times New Roman"/>
          <w:szCs w:val="24"/>
        </w:rPr>
        <w:t xml:space="preserve"> </w:t>
      </w:r>
      <w:r w:rsidR="00D15021">
        <w:rPr>
          <w:rFonts w:ascii="Times New Roman" w:hAnsi="Times New Roman" w:cs="Times New Roman"/>
          <w:szCs w:val="24"/>
        </w:rPr>
        <w:t>eura</w:t>
      </w:r>
      <w:r w:rsidR="000B5F0A">
        <w:rPr>
          <w:rFonts w:ascii="Times New Roman" w:hAnsi="Times New Roman" w:cs="Times New Roman"/>
          <w:szCs w:val="24"/>
        </w:rPr>
        <w:t>)</w:t>
      </w:r>
      <w:r w:rsidR="00661657">
        <w:rPr>
          <w:rFonts w:ascii="Times New Roman" w:hAnsi="Times New Roman" w:cs="Times New Roman"/>
          <w:szCs w:val="24"/>
        </w:rPr>
        <w:t>.</w:t>
      </w:r>
      <w:r w:rsidR="00AF0E3D">
        <w:rPr>
          <w:rFonts w:ascii="Times New Roman" w:hAnsi="Times New Roman" w:cs="Times New Roman"/>
          <w:szCs w:val="24"/>
        </w:rPr>
        <w:t xml:space="preserve"> Povećanje prihoda</w:t>
      </w:r>
      <w:r w:rsidR="00DB02D9">
        <w:rPr>
          <w:rFonts w:ascii="Times New Roman" w:hAnsi="Times New Roman" w:cs="Times New Roman"/>
          <w:szCs w:val="24"/>
        </w:rPr>
        <w:t xml:space="preserve"> od pruženih usluga u odnosu na isto razdoblje prethodne godine rezultat je </w:t>
      </w:r>
      <w:r w:rsidR="00704A90">
        <w:rPr>
          <w:rFonts w:ascii="Times New Roman" w:hAnsi="Times New Roman" w:cs="Times New Roman"/>
          <w:szCs w:val="24"/>
        </w:rPr>
        <w:t xml:space="preserve">podmirenja duga društva HŽ </w:t>
      </w:r>
      <w:proofErr w:type="spellStart"/>
      <w:r w:rsidR="00704A90">
        <w:rPr>
          <w:rFonts w:ascii="Times New Roman" w:hAnsi="Times New Roman" w:cs="Times New Roman"/>
          <w:szCs w:val="24"/>
        </w:rPr>
        <w:t>Cargo</w:t>
      </w:r>
      <w:proofErr w:type="spellEnd"/>
      <w:r w:rsidR="00704A90">
        <w:rPr>
          <w:rFonts w:ascii="Times New Roman" w:hAnsi="Times New Roman" w:cs="Times New Roman"/>
          <w:szCs w:val="24"/>
        </w:rPr>
        <w:t xml:space="preserve"> prema HŽ Infrastrukturi temeljem Sporazuma o podmirenju duga i </w:t>
      </w:r>
      <w:r w:rsidR="00A41561">
        <w:rPr>
          <w:rFonts w:ascii="Times New Roman" w:hAnsi="Times New Roman" w:cs="Times New Roman"/>
          <w:szCs w:val="24"/>
        </w:rPr>
        <w:t>Sporazuma o uređenju imovinsko pravnih odnosa</w:t>
      </w:r>
      <w:r w:rsidR="00501FA7">
        <w:rPr>
          <w:rFonts w:ascii="Times New Roman" w:hAnsi="Times New Roman" w:cs="Times New Roman"/>
          <w:szCs w:val="24"/>
        </w:rPr>
        <w:t xml:space="preserve">, te </w:t>
      </w:r>
      <w:r w:rsidR="00704A90">
        <w:rPr>
          <w:rFonts w:ascii="Times New Roman" w:hAnsi="Times New Roman" w:cs="Times New Roman"/>
          <w:szCs w:val="24"/>
        </w:rPr>
        <w:t>sklo</w:t>
      </w:r>
      <w:r w:rsidR="00A41561">
        <w:rPr>
          <w:rFonts w:ascii="Times New Roman" w:hAnsi="Times New Roman" w:cs="Times New Roman"/>
          <w:szCs w:val="24"/>
        </w:rPr>
        <w:t xml:space="preserve">pljene Nagodbe između HŽ </w:t>
      </w:r>
      <w:proofErr w:type="spellStart"/>
      <w:r w:rsidR="00A41561">
        <w:rPr>
          <w:rFonts w:ascii="Times New Roman" w:hAnsi="Times New Roman" w:cs="Times New Roman"/>
          <w:szCs w:val="24"/>
        </w:rPr>
        <w:t>Carga</w:t>
      </w:r>
      <w:proofErr w:type="spellEnd"/>
      <w:r w:rsidR="00A41561">
        <w:rPr>
          <w:rFonts w:ascii="Times New Roman" w:hAnsi="Times New Roman" w:cs="Times New Roman"/>
          <w:szCs w:val="24"/>
        </w:rPr>
        <w:t xml:space="preserve"> i Republike Hrvatske.</w:t>
      </w:r>
    </w:p>
    <w:p w14:paraId="1B72FB72" w14:textId="77777777" w:rsidR="00D943BC" w:rsidRDefault="00D943BC" w:rsidP="000B5F0A">
      <w:pPr>
        <w:spacing w:line="240" w:lineRule="auto"/>
        <w:rPr>
          <w:rFonts w:ascii="Times New Roman" w:hAnsi="Times New Roman" w:cs="Times New Roman"/>
          <w:szCs w:val="24"/>
        </w:rPr>
      </w:pPr>
    </w:p>
    <w:p w14:paraId="05A322A1" w14:textId="1D40E3BE" w:rsidR="000814B0" w:rsidRPr="003A6522" w:rsidRDefault="000814B0" w:rsidP="003A6522">
      <w:pPr>
        <w:spacing w:after="240" w:line="240" w:lineRule="auto"/>
        <w:rPr>
          <w:rFonts w:ascii="Times New Roman" w:hAnsi="Times New Roman" w:cs="Times New Roman"/>
          <w:b/>
          <w:bCs/>
          <w:szCs w:val="24"/>
          <w:u w:val="single"/>
        </w:rPr>
      </w:pPr>
      <w:r w:rsidRPr="003A6522">
        <w:rPr>
          <w:rFonts w:ascii="Times New Roman" w:hAnsi="Times New Roman" w:cs="Times New Roman"/>
          <w:b/>
          <w:bCs/>
          <w:szCs w:val="24"/>
          <w:u w:val="single"/>
        </w:rPr>
        <w:t>RASHODI</w:t>
      </w:r>
    </w:p>
    <w:tbl>
      <w:tblPr>
        <w:tblW w:w="4908" w:type="pct"/>
        <w:tblInd w:w="-6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69"/>
        <w:gridCol w:w="1464"/>
        <w:gridCol w:w="1464"/>
        <w:gridCol w:w="1464"/>
        <w:gridCol w:w="916"/>
        <w:gridCol w:w="916"/>
      </w:tblGrid>
      <w:tr w:rsidR="003A6522" w14:paraId="4CBAA5C5" w14:textId="77777777" w:rsidTr="00BD4F54">
        <w:tc>
          <w:tcPr>
            <w:tcW w:w="1500" w:type="pct"/>
            <w:shd w:val="clear" w:color="auto" w:fill="BCDFFB"/>
            <w:vAlign w:val="center"/>
          </w:tcPr>
          <w:p w14:paraId="255A8D11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1DE27954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14554F2E" w14:textId="35FC9567" w:rsidR="003A6522" w:rsidRDefault="00D71E20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 w:rsidR="003A6522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27CB4C03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15" w:type="pct"/>
            <w:shd w:val="clear" w:color="auto" w:fill="BCDFFB"/>
            <w:vAlign w:val="center"/>
          </w:tcPr>
          <w:p w14:paraId="3D2FE0B0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15" w:type="pct"/>
            <w:shd w:val="clear" w:color="auto" w:fill="BCDFFB"/>
            <w:vAlign w:val="center"/>
          </w:tcPr>
          <w:p w14:paraId="70CB925B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A6522" w14:paraId="462D44C0" w14:textId="77777777" w:rsidTr="00BD4F54">
        <w:tc>
          <w:tcPr>
            <w:tcW w:w="1500" w:type="pct"/>
            <w:shd w:val="clear" w:color="auto" w:fill="BCDFFB"/>
            <w:vAlign w:val="center"/>
          </w:tcPr>
          <w:p w14:paraId="2F764205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66CF9048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43DF0B86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23" w:type="pct"/>
            <w:shd w:val="clear" w:color="auto" w:fill="BCDFFB"/>
            <w:vAlign w:val="center"/>
          </w:tcPr>
          <w:p w14:paraId="5EC9E6B3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15" w:type="pct"/>
            <w:shd w:val="clear" w:color="auto" w:fill="BCDFFB"/>
            <w:vAlign w:val="center"/>
          </w:tcPr>
          <w:p w14:paraId="02A444C3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15" w:type="pct"/>
            <w:shd w:val="clear" w:color="auto" w:fill="BCDFFB"/>
            <w:vAlign w:val="center"/>
          </w:tcPr>
          <w:p w14:paraId="72EE973F" w14:textId="77777777" w:rsidR="003A6522" w:rsidRDefault="003A6522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3A6522" w14:paraId="2E84C140" w14:textId="77777777" w:rsidTr="00BD4F54">
        <w:tc>
          <w:tcPr>
            <w:tcW w:w="1500" w:type="pct"/>
            <w:vAlign w:val="center"/>
          </w:tcPr>
          <w:p w14:paraId="51B343B4" w14:textId="77777777" w:rsidR="003A6522" w:rsidRDefault="003A6522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23" w:type="pct"/>
            <w:vAlign w:val="bottom"/>
          </w:tcPr>
          <w:p w14:paraId="653934F1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73.568.203</w:t>
            </w:r>
          </w:p>
        </w:tc>
        <w:tc>
          <w:tcPr>
            <w:tcW w:w="823" w:type="pct"/>
            <w:vAlign w:val="bottom"/>
          </w:tcPr>
          <w:p w14:paraId="5EB0F89C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173.578.209</w:t>
            </w:r>
          </w:p>
        </w:tc>
        <w:tc>
          <w:tcPr>
            <w:tcW w:w="823" w:type="pct"/>
            <w:vAlign w:val="bottom"/>
          </w:tcPr>
          <w:p w14:paraId="463E6A90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85.452.798</w:t>
            </w:r>
          </w:p>
        </w:tc>
        <w:tc>
          <w:tcPr>
            <w:tcW w:w="515" w:type="pct"/>
            <w:vAlign w:val="bottom"/>
          </w:tcPr>
          <w:p w14:paraId="638AF3BF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116,2</w:t>
            </w:r>
          </w:p>
        </w:tc>
        <w:tc>
          <w:tcPr>
            <w:tcW w:w="515" w:type="pct"/>
            <w:vAlign w:val="bottom"/>
          </w:tcPr>
          <w:p w14:paraId="64B5D3A1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49,2</w:t>
            </w:r>
          </w:p>
        </w:tc>
      </w:tr>
      <w:tr w:rsidR="003A6522" w14:paraId="1EB0168A" w14:textId="77777777" w:rsidTr="00BD4F54">
        <w:tc>
          <w:tcPr>
            <w:tcW w:w="1500" w:type="pct"/>
            <w:vAlign w:val="bottom"/>
          </w:tcPr>
          <w:p w14:paraId="35F66E18" w14:textId="77777777" w:rsidR="003A6522" w:rsidRDefault="003A6522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23" w:type="pct"/>
            <w:vAlign w:val="bottom"/>
          </w:tcPr>
          <w:p w14:paraId="49EA7140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68.561.337</w:t>
            </w:r>
          </w:p>
        </w:tc>
        <w:tc>
          <w:tcPr>
            <w:tcW w:w="823" w:type="pct"/>
            <w:vAlign w:val="bottom"/>
          </w:tcPr>
          <w:p w14:paraId="4207789F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231.337.888</w:t>
            </w:r>
          </w:p>
        </w:tc>
        <w:tc>
          <w:tcPr>
            <w:tcW w:w="823" w:type="pct"/>
            <w:vAlign w:val="bottom"/>
          </w:tcPr>
          <w:p w14:paraId="33AB3378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76.452.540</w:t>
            </w:r>
          </w:p>
        </w:tc>
        <w:tc>
          <w:tcPr>
            <w:tcW w:w="515" w:type="pct"/>
            <w:vAlign w:val="bottom"/>
          </w:tcPr>
          <w:p w14:paraId="49E255EA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111,5</w:t>
            </w:r>
          </w:p>
        </w:tc>
        <w:tc>
          <w:tcPr>
            <w:tcW w:w="515" w:type="pct"/>
            <w:vAlign w:val="bottom"/>
          </w:tcPr>
          <w:p w14:paraId="0B06CB40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33,0</w:t>
            </w:r>
          </w:p>
        </w:tc>
      </w:tr>
      <w:tr w:rsidR="003A6522" w14:paraId="7F2BF174" w14:textId="77777777" w:rsidTr="00BD4F54">
        <w:tc>
          <w:tcPr>
            <w:tcW w:w="1500" w:type="pct"/>
            <w:vAlign w:val="bottom"/>
          </w:tcPr>
          <w:p w14:paraId="645D8020" w14:textId="77777777" w:rsidR="003A6522" w:rsidRDefault="003A6522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23" w:type="pct"/>
            <w:vAlign w:val="bottom"/>
          </w:tcPr>
          <w:p w14:paraId="72093D37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142.129.540</w:t>
            </w:r>
          </w:p>
        </w:tc>
        <w:tc>
          <w:tcPr>
            <w:tcW w:w="823" w:type="pct"/>
            <w:vAlign w:val="bottom"/>
          </w:tcPr>
          <w:p w14:paraId="677E4EE7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404.916.097</w:t>
            </w:r>
          </w:p>
        </w:tc>
        <w:tc>
          <w:tcPr>
            <w:tcW w:w="823" w:type="pct"/>
            <w:vAlign w:val="bottom"/>
          </w:tcPr>
          <w:p w14:paraId="73A5F1B8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161.905.338</w:t>
            </w:r>
          </w:p>
        </w:tc>
        <w:tc>
          <w:tcPr>
            <w:tcW w:w="515" w:type="pct"/>
            <w:vAlign w:val="bottom"/>
          </w:tcPr>
          <w:p w14:paraId="40371F13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113,9</w:t>
            </w:r>
          </w:p>
        </w:tc>
        <w:tc>
          <w:tcPr>
            <w:tcW w:w="515" w:type="pct"/>
            <w:vAlign w:val="bottom"/>
          </w:tcPr>
          <w:p w14:paraId="1DAFDFDD" w14:textId="77777777" w:rsidR="003A6522" w:rsidRDefault="003A6522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40,0</w:t>
            </w:r>
          </w:p>
        </w:tc>
      </w:tr>
    </w:tbl>
    <w:p w14:paraId="3B735329" w14:textId="77777777" w:rsidR="00E1266A" w:rsidRPr="000814B0" w:rsidRDefault="00E1266A" w:rsidP="000B5F0A">
      <w:pPr>
        <w:spacing w:line="240" w:lineRule="auto"/>
        <w:rPr>
          <w:rFonts w:ascii="Times New Roman" w:hAnsi="Times New Roman" w:cs="Times New Roman"/>
          <w:b/>
          <w:bCs/>
          <w:szCs w:val="24"/>
        </w:rPr>
      </w:pPr>
    </w:p>
    <w:p w14:paraId="68DB62CA" w14:textId="56B124DA" w:rsidR="00985105" w:rsidRDefault="007E0964" w:rsidP="000B5F0A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U prvom polugodištu 2023. godine HŽ Infrastruktura ostvarila je ukupne rashode u iznosu od 161,91 milijuna eura što je na razini od </w:t>
      </w:r>
      <w:r w:rsidR="00AF6F5F">
        <w:rPr>
          <w:rFonts w:ascii="Times New Roman" w:hAnsi="Times New Roman" w:cs="Times New Roman"/>
          <w:szCs w:val="24"/>
        </w:rPr>
        <w:t>40,0</w:t>
      </w:r>
      <w:r>
        <w:rPr>
          <w:rFonts w:ascii="Times New Roman" w:hAnsi="Times New Roman" w:cs="Times New Roman"/>
          <w:szCs w:val="24"/>
        </w:rPr>
        <w:t>% planiranih sredstava.</w:t>
      </w:r>
      <w:r w:rsidR="001B43CC">
        <w:rPr>
          <w:rFonts w:ascii="Times New Roman" w:hAnsi="Times New Roman" w:cs="Times New Roman"/>
          <w:szCs w:val="24"/>
        </w:rPr>
        <w:t xml:space="preserve"> Od ukupno ostvarenih rashoda, 52,</w:t>
      </w:r>
      <w:r w:rsidR="00AF6F5F">
        <w:rPr>
          <w:rFonts w:ascii="Times New Roman" w:hAnsi="Times New Roman" w:cs="Times New Roman"/>
          <w:szCs w:val="24"/>
        </w:rPr>
        <w:t>8</w:t>
      </w:r>
      <w:r w:rsidR="001B43CC">
        <w:rPr>
          <w:rFonts w:ascii="Times New Roman" w:hAnsi="Times New Roman" w:cs="Times New Roman"/>
          <w:szCs w:val="24"/>
        </w:rPr>
        <w:t xml:space="preserve">% odnosi se na rashode poslovanja odnosno </w:t>
      </w:r>
      <w:r w:rsidR="005D75E3">
        <w:rPr>
          <w:rFonts w:ascii="Times New Roman" w:hAnsi="Times New Roman" w:cs="Times New Roman"/>
          <w:szCs w:val="24"/>
        </w:rPr>
        <w:t>47,2</w:t>
      </w:r>
      <w:r w:rsidR="0084260F">
        <w:rPr>
          <w:rFonts w:ascii="Times New Roman" w:hAnsi="Times New Roman" w:cs="Times New Roman"/>
          <w:szCs w:val="24"/>
        </w:rPr>
        <w:t>% na rashode za nabavu nefinancijske imovine.</w:t>
      </w:r>
    </w:p>
    <w:p w14:paraId="30DE8C9F" w14:textId="64DF98BC" w:rsidR="007E0964" w:rsidRDefault="007E0964" w:rsidP="000B5F0A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U odnosu na isto razdoblje prethodne godine, ostvareni ukupni rashodi veći su za </w:t>
      </w:r>
      <w:r w:rsidR="0045440D">
        <w:rPr>
          <w:rFonts w:ascii="Times New Roman" w:hAnsi="Times New Roman" w:cs="Times New Roman"/>
          <w:szCs w:val="24"/>
        </w:rPr>
        <w:t>13,9%.</w:t>
      </w:r>
      <w:r w:rsidR="00985105">
        <w:rPr>
          <w:rFonts w:ascii="Times New Roman" w:hAnsi="Times New Roman" w:cs="Times New Roman"/>
          <w:szCs w:val="24"/>
        </w:rPr>
        <w:t xml:space="preserve"> </w:t>
      </w:r>
    </w:p>
    <w:p w14:paraId="59DFB0B4" w14:textId="77777777" w:rsidR="0084260F" w:rsidRDefault="0084260F" w:rsidP="000B5F0A">
      <w:pPr>
        <w:spacing w:line="240" w:lineRule="auto"/>
        <w:rPr>
          <w:rFonts w:ascii="Times New Roman" w:hAnsi="Times New Roman" w:cs="Times New Roman"/>
          <w:szCs w:val="24"/>
        </w:rPr>
      </w:pPr>
    </w:p>
    <w:p w14:paraId="4FD1210A" w14:textId="77777777" w:rsidR="0045440D" w:rsidRDefault="003F55E1" w:rsidP="0045440D">
      <w:pPr>
        <w:spacing w:line="276" w:lineRule="auto"/>
        <w:rPr>
          <w:rFonts w:ascii="Times New Roman" w:eastAsia="Times New Roman" w:hAnsi="Times New Roman" w:cs="Times New Roman"/>
          <w:bCs/>
          <w:szCs w:val="24"/>
          <w:lang w:eastAsia="hr-HR"/>
        </w:rPr>
      </w:pPr>
      <w:r w:rsidRPr="00262D4E">
        <w:rPr>
          <w:rFonts w:ascii="Times New Roman" w:eastAsia="Times New Roman" w:hAnsi="Times New Roman" w:cs="Times New Roman"/>
          <w:bCs/>
          <w:szCs w:val="24"/>
          <w:lang w:eastAsia="hr-HR"/>
        </w:rPr>
        <w:t>RASHODI POSLOVANJA</w:t>
      </w:r>
      <w:r w:rsidR="00E459F9">
        <w:rPr>
          <w:rFonts w:ascii="Times New Roman" w:eastAsia="Times New Roman" w:hAnsi="Times New Roman" w:cs="Times New Roman"/>
          <w:bCs/>
          <w:szCs w:val="24"/>
          <w:lang w:eastAsia="hr-HR"/>
        </w:rPr>
        <w:t xml:space="preserve"> </w:t>
      </w:r>
    </w:p>
    <w:p w14:paraId="7715784E" w14:textId="5D975527" w:rsidR="000B5F0A" w:rsidRDefault="000B5F0A" w:rsidP="0045440D">
      <w:pPr>
        <w:spacing w:line="276" w:lineRule="auto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Ukupni rashodi poslovanja u prvom polugodištu 202</w:t>
      </w:r>
      <w:r w:rsidR="00AF0E3D">
        <w:rPr>
          <w:rFonts w:ascii="Times New Roman" w:hAnsi="Times New Roman" w:cs="Times New Roman"/>
          <w:bCs/>
          <w:szCs w:val="24"/>
        </w:rPr>
        <w:t>3</w:t>
      </w:r>
      <w:r>
        <w:rPr>
          <w:rFonts w:ascii="Times New Roman" w:hAnsi="Times New Roman" w:cs="Times New Roman"/>
          <w:bCs/>
          <w:szCs w:val="24"/>
        </w:rPr>
        <w:t xml:space="preserve">. godine iznose </w:t>
      </w:r>
      <w:r w:rsidR="002D3D07">
        <w:rPr>
          <w:rFonts w:ascii="Times New Roman" w:hAnsi="Times New Roman" w:cs="Times New Roman"/>
          <w:bCs/>
          <w:szCs w:val="24"/>
        </w:rPr>
        <w:t>85,45</w:t>
      </w:r>
      <w:r>
        <w:rPr>
          <w:rFonts w:ascii="Times New Roman" w:hAnsi="Times New Roman" w:cs="Times New Roman"/>
          <w:bCs/>
          <w:szCs w:val="24"/>
        </w:rPr>
        <w:t xml:space="preserve"> milijun</w:t>
      </w:r>
      <w:r w:rsidR="00D94F1D">
        <w:rPr>
          <w:rFonts w:ascii="Times New Roman" w:hAnsi="Times New Roman" w:cs="Times New Roman"/>
          <w:bCs/>
          <w:szCs w:val="24"/>
        </w:rPr>
        <w:t>a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E1383D">
        <w:rPr>
          <w:rFonts w:ascii="Times New Roman" w:hAnsi="Times New Roman" w:cs="Times New Roman"/>
          <w:bCs/>
          <w:szCs w:val="24"/>
        </w:rPr>
        <w:t>eura</w:t>
      </w:r>
      <w:r>
        <w:rPr>
          <w:rFonts w:ascii="Times New Roman" w:hAnsi="Times New Roman" w:cs="Times New Roman"/>
          <w:bCs/>
          <w:szCs w:val="24"/>
        </w:rPr>
        <w:t xml:space="preserve"> što predstavlja izvršenje od </w:t>
      </w:r>
      <w:r w:rsidR="002D3D07">
        <w:rPr>
          <w:rFonts w:ascii="Times New Roman" w:hAnsi="Times New Roman" w:cs="Times New Roman"/>
          <w:bCs/>
          <w:szCs w:val="24"/>
        </w:rPr>
        <w:t>49,2</w:t>
      </w:r>
      <w:r>
        <w:rPr>
          <w:rFonts w:ascii="Times New Roman" w:hAnsi="Times New Roman" w:cs="Times New Roman"/>
          <w:bCs/>
          <w:szCs w:val="24"/>
        </w:rPr>
        <w:t xml:space="preserve">% planiranih sredstava. </w:t>
      </w:r>
      <w:r w:rsidR="00D94F1D">
        <w:rPr>
          <w:rFonts w:ascii="Times New Roman" w:hAnsi="Times New Roman" w:cs="Times New Roman"/>
          <w:bCs/>
          <w:szCs w:val="24"/>
        </w:rPr>
        <w:t>U odnosu na isto razdoblje 20</w:t>
      </w:r>
      <w:r w:rsidR="00E1383D">
        <w:rPr>
          <w:rFonts w:ascii="Times New Roman" w:hAnsi="Times New Roman" w:cs="Times New Roman"/>
          <w:bCs/>
          <w:szCs w:val="24"/>
        </w:rPr>
        <w:t>22</w:t>
      </w:r>
      <w:r w:rsidR="00D94F1D">
        <w:rPr>
          <w:rFonts w:ascii="Times New Roman" w:hAnsi="Times New Roman" w:cs="Times New Roman"/>
          <w:bCs/>
          <w:szCs w:val="24"/>
        </w:rPr>
        <w:t xml:space="preserve">. godine </w:t>
      </w:r>
      <w:r w:rsidR="00E1383D">
        <w:rPr>
          <w:rFonts w:ascii="Times New Roman" w:hAnsi="Times New Roman" w:cs="Times New Roman"/>
          <w:bCs/>
          <w:szCs w:val="24"/>
        </w:rPr>
        <w:t>veći</w:t>
      </w:r>
      <w:r w:rsidR="00D94F1D">
        <w:rPr>
          <w:rFonts w:ascii="Times New Roman" w:hAnsi="Times New Roman" w:cs="Times New Roman"/>
          <w:bCs/>
          <w:szCs w:val="24"/>
        </w:rPr>
        <w:t xml:space="preserve"> su za </w:t>
      </w:r>
      <w:r w:rsidR="002D3D07">
        <w:rPr>
          <w:rFonts w:ascii="Times New Roman" w:hAnsi="Times New Roman" w:cs="Times New Roman"/>
          <w:bCs/>
          <w:szCs w:val="24"/>
        </w:rPr>
        <w:t>16,</w:t>
      </w:r>
      <w:r w:rsidR="00716582">
        <w:rPr>
          <w:rFonts w:ascii="Times New Roman" w:hAnsi="Times New Roman" w:cs="Times New Roman"/>
          <w:bCs/>
          <w:szCs w:val="24"/>
        </w:rPr>
        <w:t>2</w:t>
      </w:r>
      <w:r w:rsidR="00D94F1D">
        <w:rPr>
          <w:rFonts w:ascii="Times New Roman" w:hAnsi="Times New Roman" w:cs="Times New Roman"/>
          <w:bCs/>
          <w:szCs w:val="24"/>
        </w:rPr>
        <w:t>%.</w:t>
      </w:r>
    </w:p>
    <w:p w14:paraId="600D0E81" w14:textId="7117D4EA" w:rsidR="000B5F0A" w:rsidRDefault="000B5F0A" w:rsidP="002F5E2D">
      <w:pPr>
        <w:spacing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 w:rsidRPr="000A77F8">
        <w:rPr>
          <w:rFonts w:ascii="Times New Roman" w:hAnsi="Times New Roman" w:cs="Times New Roman"/>
          <w:bCs/>
          <w:i/>
          <w:iCs/>
          <w:szCs w:val="24"/>
        </w:rPr>
        <w:t>Rashodi za zaposlene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20623C">
        <w:rPr>
          <w:rFonts w:ascii="Times New Roman" w:hAnsi="Times New Roman" w:cs="Times New Roman"/>
          <w:bCs/>
          <w:szCs w:val="24"/>
        </w:rPr>
        <w:t>iznose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0C0DB9">
        <w:rPr>
          <w:rFonts w:ascii="Times New Roman" w:hAnsi="Times New Roman" w:cs="Times New Roman"/>
          <w:bCs/>
          <w:szCs w:val="24"/>
        </w:rPr>
        <w:t>55,06</w:t>
      </w:r>
      <w:r>
        <w:rPr>
          <w:rFonts w:ascii="Times New Roman" w:hAnsi="Times New Roman" w:cs="Times New Roman"/>
          <w:bCs/>
          <w:szCs w:val="24"/>
        </w:rPr>
        <w:t xml:space="preserve"> milijuna </w:t>
      </w:r>
      <w:r w:rsidR="00CB7761">
        <w:rPr>
          <w:rFonts w:ascii="Times New Roman" w:hAnsi="Times New Roman" w:cs="Times New Roman"/>
          <w:bCs/>
          <w:szCs w:val="24"/>
        </w:rPr>
        <w:t xml:space="preserve">eura </w:t>
      </w:r>
      <w:r w:rsidR="0020623C">
        <w:rPr>
          <w:rFonts w:ascii="Times New Roman" w:hAnsi="Times New Roman" w:cs="Times New Roman"/>
          <w:bCs/>
          <w:szCs w:val="24"/>
        </w:rPr>
        <w:t xml:space="preserve">što je </w:t>
      </w:r>
      <w:r>
        <w:rPr>
          <w:rFonts w:ascii="Times New Roman" w:hAnsi="Times New Roman" w:cs="Times New Roman"/>
          <w:bCs/>
          <w:szCs w:val="24"/>
        </w:rPr>
        <w:t xml:space="preserve">na razini od </w:t>
      </w:r>
      <w:r w:rsidR="000C0DB9">
        <w:rPr>
          <w:rFonts w:ascii="Times New Roman" w:hAnsi="Times New Roman" w:cs="Times New Roman"/>
          <w:bCs/>
          <w:szCs w:val="24"/>
        </w:rPr>
        <w:t>53,</w:t>
      </w:r>
      <w:r w:rsidR="00DC1C05">
        <w:rPr>
          <w:rFonts w:ascii="Times New Roman" w:hAnsi="Times New Roman" w:cs="Times New Roman"/>
          <w:bCs/>
          <w:szCs w:val="24"/>
        </w:rPr>
        <w:t>0</w:t>
      </w:r>
      <w:r w:rsidR="00716582">
        <w:rPr>
          <w:rFonts w:ascii="Times New Roman" w:hAnsi="Times New Roman" w:cs="Times New Roman"/>
          <w:bCs/>
          <w:szCs w:val="24"/>
        </w:rPr>
        <w:t>2</w:t>
      </w:r>
      <w:r>
        <w:rPr>
          <w:rFonts w:ascii="Times New Roman" w:hAnsi="Times New Roman" w:cs="Times New Roman"/>
          <w:bCs/>
          <w:szCs w:val="24"/>
        </w:rPr>
        <w:t xml:space="preserve">% planiranih sredstava. </w:t>
      </w:r>
      <w:r w:rsidR="0020623C">
        <w:rPr>
          <w:rFonts w:ascii="Times New Roman" w:hAnsi="Times New Roman" w:cs="Times New Roman"/>
          <w:bCs/>
          <w:szCs w:val="24"/>
        </w:rPr>
        <w:t xml:space="preserve">U odnosu na </w:t>
      </w:r>
      <w:r w:rsidR="00931A48">
        <w:rPr>
          <w:rFonts w:ascii="Times New Roman" w:hAnsi="Times New Roman" w:cs="Times New Roman"/>
          <w:bCs/>
          <w:szCs w:val="24"/>
        </w:rPr>
        <w:t xml:space="preserve">isto razdoblje </w:t>
      </w:r>
      <w:r w:rsidR="0020623C">
        <w:rPr>
          <w:rFonts w:ascii="Times New Roman" w:hAnsi="Times New Roman" w:cs="Times New Roman"/>
          <w:bCs/>
          <w:szCs w:val="24"/>
        </w:rPr>
        <w:t>202</w:t>
      </w:r>
      <w:r w:rsidR="000C0DB9">
        <w:rPr>
          <w:rFonts w:ascii="Times New Roman" w:hAnsi="Times New Roman" w:cs="Times New Roman"/>
          <w:bCs/>
          <w:szCs w:val="24"/>
        </w:rPr>
        <w:t>2</w:t>
      </w:r>
      <w:r w:rsidR="0020623C">
        <w:rPr>
          <w:rFonts w:ascii="Times New Roman" w:hAnsi="Times New Roman" w:cs="Times New Roman"/>
          <w:bCs/>
          <w:szCs w:val="24"/>
        </w:rPr>
        <w:t>. godin</w:t>
      </w:r>
      <w:r w:rsidR="00931A48">
        <w:rPr>
          <w:rFonts w:ascii="Times New Roman" w:hAnsi="Times New Roman" w:cs="Times New Roman"/>
          <w:bCs/>
          <w:szCs w:val="24"/>
        </w:rPr>
        <w:t>e</w:t>
      </w:r>
      <w:r w:rsidR="0020623C">
        <w:rPr>
          <w:rFonts w:ascii="Times New Roman" w:hAnsi="Times New Roman" w:cs="Times New Roman"/>
          <w:bCs/>
          <w:szCs w:val="24"/>
        </w:rPr>
        <w:t xml:space="preserve"> </w:t>
      </w:r>
      <w:r w:rsidR="000C0DB9">
        <w:rPr>
          <w:rFonts w:ascii="Times New Roman" w:hAnsi="Times New Roman" w:cs="Times New Roman"/>
          <w:bCs/>
          <w:szCs w:val="24"/>
        </w:rPr>
        <w:t>veći</w:t>
      </w:r>
      <w:r w:rsidR="00946A29">
        <w:rPr>
          <w:rFonts w:ascii="Times New Roman" w:hAnsi="Times New Roman" w:cs="Times New Roman"/>
          <w:bCs/>
          <w:szCs w:val="24"/>
        </w:rPr>
        <w:t xml:space="preserve"> </w:t>
      </w:r>
      <w:r w:rsidR="0020623C">
        <w:rPr>
          <w:rFonts w:ascii="Times New Roman" w:hAnsi="Times New Roman" w:cs="Times New Roman"/>
          <w:bCs/>
          <w:szCs w:val="24"/>
        </w:rPr>
        <w:t xml:space="preserve">su </w:t>
      </w:r>
      <w:r w:rsidR="00946A29">
        <w:rPr>
          <w:rFonts w:ascii="Times New Roman" w:hAnsi="Times New Roman" w:cs="Times New Roman"/>
          <w:bCs/>
          <w:szCs w:val="24"/>
        </w:rPr>
        <w:t xml:space="preserve">za </w:t>
      </w:r>
      <w:r w:rsidR="000C0DB9">
        <w:rPr>
          <w:rFonts w:ascii="Times New Roman" w:hAnsi="Times New Roman" w:cs="Times New Roman"/>
          <w:bCs/>
          <w:szCs w:val="24"/>
        </w:rPr>
        <w:t>2</w:t>
      </w:r>
      <w:r w:rsidR="00DC1C05">
        <w:rPr>
          <w:rFonts w:ascii="Times New Roman" w:hAnsi="Times New Roman" w:cs="Times New Roman"/>
          <w:bCs/>
          <w:szCs w:val="24"/>
        </w:rPr>
        <w:t>4,82</w:t>
      </w:r>
      <w:r w:rsidR="0020623C">
        <w:rPr>
          <w:rFonts w:ascii="Times New Roman" w:hAnsi="Times New Roman" w:cs="Times New Roman"/>
          <w:bCs/>
          <w:szCs w:val="24"/>
        </w:rPr>
        <w:t xml:space="preserve">% </w:t>
      </w:r>
      <w:r w:rsidR="00664E1D">
        <w:rPr>
          <w:rFonts w:ascii="Times New Roman" w:hAnsi="Times New Roman" w:cs="Times New Roman"/>
          <w:bCs/>
          <w:szCs w:val="24"/>
        </w:rPr>
        <w:t xml:space="preserve">odnosno za </w:t>
      </w:r>
      <w:r w:rsidR="00723175">
        <w:rPr>
          <w:rFonts w:ascii="Times New Roman" w:hAnsi="Times New Roman" w:cs="Times New Roman"/>
          <w:bCs/>
          <w:szCs w:val="24"/>
        </w:rPr>
        <w:t>10,95</w:t>
      </w:r>
      <w:r w:rsidR="003D1C1C">
        <w:rPr>
          <w:rFonts w:ascii="Times New Roman" w:hAnsi="Times New Roman" w:cs="Times New Roman"/>
          <w:bCs/>
          <w:szCs w:val="24"/>
        </w:rPr>
        <w:t xml:space="preserve"> milijuna </w:t>
      </w:r>
      <w:r w:rsidR="00901B27">
        <w:rPr>
          <w:rFonts w:ascii="Times New Roman" w:hAnsi="Times New Roman" w:cs="Times New Roman"/>
          <w:bCs/>
          <w:szCs w:val="24"/>
        </w:rPr>
        <w:t>eura</w:t>
      </w:r>
      <w:r w:rsidR="003D1C1C">
        <w:rPr>
          <w:rFonts w:ascii="Times New Roman" w:hAnsi="Times New Roman" w:cs="Times New Roman"/>
          <w:bCs/>
          <w:szCs w:val="24"/>
        </w:rPr>
        <w:t xml:space="preserve"> </w:t>
      </w:r>
      <w:r w:rsidR="0020623C">
        <w:rPr>
          <w:rFonts w:ascii="Times New Roman" w:hAnsi="Times New Roman" w:cs="Times New Roman"/>
          <w:bCs/>
          <w:szCs w:val="24"/>
        </w:rPr>
        <w:t xml:space="preserve">što je </w:t>
      </w:r>
      <w:r w:rsidR="00763A37">
        <w:rPr>
          <w:rFonts w:ascii="Times New Roman" w:hAnsi="Times New Roman" w:cs="Times New Roman"/>
          <w:bCs/>
          <w:szCs w:val="24"/>
        </w:rPr>
        <w:t xml:space="preserve">najvećim dijelom </w:t>
      </w:r>
      <w:r w:rsidR="0020623C">
        <w:rPr>
          <w:rFonts w:ascii="Times New Roman" w:hAnsi="Times New Roman" w:cs="Times New Roman"/>
          <w:bCs/>
          <w:szCs w:val="24"/>
        </w:rPr>
        <w:t>rezultat</w:t>
      </w:r>
      <w:r w:rsidR="0032602D">
        <w:rPr>
          <w:rFonts w:ascii="Times New Roman" w:hAnsi="Times New Roman" w:cs="Times New Roman"/>
          <w:bCs/>
          <w:szCs w:val="24"/>
        </w:rPr>
        <w:t>, s jedne strane povećanja plaća temeljem Kolektivnog ugovora koji je stupio na snagu 01.07.2022. godine</w:t>
      </w:r>
      <w:r w:rsidR="00C95403">
        <w:rPr>
          <w:rFonts w:ascii="Times New Roman" w:hAnsi="Times New Roman" w:cs="Times New Roman"/>
          <w:bCs/>
          <w:szCs w:val="24"/>
        </w:rPr>
        <w:t>, te s druge strane</w:t>
      </w:r>
      <w:r w:rsidR="0020623C">
        <w:rPr>
          <w:rFonts w:ascii="Times New Roman" w:hAnsi="Times New Roman" w:cs="Times New Roman"/>
          <w:bCs/>
          <w:szCs w:val="24"/>
        </w:rPr>
        <w:t xml:space="preserve"> </w:t>
      </w:r>
      <w:r w:rsidR="007906B8">
        <w:rPr>
          <w:rFonts w:ascii="Times New Roman" w:hAnsi="Times New Roman" w:cs="Times New Roman"/>
          <w:bCs/>
          <w:szCs w:val="24"/>
        </w:rPr>
        <w:t xml:space="preserve">povećanja broja zaposlenika uslijed prijenosa ugovora o radu radnika iz </w:t>
      </w:r>
      <w:r w:rsidR="00D03FF4">
        <w:rPr>
          <w:rFonts w:ascii="Times New Roman" w:hAnsi="Times New Roman" w:cs="Times New Roman"/>
          <w:bCs/>
          <w:szCs w:val="24"/>
        </w:rPr>
        <w:t xml:space="preserve">društva </w:t>
      </w:r>
      <w:r w:rsidR="007906B8">
        <w:rPr>
          <w:rFonts w:ascii="Times New Roman" w:hAnsi="Times New Roman" w:cs="Times New Roman"/>
          <w:bCs/>
          <w:szCs w:val="24"/>
        </w:rPr>
        <w:t>Pružn</w:t>
      </w:r>
      <w:r w:rsidR="00D03FF4">
        <w:rPr>
          <w:rFonts w:ascii="Times New Roman" w:hAnsi="Times New Roman" w:cs="Times New Roman"/>
          <w:bCs/>
          <w:szCs w:val="24"/>
        </w:rPr>
        <w:t>e</w:t>
      </w:r>
      <w:r w:rsidR="007906B8">
        <w:rPr>
          <w:rFonts w:ascii="Times New Roman" w:hAnsi="Times New Roman" w:cs="Times New Roman"/>
          <w:bCs/>
          <w:szCs w:val="24"/>
        </w:rPr>
        <w:t xml:space="preserve"> građevin</w:t>
      </w:r>
      <w:r w:rsidR="00D03FF4">
        <w:rPr>
          <w:rFonts w:ascii="Times New Roman" w:hAnsi="Times New Roman" w:cs="Times New Roman"/>
          <w:bCs/>
          <w:szCs w:val="24"/>
        </w:rPr>
        <w:t>e</w:t>
      </w:r>
      <w:r w:rsidR="00BE78C6">
        <w:rPr>
          <w:rFonts w:ascii="Times New Roman" w:hAnsi="Times New Roman" w:cs="Times New Roman"/>
          <w:bCs/>
          <w:szCs w:val="24"/>
        </w:rPr>
        <w:t>. Naime, 01.07.2022. godine realiziran je prijenos poslovnog područja Održavanje pruga iz ovisnog društva pružne građevine u HŽ Infrastrukturu.</w:t>
      </w:r>
      <w:r w:rsidR="00A13B99">
        <w:rPr>
          <w:rFonts w:ascii="Times New Roman" w:hAnsi="Times New Roman" w:cs="Times New Roman"/>
          <w:bCs/>
          <w:szCs w:val="24"/>
        </w:rPr>
        <w:t xml:space="preserve"> </w:t>
      </w:r>
    </w:p>
    <w:p w14:paraId="4890442D" w14:textId="538E83C5" w:rsidR="007C6A76" w:rsidRDefault="000B5F0A" w:rsidP="007C6A76">
      <w:pPr>
        <w:spacing w:line="240" w:lineRule="auto"/>
        <w:rPr>
          <w:rFonts w:ascii="Times New Roman" w:hAnsi="Times New Roman" w:cs="Times New Roman"/>
          <w:bCs/>
          <w:szCs w:val="24"/>
        </w:rPr>
      </w:pPr>
      <w:r w:rsidRPr="000A77F8">
        <w:rPr>
          <w:rFonts w:ascii="Times New Roman" w:hAnsi="Times New Roman" w:cs="Times New Roman"/>
          <w:bCs/>
          <w:i/>
          <w:iCs/>
          <w:szCs w:val="24"/>
        </w:rPr>
        <w:t>Materijalni rashodi</w:t>
      </w:r>
      <w:r>
        <w:rPr>
          <w:rFonts w:ascii="Times New Roman" w:hAnsi="Times New Roman" w:cs="Times New Roman"/>
          <w:bCs/>
          <w:szCs w:val="24"/>
        </w:rPr>
        <w:t xml:space="preserve"> iznose </w:t>
      </w:r>
      <w:r w:rsidR="00D36DCF">
        <w:rPr>
          <w:rFonts w:ascii="Times New Roman" w:hAnsi="Times New Roman" w:cs="Times New Roman"/>
          <w:bCs/>
          <w:szCs w:val="24"/>
        </w:rPr>
        <w:t xml:space="preserve">27,04 </w:t>
      </w:r>
      <w:r>
        <w:rPr>
          <w:rFonts w:ascii="Times New Roman" w:hAnsi="Times New Roman" w:cs="Times New Roman"/>
          <w:bCs/>
          <w:szCs w:val="24"/>
        </w:rPr>
        <w:t xml:space="preserve">milijuna </w:t>
      </w:r>
      <w:r w:rsidR="00D36DCF">
        <w:rPr>
          <w:rFonts w:ascii="Times New Roman" w:hAnsi="Times New Roman" w:cs="Times New Roman"/>
          <w:bCs/>
          <w:szCs w:val="24"/>
        </w:rPr>
        <w:t>eura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E234B3">
        <w:rPr>
          <w:rFonts w:ascii="Times New Roman" w:hAnsi="Times New Roman" w:cs="Times New Roman"/>
          <w:bCs/>
          <w:szCs w:val="24"/>
        </w:rPr>
        <w:t>odnosno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D36DCF">
        <w:rPr>
          <w:rFonts w:ascii="Times New Roman" w:hAnsi="Times New Roman" w:cs="Times New Roman"/>
          <w:bCs/>
          <w:szCs w:val="24"/>
        </w:rPr>
        <w:t>41,47</w:t>
      </w:r>
      <w:r>
        <w:rPr>
          <w:rFonts w:ascii="Times New Roman" w:hAnsi="Times New Roman" w:cs="Times New Roman"/>
          <w:bCs/>
          <w:szCs w:val="24"/>
        </w:rPr>
        <w:t>% plana za 20</w:t>
      </w:r>
      <w:r w:rsidR="00BB35D2">
        <w:rPr>
          <w:rFonts w:ascii="Times New Roman" w:hAnsi="Times New Roman" w:cs="Times New Roman"/>
          <w:bCs/>
          <w:szCs w:val="24"/>
        </w:rPr>
        <w:t>2</w:t>
      </w:r>
      <w:r w:rsidR="00D36DCF">
        <w:rPr>
          <w:rFonts w:ascii="Times New Roman" w:hAnsi="Times New Roman" w:cs="Times New Roman"/>
          <w:bCs/>
          <w:szCs w:val="24"/>
        </w:rPr>
        <w:t>3</w:t>
      </w:r>
      <w:r>
        <w:rPr>
          <w:rFonts w:ascii="Times New Roman" w:hAnsi="Times New Roman" w:cs="Times New Roman"/>
          <w:bCs/>
          <w:szCs w:val="24"/>
        </w:rPr>
        <w:t>. godinu</w:t>
      </w:r>
      <w:r w:rsidR="00E234B3">
        <w:rPr>
          <w:rFonts w:ascii="Times New Roman" w:hAnsi="Times New Roman" w:cs="Times New Roman"/>
          <w:bCs/>
          <w:szCs w:val="24"/>
        </w:rPr>
        <w:t xml:space="preserve">. U strukturi materijalnih rashoda za promatrano razdoblje </w:t>
      </w:r>
      <w:r w:rsidR="00121481">
        <w:rPr>
          <w:rFonts w:ascii="Times New Roman" w:hAnsi="Times New Roman" w:cs="Times New Roman"/>
          <w:bCs/>
          <w:szCs w:val="24"/>
        </w:rPr>
        <w:t>77,30</w:t>
      </w:r>
      <w:r w:rsidR="000A77F8">
        <w:rPr>
          <w:rFonts w:ascii="Times New Roman" w:hAnsi="Times New Roman" w:cs="Times New Roman"/>
          <w:bCs/>
          <w:szCs w:val="24"/>
        </w:rPr>
        <w:t xml:space="preserve">% odnosi se na rashode za materijal i energiju i rashode za usluge koji se najvećim dijelom </w:t>
      </w:r>
      <w:r w:rsidR="00E234B3">
        <w:rPr>
          <w:rFonts w:ascii="Times New Roman" w:hAnsi="Times New Roman" w:cs="Times New Roman"/>
          <w:bCs/>
          <w:szCs w:val="24"/>
        </w:rPr>
        <w:t>odnos</w:t>
      </w:r>
      <w:r w:rsidR="000A77F8">
        <w:rPr>
          <w:rFonts w:ascii="Times New Roman" w:hAnsi="Times New Roman" w:cs="Times New Roman"/>
          <w:bCs/>
          <w:szCs w:val="24"/>
        </w:rPr>
        <w:t>e</w:t>
      </w:r>
      <w:r w:rsidR="00E234B3">
        <w:rPr>
          <w:rFonts w:ascii="Times New Roman" w:hAnsi="Times New Roman" w:cs="Times New Roman"/>
          <w:bCs/>
          <w:szCs w:val="24"/>
        </w:rPr>
        <w:t xml:space="preserve">  na rashode</w:t>
      </w:r>
      <w:r w:rsidR="000A77F8">
        <w:rPr>
          <w:rFonts w:ascii="Times New Roman" w:hAnsi="Times New Roman" w:cs="Times New Roman"/>
          <w:bCs/>
          <w:szCs w:val="24"/>
        </w:rPr>
        <w:t xml:space="preserve"> vezane</w:t>
      </w:r>
      <w:r w:rsidR="00E234B3">
        <w:rPr>
          <w:rFonts w:ascii="Times New Roman" w:hAnsi="Times New Roman" w:cs="Times New Roman"/>
          <w:bCs/>
          <w:szCs w:val="24"/>
        </w:rPr>
        <w:t xml:space="preserve"> za redovno i izvanredno održavanje željezničke infrastrukture i održavanje zgrada i opreme.</w:t>
      </w:r>
      <w:r w:rsidR="000A77F8">
        <w:rPr>
          <w:rFonts w:ascii="Times New Roman" w:hAnsi="Times New Roman" w:cs="Times New Roman"/>
          <w:bCs/>
          <w:szCs w:val="24"/>
        </w:rPr>
        <w:t xml:space="preserve"> </w:t>
      </w:r>
      <w:r w:rsidR="00B11CED">
        <w:rPr>
          <w:rFonts w:ascii="Times New Roman" w:hAnsi="Times New Roman" w:cs="Times New Roman"/>
          <w:bCs/>
          <w:szCs w:val="24"/>
        </w:rPr>
        <w:t xml:space="preserve">Naknade troškova zaposlenima iznose 2,92 milijuna eura i u odnosu na isto razdoblje prethodne godine veće su za 79,91%. Predmetno povećanje najvećim dijelom posljedica je novog načina obračuna troškova prijevoza temeljem Kolektivnog ugovora koji je stupio na snagu 01.07.2022. godine. </w:t>
      </w:r>
      <w:r w:rsidR="007C6A76" w:rsidRPr="007C6A76">
        <w:rPr>
          <w:rFonts w:ascii="Times New Roman" w:hAnsi="Times New Roman" w:cs="Times New Roman"/>
          <w:bCs/>
          <w:szCs w:val="24"/>
        </w:rPr>
        <w:t>Ostali nespomenuti rashodi poslovanja</w:t>
      </w:r>
      <w:r w:rsidR="007C6A76">
        <w:rPr>
          <w:rFonts w:ascii="Times New Roman" w:hAnsi="Times New Roman" w:cs="Times New Roman"/>
          <w:bCs/>
          <w:szCs w:val="24"/>
        </w:rPr>
        <w:t xml:space="preserve"> izvršeni su u ukupnom iznosu od </w:t>
      </w:r>
      <w:r w:rsidR="00DF1BD8">
        <w:rPr>
          <w:rFonts w:ascii="Times New Roman" w:hAnsi="Times New Roman" w:cs="Times New Roman"/>
          <w:bCs/>
          <w:szCs w:val="24"/>
        </w:rPr>
        <w:t>3,17</w:t>
      </w:r>
      <w:r w:rsidR="007C6A76">
        <w:rPr>
          <w:rFonts w:ascii="Times New Roman" w:hAnsi="Times New Roman" w:cs="Times New Roman"/>
          <w:bCs/>
          <w:szCs w:val="24"/>
        </w:rPr>
        <w:t xml:space="preserve"> milijun </w:t>
      </w:r>
      <w:r w:rsidR="00DF1BD8">
        <w:rPr>
          <w:rFonts w:ascii="Times New Roman" w:hAnsi="Times New Roman" w:cs="Times New Roman"/>
          <w:bCs/>
          <w:szCs w:val="24"/>
        </w:rPr>
        <w:lastRenderedPageBreak/>
        <w:t>eura</w:t>
      </w:r>
      <w:r w:rsidR="007C6A76">
        <w:rPr>
          <w:rFonts w:ascii="Times New Roman" w:hAnsi="Times New Roman" w:cs="Times New Roman"/>
          <w:bCs/>
          <w:szCs w:val="24"/>
        </w:rPr>
        <w:t xml:space="preserve"> od</w:t>
      </w:r>
      <w:r w:rsidR="00F94250">
        <w:rPr>
          <w:rFonts w:ascii="Times New Roman" w:hAnsi="Times New Roman" w:cs="Times New Roman"/>
          <w:bCs/>
          <w:szCs w:val="24"/>
        </w:rPr>
        <w:t xml:space="preserve"> </w:t>
      </w:r>
      <w:r w:rsidR="007C6A76">
        <w:rPr>
          <w:rFonts w:ascii="Times New Roman" w:hAnsi="Times New Roman" w:cs="Times New Roman"/>
          <w:bCs/>
          <w:szCs w:val="24"/>
        </w:rPr>
        <w:t xml:space="preserve">čega se na doprinose za korištenje gradskog zemljišta i vodoprivredne naknade odnosi </w:t>
      </w:r>
      <w:r w:rsidR="00DF1BD8">
        <w:rPr>
          <w:rFonts w:ascii="Times New Roman" w:hAnsi="Times New Roman" w:cs="Times New Roman"/>
          <w:bCs/>
          <w:szCs w:val="24"/>
        </w:rPr>
        <w:t>2,75</w:t>
      </w:r>
      <w:r w:rsidR="007C6A76">
        <w:rPr>
          <w:rFonts w:ascii="Times New Roman" w:hAnsi="Times New Roman" w:cs="Times New Roman"/>
          <w:bCs/>
          <w:szCs w:val="24"/>
        </w:rPr>
        <w:t xml:space="preserve"> milijuna </w:t>
      </w:r>
      <w:r w:rsidR="00DF1BD8">
        <w:rPr>
          <w:rFonts w:ascii="Times New Roman" w:hAnsi="Times New Roman" w:cs="Times New Roman"/>
          <w:bCs/>
          <w:szCs w:val="24"/>
        </w:rPr>
        <w:t>eura</w:t>
      </w:r>
      <w:r w:rsidR="007C6A76">
        <w:rPr>
          <w:rFonts w:ascii="Times New Roman" w:hAnsi="Times New Roman" w:cs="Times New Roman"/>
          <w:bCs/>
          <w:szCs w:val="24"/>
        </w:rPr>
        <w:t>. U odnosu na isto razdoblje 202</w:t>
      </w:r>
      <w:r w:rsidR="00DF1BD8">
        <w:rPr>
          <w:rFonts w:ascii="Times New Roman" w:hAnsi="Times New Roman" w:cs="Times New Roman"/>
          <w:bCs/>
          <w:szCs w:val="24"/>
        </w:rPr>
        <w:t>2</w:t>
      </w:r>
      <w:r w:rsidR="007C6A76">
        <w:rPr>
          <w:rFonts w:ascii="Times New Roman" w:hAnsi="Times New Roman" w:cs="Times New Roman"/>
          <w:bCs/>
          <w:szCs w:val="24"/>
        </w:rPr>
        <w:t>. godine ostvareni materijalni rashodi u prvom polugodištu 202</w:t>
      </w:r>
      <w:r w:rsidR="00DF1BD8">
        <w:rPr>
          <w:rFonts w:ascii="Times New Roman" w:hAnsi="Times New Roman" w:cs="Times New Roman"/>
          <w:bCs/>
          <w:szCs w:val="24"/>
        </w:rPr>
        <w:t>3</w:t>
      </w:r>
      <w:r w:rsidR="007C6A76">
        <w:rPr>
          <w:rFonts w:ascii="Times New Roman" w:hAnsi="Times New Roman" w:cs="Times New Roman"/>
          <w:bCs/>
          <w:szCs w:val="24"/>
        </w:rPr>
        <w:t xml:space="preserve">. godine </w:t>
      </w:r>
      <w:r w:rsidR="00FB7484">
        <w:rPr>
          <w:rFonts w:ascii="Times New Roman" w:hAnsi="Times New Roman" w:cs="Times New Roman"/>
          <w:bCs/>
          <w:szCs w:val="24"/>
        </w:rPr>
        <w:t>veći</w:t>
      </w:r>
      <w:r w:rsidR="00FE6591">
        <w:rPr>
          <w:rFonts w:ascii="Times New Roman" w:hAnsi="Times New Roman" w:cs="Times New Roman"/>
          <w:bCs/>
          <w:szCs w:val="24"/>
        </w:rPr>
        <w:t xml:space="preserve"> </w:t>
      </w:r>
      <w:r w:rsidR="007C6A76">
        <w:rPr>
          <w:rFonts w:ascii="Times New Roman" w:hAnsi="Times New Roman" w:cs="Times New Roman"/>
          <w:bCs/>
          <w:szCs w:val="24"/>
        </w:rPr>
        <w:t xml:space="preserve">su za </w:t>
      </w:r>
      <w:r w:rsidR="00FB7484">
        <w:rPr>
          <w:rFonts w:ascii="Times New Roman" w:hAnsi="Times New Roman" w:cs="Times New Roman"/>
          <w:bCs/>
          <w:szCs w:val="24"/>
        </w:rPr>
        <w:t>2,35</w:t>
      </w:r>
      <w:r w:rsidR="007C6A76">
        <w:rPr>
          <w:rFonts w:ascii="Times New Roman" w:hAnsi="Times New Roman" w:cs="Times New Roman"/>
          <w:bCs/>
          <w:szCs w:val="24"/>
        </w:rPr>
        <w:t>%</w:t>
      </w:r>
      <w:r w:rsidR="00550615">
        <w:rPr>
          <w:rFonts w:ascii="Times New Roman" w:hAnsi="Times New Roman" w:cs="Times New Roman"/>
          <w:bCs/>
          <w:szCs w:val="24"/>
        </w:rPr>
        <w:t xml:space="preserve">. </w:t>
      </w:r>
    </w:p>
    <w:p w14:paraId="53DFD2B5" w14:textId="1D61EDCB" w:rsidR="00AC5F78" w:rsidRDefault="005D197D" w:rsidP="00AC5F7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262D4E">
        <w:rPr>
          <w:rFonts w:ascii="Times New Roman" w:hAnsi="Times New Roman" w:cs="Times New Roman"/>
          <w:szCs w:val="24"/>
        </w:rPr>
        <w:t xml:space="preserve">U </w:t>
      </w:r>
      <w:r w:rsidR="000A77F8">
        <w:rPr>
          <w:rFonts w:ascii="Times New Roman" w:hAnsi="Times New Roman" w:cs="Times New Roman"/>
          <w:szCs w:val="24"/>
        </w:rPr>
        <w:t>prvom polugodištu 202</w:t>
      </w:r>
      <w:r w:rsidR="00986C61">
        <w:rPr>
          <w:rFonts w:ascii="Times New Roman" w:hAnsi="Times New Roman" w:cs="Times New Roman"/>
          <w:szCs w:val="24"/>
        </w:rPr>
        <w:t>3</w:t>
      </w:r>
      <w:r w:rsidR="000A77F8">
        <w:rPr>
          <w:rFonts w:ascii="Times New Roman" w:hAnsi="Times New Roman" w:cs="Times New Roman"/>
          <w:szCs w:val="24"/>
        </w:rPr>
        <w:t>. godine</w:t>
      </w:r>
      <w:r w:rsidR="00F24D5C" w:rsidRPr="00262D4E">
        <w:rPr>
          <w:rFonts w:ascii="Times New Roman" w:hAnsi="Times New Roman" w:cs="Times New Roman"/>
          <w:szCs w:val="24"/>
        </w:rPr>
        <w:t xml:space="preserve"> </w:t>
      </w:r>
      <w:r w:rsidR="00B60B44" w:rsidRPr="00B60B44">
        <w:rPr>
          <w:rFonts w:ascii="Times New Roman" w:hAnsi="Times New Roman" w:cs="Times New Roman"/>
          <w:i/>
          <w:iCs/>
          <w:szCs w:val="24"/>
        </w:rPr>
        <w:t>F</w:t>
      </w:r>
      <w:r w:rsidR="00F24D5C" w:rsidRPr="00B60B44">
        <w:rPr>
          <w:rFonts w:ascii="Times New Roman" w:hAnsi="Times New Roman" w:cs="Times New Roman"/>
          <w:i/>
          <w:iCs/>
          <w:szCs w:val="24"/>
        </w:rPr>
        <w:t>inancijski rashodi</w:t>
      </w:r>
      <w:r w:rsidR="00F24D5C" w:rsidRPr="00262D4E">
        <w:rPr>
          <w:rFonts w:ascii="Times New Roman" w:hAnsi="Times New Roman" w:cs="Times New Roman"/>
          <w:szCs w:val="24"/>
        </w:rPr>
        <w:t xml:space="preserve"> iznos</w:t>
      </w:r>
      <w:r w:rsidR="00B60B44">
        <w:rPr>
          <w:rFonts w:ascii="Times New Roman" w:hAnsi="Times New Roman" w:cs="Times New Roman"/>
          <w:szCs w:val="24"/>
        </w:rPr>
        <w:t>e</w:t>
      </w:r>
      <w:r w:rsidR="00F24D5C" w:rsidRPr="00262D4E">
        <w:rPr>
          <w:rFonts w:ascii="Times New Roman" w:hAnsi="Times New Roman" w:cs="Times New Roman"/>
          <w:szCs w:val="24"/>
        </w:rPr>
        <w:t xml:space="preserve"> </w:t>
      </w:r>
      <w:r w:rsidR="00986C61">
        <w:rPr>
          <w:rFonts w:ascii="Times New Roman" w:hAnsi="Times New Roman" w:cs="Times New Roman"/>
          <w:szCs w:val="24"/>
        </w:rPr>
        <w:t>2,81</w:t>
      </w:r>
      <w:r w:rsidR="00F05243">
        <w:rPr>
          <w:rFonts w:ascii="Times New Roman" w:hAnsi="Times New Roman" w:cs="Times New Roman"/>
          <w:szCs w:val="24"/>
        </w:rPr>
        <w:t xml:space="preserve"> milijun</w:t>
      </w:r>
      <w:r w:rsidR="00F24D5C" w:rsidRPr="00262D4E">
        <w:rPr>
          <w:rFonts w:ascii="Times New Roman" w:hAnsi="Times New Roman" w:cs="Times New Roman"/>
          <w:szCs w:val="24"/>
        </w:rPr>
        <w:t xml:space="preserve"> </w:t>
      </w:r>
      <w:r w:rsidR="00986C61">
        <w:rPr>
          <w:rFonts w:ascii="Times New Roman" w:hAnsi="Times New Roman" w:cs="Times New Roman"/>
          <w:szCs w:val="24"/>
        </w:rPr>
        <w:t>eura</w:t>
      </w:r>
      <w:r w:rsidR="00F24D5C" w:rsidRPr="00262D4E">
        <w:rPr>
          <w:rFonts w:ascii="Times New Roman" w:hAnsi="Times New Roman" w:cs="Times New Roman"/>
          <w:szCs w:val="24"/>
        </w:rPr>
        <w:t xml:space="preserve"> </w:t>
      </w:r>
      <w:r w:rsidR="00B60B44">
        <w:rPr>
          <w:rFonts w:ascii="Times New Roman" w:hAnsi="Times New Roman" w:cs="Times New Roman"/>
          <w:szCs w:val="24"/>
        </w:rPr>
        <w:t xml:space="preserve">i na razini su od </w:t>
      </w:r>
      <w:r w:rsidR="000C6002">
        <w:rPr>
          <w:rFonts w:ascii="Times New Roman" w:hAnsi="Times New Roman" w:cs="Times New Roman"/>
          <w:szCs w:val="24"/>
        </w:rPr>
        <w:t>70,89</w:t>
      </w:r>
      <w:r w:rsidR="00B60B44">
        <w:rPr>
          <w:rFonts w:ascii="Times New Roman" w:hAnsi="Times New Roman" w:cs="Times New Roman"/>
          <w:szCs w:val="24"/>
        </w:rPr>
        <w:t xml:space="preserve">% planiranih sredstava. Najvećim dijelom </w:t>
      </w:r>
      <w:r w:rsidR="00AC5F78">
        <w:rPr>
          <w:rFonts w:ascii="Times New Roman" w:hAnsi="Times New Roman" w:cs="Times New Roman"/>
          <w:szCs w:val="24"/>
        </w:rPr>
        <w:t>(</w:t>
      </w:r>
      <w:r w:rsidR="001F0CC1">
        <w:rPr>
          <w:rFonts w:ascii="Times New Roman" w:hAnsi="Times New Roman" w:cs="Times New Roman"/>
          <w:szCs w:val="24"/>
        </w:rPr>
        <w:t>90,39</w:t>
      </w:r>
      <w:r w:rsidR="00AC5F78">
        <w:rPr>
          <w:rFonts w:ascii="Times New Roman" w:hAnsi="Times New Roman" w:cs="Times New Roman"/>
          <w:szCs w:val="24"/>
        </w:rPr>
        <w:t xml:space="preserve">%) </w:t>
      </w:r>
      <w:r w:rsidR="00B60B44">
        <w:rPr>
          <w:rFonts w:ascii="Times New Roman" w:hAnsi="Times New Roman" w:cs="Times New Roman"/>
          <w:szCs w:val="24"/>
        </w:rPr>
        <w:t>odnose se na kamate po primljenim kreditima</w:t>
      </w:r>
      <w:r w:rsidR="00AC5F78">
        <w:rPr>
          <w:rFonts w:ascii="Times New Roman" w:hAnsi="Times New Roman" w:cs="Times New Roman"/>
          <w:szCs w:val="24"/>
        </w:rPr>
        <w:t xml:space="preserve"> i zajmovima koji iznose </w:t>
      </w:r>
      <w:r w:rsidR="001F0CC1">
        <w:rPr>
          <w:rFonts w:ascii="Times New Roman" w:hAnsi="Times New Roman" w:cs="Times New Roman"/>
          <w:szCs w:val="24"/>
        </w:rPr>
        <w:t>2,54</w:t>
      </w:r>
      <w:r w:rsidR="00AC5F78">
        <w:rPr>
          <w:rFonts w:ascii="Times New Roman" w:hAnsi="Times New Roman" w:cs="Times New Roman"/>
          <w:szCs w:val="24"/>
        </w:rPr>
        <w:t xml:space="preserve"> milijuna </w:t>
      </w:r>
      <w:r w:rsidR="001F0CC1">
        <w:rPr>
          <w:rFonts w:ascii="Times New Roman" w:hAnsi="Times New Roman" w:cs="Times New Roman"/>
          <w:szCs w:val="24"/>
        </w:rPr>
        <w:t>eura</w:t>
      </w:r>
      <w:r w:rsidR="00AC5F78">
        <w:rPr>
          <w:rFonts w:ascii="Times New Roman" w:hAnsi="Times New Roman" w:cs="Times New Roman"/>
          <w:szCs w:val="24"/>
        </w:rPr>
        <w:t xml:space="preserve"> od kojih se na rashode za kamate </w:t>
      </w:r>
      <w:r w:rsidR="00AC5F78" w:rsidRPr="00AC5F78">
        <w:rPr>
          <w:rFonts w:ascii="Times New Roman" w:hAnsi="Times New Roman" w:cs="Times New Roman"/>
          <w:szCs w:val="24"/>
        </w:rPr>
        <w:t xml:space="preserve">na primljene kredite i zajmove od kreditnih institucija u javnom sektoru (Hrvatska banka za obnovu i razvitak) </w:t>
      </w:r>
      <w:r w:rsidR="00AC5F78">
        <w:rPr>
          <w:rFonts w:ascii="Times New Roman" w:hAnsi="Times New Roman" w:cs="Times New Roman"/>
          <w:szCs w:val="24"/>
        </w:rPr>
        <w:t xml:space="preserve">odnosi </w:t>
      </w:r>
      <w:r w:rsidR="00B37EF6">
        <w:rPr>
          <w:rFonts w:ascii="Times New Roman" w:hAnsi="Times New Roman" w:cs="Times New Roman"/>
          <w:szCs w:val="24"/>
        </w:rPr>
        <w:t>0,85</w:t>
      </w:r>
      <w:r w:rsidR="00AC5F78">
        <w:rPr>
          <w:rFonts w:ascii="Times New Roman" w:hAnsi="Times New Roman" w:cs="Times New Roman"/>
          <w:szCs w:val="24"/>
        </w:rPr>
        <w:t xml:space="preserve"> milijuna </w:t>
      </w:r>
      <w:r w:rsidR="00B37EF6">
        <w:rPr>
          <w:rFonts w:ascii="Times New Roman" w:hAnsi="Times New Roman" w:cs="Times New Roman"/>
          <w:szCs w:val="24"/>
        </w:rPr>
        <w:t>eura</w:t>
      </w:r>
      <w:r w:rsidR="00AC5F78" w:rsidRPr="00AC5F78">
        <w:rPr>
          <w:rFonts w:ascii="Times New Roman" w:hAnsi="Times New Roman" w:cs="Times New Roman"/>
          <w:szCs w:val="24"/>
        </w:rPr>
        <w:t xml:space="preserve"> odnosno izvan javnog sektora (komercijalne banke) </w:t>
      </w:r>
      <w:r w:rsidR="00B37EF6">
        <w:rPr>
          <w:rFonts w:ascii="Times New Roman" w:hAnsi="Times New Roman" w:cs="Times New Roman"/>
          <w:szCs w:val="24"/>
        </w:rPr>
        <w:t>0,9</w:t>
      </w:r>
      <w:r w:rsidR="006E11EC">
        <w:rPr>
          <w:rFonts w:ascii="Times New Roman" w:hAnsi="Times New Roman" w:cs="Times New Roman"/>
          <w:szCs w:val="24"/>
        </w:rPr>
        <w:t>3</w:t>
      </w:r>
      <w:r w:rsidR="00AC5F78">
        <w:rPr>
          <w:rFonts w:ascii="Times New Roman" w:hAnsi="Times New Roman" w:cs="Times New Roman"/>
          <w:szCs w:val="24"/>
        </w:rPr>
        <w:t xml:space="preserve"> milijuna</w:t>
      </w:r>
      <w:r w:rsidR="00AC5F78" w:rsidRPr="00AC5F78">
        <w:rPr>
          <w:rFonts w:ascii="Times New Roman" w:hAnsi="Times New Roman" w:cs="Times New Roman"/>
          <w:szCs w:val="24"/>
        </w:rPr>
        <w:t xml:space="preserve"> </w:t>
      </w:r>
      <w:r w:rsidR="00B37EF6">
        <w:rPr>
          <w:rFonts w:ascii="Times New Roman" w:hAnsi="Times New Roman" w:cs="Times New Roman"/>
          <w:szCs w:val="24"/>
        </w:rPr>
        <w:t>eura</w:t>
      </w:r>
      <w:r w:rsidR="00AC5F78">
        <w:rPr>
          <w:rFonts w:ascii="Times New Roman" w:hAnsi="Times New Roman" w:cs="Times New Roman"/>
          <w:szCs w:val="24"/>
        </w:rPr>
        <w:t xml:space="preserve">, te na kamate po kreditima međunarodnih financijskih institucija </w:t>
      </w:r>
      <w:r w:rsidR="00910A1E">
        <w:rPr>
          <w:rFonts w:ascii="Times New Roman" w:hAnsi="Times New Roman" w:cs="Times New Roman"/>
          <w:szCs w:val="24"/>
        </w:rPr>
        <w:t>0,</w:t>
      </w:r>
      <w:r w:rsidR="00B37EF6">
        <w:rPr>
          <w:rFonts w:ascii="Times New Roman" w:hAnsi="Times New Roman" w:cs="Times New Roman"/>
          <w:szCs w:val="24"/>
        </w:rPr>
        <w:t>76</w:t>
      </w:r>
      <w:r w:rsidR="00AC5F78">
        <w:rPr>
          <w:rFonts w:ascii="Times New Roman" w:hAnsi="Times New Roman" w:cs="Times New Roman"/>
          <w:szCs w:val="24"/>
        </w:rPr>
        <w:t xml:space="preserve"> milijuna </w:t>
      </w:r>
      <w:r w:rsidR="00B37EF6">
        <w:rPr>
          <w:rFonts w:ascii="Times New Roman" w:hAnsi="Times New Roman" w:cs="Times New Roman"/>
          <w:szCs w:val="24"/>
        </w:rPr>
        <w:t>eura</w:t>
      </w:r>
      <w:r w:rsidR="00AC5F78" w:rsidRPr="00AC5F78">
        <w:rPr>
          <w:rFonts w:ascii="Times New Roman" w:hAnsi="Times New Roman" w:cs="Times New Roman"/>
          <w:szCs w:val="24"/>
        </w:rPr>
        <w:t>.</w:t>
      </w:r>
    </w:p>
    <w:p w14:paraId="1A5BFE91" w14:textId="77777777" w:rsidR="00B86CFF" w:rsidRDefault="00AC5F78" w:rsidP="00AC5F78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Predmetni rashodi</w:t>
      </w:r>
      <w:r w:rsidR="000F3485">
        <w:rPr>
          <w:rFonts w:ascii="Times New Roman" w:hAnsi="Times New Roman" w:cs="Times New Roman"/>
          <w:szCs w:val="24"/>
        </w:rPr>
        <w:t xml:space="preserve">, </w:t>
      </w:r>
      <w:r w:rsidR="00B86CFF">
        <w:rPr>
          <w:rFonts w:ascii="Times New Roman" w:hAnsi="Times New Roman" w:cs="Times New Roman"/>
          <w:szCs w:val="24"/>
        </w:rPr>
        <w:t>osim</w:t>
      </w:r>
      <w:r w:rsidR="000F3485">
        <w:rPr>
          <w:rFonts w:ascii="Times New Roman" w:hAnsi="Times New Roman" w:cs="Times New Roman"/>
          <w:szCs w:val="24"/>
        </w:rPr>
        <w:t xml:space="preserve"> rashod</w:t>
      </w:r>
      <w:r w:rsidR="00B86CFF">
        <w:rPr>
          <w:rFonts w:ascii="Times New Roman" w:hAnsi="Times New Roman" w:cs="Times New Roman"/>
          <w:szCs w:val="24"/>
        </w:rPr>
        <w:t>a</w:t>
      </w:r>
      <w:r w:rsidR="000F3485">
        <w:rPr>
          <w:rFonts w:ascii="Times New Roman" w:hAnsi="Times New Roman" w:cs="Times New Roman"/>
          <w:szCs w:val="24"/>
        </w:rPr>
        <w:t xml:space="preserve"> za kamate po kred</w:t>
      </w:r>
      <w:r w:rsidR="00B86CFF">
        <w:rPr>
          <w:rFonts w:ascii="Times New Roman" w:hAnsi="Times New Roman" w:cs="Times New Roman"/>
          <w:szCs w:val="24"/>
        </w:rPr>
        <w:t>itima međunarodnih financijskih institucija;</w:t>
      </w:r>
      <w:r w:rsidRPr="00AC5F78">
        <w:rPr>
          <w:rFonts w:ascii="Times New Roman" w:hAnsi="Times New Roman" w:cs="Times New Roman"/>
          <w:szCs w:val="24"/>
        </w:rPr>
        <w:t xml:space="preserve"> vezan</w:t>
      </w:r>
      <w:r w:rsidR="00D2273C">
        <w:rPr>
          <w:rFonts w:ascii="Times New Roman" w:hAnsi="Times New Roman" w:cs="Times New Roman"/>
          <w:szCs w:val="24"/>
        </w:rPr>
        <w:t xml:space="preserve">i za </w:t>
      </w:r>
      <w:r w:rsidRPr="00AC5F78">
        <w:rPr>
          <w:rFonts w:ascii="Times New Roman" w:hAnsi="Times New Roman" w:cs="Times New Roman"/>
          <w:szCs w:val="24"/>
        </w:rPr>
        <w:t xml:space="preserve">su za investicijske kredite kojima su financirani projekti obnove, modernizacije i izgradnje željezničke infrastrukture, </w:t>
      </w:r>
      <w:r w:rsidR="00A41FBC">
        <w:rPr>
          <w:rFonts w:ascii="Times New Roman" w:hAnsi="Times New Roman" w:cs="Times New Roman"/>
          <w:szCs w:val="24"/>
        </w:rPr>
        <w:t xml:space="preserve">te se </w:t>
      </w:r>
      <w:r w:rsidRPr="00AC5F78">
        <w:rPr>
          <w:rFonts w:ascii="Times New Roman" w:hAnsi="Times New Roman" w:cs="Times New Roman"/>
          <w:szCs w:val="24"/>
        </w:rPr>
        <w:t>podmiruju iz državnog proračuna kroz poziciju pomoći temeljem protestiranih jamstav</w:t>
      </w:r>
      <w:r w:rsidR="00925798">
        <w:rPr>
          <w:rFonts w:ascii="Times New Roman" w:hAnsi="Times New Roman" w:cs="Times New Roman"/>
          <w:szCs w:val="24"/>
        </w:rPr>
        <w:t>a</w:t>
      </w:r>
      <w:r w:rsidR="00D2273C">
        <w:rPr>
          <w:rFonts w:ascii="Times New Roman" w:hAnsi="Times New Roman" w:cs="Times New Roman"/>
          <w:szCs w:val="24"/>
        </w:rPr>
        <w:t xml:space="preserve">. </w:t>
      </w:r>
      <w:r w:rsidR="00925798">
        <w:rPr>
          <w:rFonts w:ascii="Times New Roman" w:hAnsi="Times New Roman" w:cs="Times New Roman"/>
          <w:szCs w:val="24"/>
        </w:rPr>
        <w:t xml:space="preserve"> </w:t>
      </w:r>
    </w:p>
    <w:p w14:paraId="5CDAFBCC" w14:textId="50EC3453" w:rsidR="00B2531F" w:rsidRDefault="00B86CFF" w:rsidP="00AC5F78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</w:t>
      </w:r>
      <w:r w:rsidR="00B2531F">
        <w:rPr>
          <w:rFonts w:ascii="Times New Roman" w:hAnsi="Times New Roman" w:cs="Times New Roman"/>
          <w:szCs w:val="24"/>
        </w:rPr>
        <w:t xml:space="preserve">inancijski rashodi u odnosu na isto razdoblje prethodne godine </w:t>
      </w:r>
      <w:r w:rsidR="006F51D4">
        <w:rPr>
          <w:rFonts w:ascii="Times New Roman" w:hAnsi="Times New Roman" w:cs="Times New Roman"/>
          <w:szCs w:val="24"/>
        </w:rPr>
        <w:t xml:space="preserve">veći su za </w:t>
      </w:r>
      <w:r w:rsidR="000D2D49">
        <w:rPr>
          <w:rFonts w:ascii="Times New Roman" w:hAnsi="Times New Roman" w:cs="Times New Roman"/>
          <w:szCs w:val="24"/>
        </w:rPr>
        <w:t>30,17</w:t>
      </w:r>
      <w:r w:rsidR="006F51D4">
        <w:rPr>
          <w:rFonts w:ascii="Times New Roman" w:hAnsi="Times New Roman" w:cs="Times New Roman"/>
          <w:szCs w:val="24"/>
        </w:rPr>
        <w:t>%</w:t>
      </w:r>
      <w:r w:rsidR="00B2531F">
        <w:rPr>
          <w:rFonts w:ascii="Times New Roman" w:hAnsi="Times New Roman" w:cs="Times New Roman"/>
          <w:szCs w:val="24"/>
        </w:rPr>
        <w:t>.</w:t>
      </w:r>
    </w:p>
    <w:p w14:paraId="49745FD6" w14:textId="77777777" w:rsidR="002413D2" w:rsidRDefault="002413D2" w:rsidP="00AC5F78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4FB4BADC" w14:textId="77777777" w:rsidR="002413D2" w:rsidRDefault="002413D2" w:rsidP="00AC5F78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9BE010B" w14:textId="0BCB6F28" w:rsidR="005E75FF" w:rsidRPr="00E459F9" w:rsidRDefault="005E75FF" w:rsidP="007A2E28">
      <w:pPr>
        <w:spacing w:line="240" w:lineRule="auto"/>
        <w:rPr>
          <w:rFonts w:ascii="Times New Roman" w:eastAsia="Times New Roman" w:hAnsi="Times New Roman" w:cs="Times New Roman"/>
          <w:bCs/>
          <w:color w:val="FF0000"/>
          <w:szCs w:val="24"/>
          <w:u w:val="single"/>
          <w:lang w:eastAsia="hr-HR"/>
        </w:rPr>
      </w:pPr>
      <w:r w:rsidRPr="00262D4E">
        <w:rPr>
          <w:rFonts w:ascii="Times New Roman" w:eastAsia="Times New Roman" w:hAnsi="Times New Roman" w:cs="Times New Roman"/>
          <w:bCs/>
          <w:szCs w:val="24"/>
          <w:lang w:eastAsia="hr-HR"/>
        </w:rPr>
        <w:t xml:space="preserve">RASHODI ZA NABAVU NEFINANCIJSKE </w:t>
      </w:r>
      <w:r w:rsidR="007A2E28">
        <w:rPr>
          <w:rFonts w:ascii="Times New Roman" w:eastAsia="Times New Roman" w:hAnsi="Times New Roman" w:cs="Times New Roman"/>
          <w:bCs/>
          <w:szCs w:val="24"/>
          <w:lang w:eastAsia="hr-HR"/>
        </w:rPr>
        <w:t>IMOVINE</w:t>
      </w:r>
    </w:p>
    <w:p w14:paraId="7E924F3E" w14:textId="6E2599A1" w:rsidR="00C0491F" w:rsidRDefault="00C0491F" w:rsidP="007A2E28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Ukupni rashodi za nabavu nefinancijske imovine u prvom polugodištu 202</w:t>
      </w:r>
      <w:r w:rsidR="000D2D49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 xml:space="preserve">. godine iznose </w:t>
      </w:r>
      <w:r w:rsidR="001D555F">
        <w:rPr>
          <w:rFonts w:ascii="Times New Roman" w:hAnsi="Times New Roman" w:cs="Times New Roman"/>
          <w:szCs w:val="24"/>
        </w:rPr>
        <w:t>76,45</w:t>
      </w:r>
      <w:r>
        <w:rPr>
          <w:rFonts w:ascii="Times New Roman" w:hAnsi="Times New Roman" w:cs="Times New Roman"/>
          <w:szCs w:val="24"/>
        </w:rPr>
        <w:t xml:space="preserve"> milijuna </w:t>
      </w:r>
      <w:r w:rsidR="000D2D49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 xml:space="preserve"> odnosno </w:t>
      </w:r>
      <w:r w:rsidR="001D555F">
        <w:rPr>
          <w:rFonts w:ascii="Times New Roman" w:hAnsi="Times New Roman" w:cs="Times New Roman"/>
          <w:szCs w:val="24"/>
        </w:rPr>
        <w:t>33</w:t>
      </w:r>
      <w:r w:rsidR="00716582">
        <w:rPr>
          <w:rFonts w:ascii="Times New Roman" w:hAnsi="Times New Roman" w:cs="Times New Roman"/>
          <w:szCs w:val="24"/>
        </w:rPr>
        <w:t>,</w:t>
      </w:r>
      <w:r w:rsidR="007F41A9">
        <w:rPr>
          <w:rFonts w:ascii="Times New Roman" w:hAnsi="Times New Roman" w:cs="Times New Roman"/>
          <w:szCs w:val="24"/>
        </w:rPr>
        <w:t>0</w:t>
      </w:r>
      <w:r>
        <w:rPr>
          <w:rFonts w:ascii="Times New Roman" w:hAnsi="Times New Roman" w:cs="Times New Roman"/>
          <w:szCs w:val="24"/>
        </w:rPr>
        <w:t>% planiranih sredstava za 202</w:t>
      </w:r>
      <w:r w:rsidR="005C3229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 xml:space="preserve">. godinu, od čega se na programe investicijskih aktivnosti odnosi </w:t>
      </w:r>
      <w:r w:rsidR="00D0142E">
        <w:rPr>
          <w:rFonts w:ascii="Times New Roman" w:hAnsi="Times New Roman" w:cs="Times New Roman"/>
          <w:szCs w:val="24"/>
        </w:rPr>
        <w:t>98,9</w:t>
      </w:r>
      <w:r w:rsidR="00F711F4">
        <w:rPr>
          <w:rFonts w:ascii="Times New Roman" w:hAnsi="Times New Roman" w:cs="Times New Roman"/>
          <w:szCs w:val="24"/>
        </w:rPr>
        <w:t>9</w:t>
      </w:r>
      <w:r>
        <w:rPr>
          <w:rFonts w:ascii="Times New Roman" w:hAnsi="Times New Roman" w:cs="Times New Roman"/>
          <w:szCs w:val="24"/>
        </w:rPr>
        <w:t xml:space="preserve">% tj. </w:t>
      </w:r>
      <w:r w:rsidR="00236068">
        <w:rPr>
          <w:rFonts w:ascii="Times New Roman" w:hAnsi="Times New Roman" w:cs="Times New Roman"/>
          <w:szCs w:val="24"/>
        </w:rPr>
        <w:t>75,6</w:t>
      </w:r>
      <w:r w:rsidR="00773E2D">
        <w:rPr>
          <w:rFonts w:ascii="Times New Roman" w:hAnsi="Times New Roman" w:cs="Times New Roman"/>
          <w:szCs w:val="24"/>
        </w:rPr>
        <w:t>8</w:t>
      </w:r>
      <w:r>
        <w:rPr>
          <w:rFonts w:ascii="Times New Roman" w:hAnsi="Times New Roman" w:cs="Times New Roman"/>
          <w:szCs w:val="24"/>
        </w:rPr>
        <w:t xml:space="preserve"> milijuna </w:t>
      </w:r>
      <w:r w:rsidR="005C3229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>.</w:t>
      </w:r>
    </w:p>
    <w:p w14:paraId="724438E4" w14:textId="42807A0C" w:rsidR="00997683" w:rsidRDefault="00997683" w:rsidP="007A2E28">
      <w:pPr>
        <w:spacing w:line="240" w:lineRule="auto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Prema programima investicijskih aktivnosti izvršenje po programima je kako slijedi:</w:t>
      </w:r>
    </w:p>
    <w:p w14:paraId="55D70529" w14:textId="54C3F90A" w:rsidR="00997683" w:rsidRPr="007E6CEF" w:rsidRDefault="00997683" w:rsidP="007E6CEF">
      <w:pPr>
        <w:pStyle w:val="Odlomakpopisa"/>
        <w:numPr>
          <w:ilvl w:val="0"/>
          <w:numId w:val="15"/>
        </w:numPr>
        <w:tabs>
          <w:tab w:val="right" w:leader="dot" w:pos="9070"/>
        </w:tabs>
        <w:spacing w:after="60" w:line="240" w:lineRule="auto"/>
        <w:ind w:left="284" w:hanging="284"/>
        <w:rPr>
          <w:rFonts w:ascii="Times New Roman" w:hAnsi="Times New Roman" w:cs="Times New Roman"/>
          <w:bCs/>
          <w:szCs w:val="24"/>
        </w:rPr>
      </w:pPr>
      <w:r w:rsidRPr="007E6CEF">
        <w:rPr>
          <w:rFonts w:ascii="Times New Roman" w:hAnsi="Times New Roman" w:cs="Times New Roman"/>
          <w:bCs/>
          <w:szCs w:val="24"/>
        </w:rPr>
        <w:t>Program obnove i modernizacije pruga za međunarodni promet</w:t>
      </w:r>
      <w:r w:rsidR="0084260F">
        <w:rPr>
          <w:rFonts w:ascii="Times New Roman" w:hAnsi="Times New Roman" w:cs="Times New Roman"/>
          <w:bCs/>
          <w:szCs w:val="24"/>
        </w:rPr>
        <w:t xml:space="preserve"> </w:t>
      </w:r>
      <w:r w:rsidR="000814B0">
        <w:rPr>
          <w:rFonts w:ascii="Times New Roman" w:hAnsi="Times New Roman" w:cs="Times New Roman"/>
          <w:bCs/>
          <w:szCs w:val="24"/>
        </w:rPr>
        <w:tab/>
      </w:r>
      <w:r w:rsidR="0085472F">
        <w:rPr>
          <w:rFonts w:ascii="Times New Roman" w:hAnsi="Times New Roman" w:cs="Times New Roman"/>
          <w:bCs/>
          <w:szCs w:val="24"/>
        </w:rPr>
        <w:t>21,09</w:t>
      </w:r>
      <w:r w:rsidRPr="007E6CEF">
        <w:rPr>
          <w:rFonts w:ascii="Times New Roman" w:hAnsi="Times New Roman" w:cs="Times New Roman"/>
          <w:bCs/>
          <w:szCs w:val="24"/>
        </w:rPr>
        <w:t xml:space="preserve"> milijuna </w:t>
      </w:r>
      <w:r w:rsidR="0050562C">
        <w:rPr>
          <w:rFonts w:ascii="Times New Roman" w:hAnsi="Times New Roman" w:cs="Times New Roman"/>
          <w:bCs/>
          <w:szCs w:val="24"/>
        </w:rPr>
        <w:t>eura</w:t>
      </w:r>
    </w:p>
    <w:p w14:paraId="0B09F811" w14:textId="46094DA0" w:rsidR="00997683" w:rsidRDefault="00997683" w:rsidP="007E6CEF">
      <w:pPr>
        <w:pStyle w:val="Odlomakpopisa"/>
        <w:numPr>
          <w:ilvl w:val="0"/>
          <w:numId w:val="15"/>
        </w:numPr>
        <w:tabs>
          <w:tab w:val="right" w:leader="dot" w:pos="9070"/>
        </w:tabs>
        <w:spacing w:after="60" w:line="240" w:lineRule="auto"/>
        <w:ind w:left="284" w:hanging="284"/>
        <w:rPr>
          <w:rFonts w:ascii="Times New Roman" w:hAnsi="Times New Roman" w:cs="Times New Roman"/>
          <w:bCs/>
          <w:szCs w:val="24"/>
        </w:rPr>
      </w:pPr>
      <w:r w:rsidRPr="007E6CEF">
        <w:rPr>
          <w:rFonts w:ascii="Times New Roman" w:hAnsi="Times New Roman" w:cs="Times New Roman"/>
          <w:bCs/>
          <w:szCs w:val="24"/>
        </w:rPr>
        <w:t>Program obnove i modernizacije pruga za regionalni promet</w:t>
      </w:r>
      <w:r w:rsidR="000814B0">
        <w:rPr>
          <w:rFonts w:ascii="Times New Roman" w:hAnsi="Times New Roman" w:cs="Times New Roman"/>
          <w:bCs/>
          <w:szCs w:val="24"/>
        </w:rPr>
        <w:tab/>
      </w:r>
      <w:r w:rsidR="00AC15B4">
        <w:rPr>
          <w:rFonts w:ascii="Times New Roman" w:hAnsi="Times New Roman" w:cs="Times New Roman"/>
          <w:bCs/>
          <w:szCs w:val="24"/>
        </w:rPr>
        <w:t>0,70</w:t>
      </w:r>
      <w:r w:rsidRPr="007E6CEF">
        <w:rPr>
          <w:rFonts w:ascii="Times New Roman" w:hAnsi="Times New Roman" w:cs="Times New Roman"/>
          <w:bCs/>
          <w:szCs w:val="24"/>
        </w:rPr>
        <w:t xml:space="preserve"> milijuna </w:t>
      </w:r>
      <w:r w:rsidR="00AC15B4">
        <w:rPr>
          <w:rFonts w:ascii="Times New Roman" w:hAnsi="Times New Roman" w:cs="Times New Roman"/>
          <w:bCs/>
          <w:szCs w:val="24"/>
        </w:rPr>
        <w:t>eura</w:t>
      </w:r>
    </w:p>
    <w:p w14:paraId="21778B84" w14:textId="5B3033A0" w:rsidR="00AC15B4" w:rsidRDefault="00AC15B4" w:rsidP="00AC15B4">
      <w:pPr>
        <w:pStyle w:val="Odlomakpopisa"/>
        <w:numPr>
          <w:ilvl w:val="0"/>
          <w:numId w:val="15"/>
        </w:numPr>
        <w:tabs>
          <w:tab w:val="right" w:leader="dot" w:pos="9070"/>
        </w:tabs>
        <w:spacing w:after="60" w:line="240" w:lineRule="auto"/>
        <w:ind w:left="284" w:hanging="284"/>
        <w:rPr>
          <w:rFonts w:ascii="Times New Roman" w:hAnsi="Times New Roman" w:cs="Times New Roman"/>
          <w:bCs/>
          <w:szCs w:val="24"/>
        </w:rPr>
      </w:pPr>
      <w:r w:rsidRPr="007E6CEF">
        <w:rPr>
          <w:rFonts w:ascii="Times New Roman" w:hAnsi="Times New Roman" w:cs="Times New Roman"/>
          <w:bCs/>
          <w:szCs w:val="24"/>
        </w:rPr>
        <w:t xml:space="preserve">Program obnove i modernizacije pruga za </w:t>
      </w:r>
      <w:r>
        <w:rPr>
          <w:rFonts w:ascii="Times New Roman" w:hAnsi="Times New Roman" w:cs="Times New Roman"/>
          <w:bCs/>
          <w:szCs w:val="24"/>
        </w:rPr>
        <w:t>lokalni</w:t>
      </w:r>
      <w:r w:rsidRPr="007E6CEF">
        <w:rPr>
          <w:rFonts w:ascii="Times New Roman" w:hAnsi="Times New Roman" w:cs="Times New Roman"/>
          <w:bCs/>
          <w:szCs w:val="24"/>
        </w:rPr>
        <w:t xml:space="preserve"> promet</w:t>
      </w:r>
      <w:r w:rsidR="000814B0">
        <w:rPr>
          <w:rFonts w:ascii="Times New Roman" w:hAnsi="Times New Roman" w:cs="Times New Roman"/>
          <w:bCs/>
          <w:szCs w:val="24"/>
        </w:rPr>
        <w:tab/>
      </w:r>
      <w:r w:rsidR="00B168B5">
        <w:rPr>
          <w:rFonts w:ascii="Times New Roman" w:hAnsi="Times New Roman" w:cs="Times New Roman"/>
          <w:bCs/>
          <w:szCs w:val="24"/>
        </w:rPr>
        <w:t>0,06</w:t>
      </w:r>
      <w:r w:rsidRPr="007E6CEF">
        <w:rPr>
          <w:rFonts w:ascii="Times New Roman" w:hAnsi="Times New Roman" w:cs="Times New Roman"/>
          <w:bCs/>
          <w:szCs w:val="24"/>
        </w:rPr>
        <w:t xml:space="preserve"> milijuna </w:t>
      </w:r>
      <w:r>
        <w:rPr>
          <w:rFonts w:ascii="Times New Roman" w:hAnsi="Times New Roman" w:cs="Times New Roman"/>
          <w:bCs/>
          <w:szCs w:val="24"/>
        </w:rPr>
        <w:t>eura</w:t>
      </w:r>
    </w:p>
    <w:p w14:paraId="3000E111" w14:textId="2E92F840" w:rsidR="00997683" w:rsidRPr="007E6CEF" w:rsidRDefault="00997683" w:rsidP="007E6CEF">
      <w:pPr>
        <w:pStyle w:val="Odlomakpopisa"/>
        <w:numPr>
          <w:ilvl w:val="0"/>
          <w:numId w:val="15"/>
        </w:numPr>
        <w:tabs>
          <w:tab w:val="right" w:leader="dot" w:pos="9070"/>
        </w:tabs>
        <w:spacing w:after="60" w:line="240" w:lineRule="auto"/>
        <w:ind w:left="284" w:hanging="284"/>
        <w:rPr>
          <w:rFonts w:ascii="Times New Roman" w:hAnsi="Times New Roman" w:cs="Times New Roman"/>
          <w:bCs/>
          <w:szCs w:val="24"/>
        </w:rPr>
      </w:pPr>
      <w:r w:rsidRPr="007E6CEF">
        <w:rPr>
          <w:rFonts w:ascii="Times New Roman" w:hAnsi="Times New Roman" w:cs="Times New Roman"/>
          <w:bCs/>
          <w:szCs w:val="24"/>
        </w:rPr>
        <w:t>Program obnove i modernizacije željezničkog čvorišta Zagreb</w:t>
      </w:r>
      <w:r w:rsidR="000814B0">
        <w:rPr>
          <w:rFonts w:ascii="Times New Roman" w:hAnsi="Times New Roman" w:cs="Times New Roman"/>
          <w:bCs/>
          <w:szCs w:val="24"/>
        </w:rPr>
        <w:tab/>
      </w:r>
      <w:r w:rsidR="00B168B5">
        <w:rPr>
          <w:rFonts w:ascii="Times New Roman" w:hAnsi="Times New Roman" w:cs="Times New Roman"/>
          <w:bCs/>
          <w:szCs w:val="24"/>
        </w:rPr>
        <w:t>1,45</w:t>
      </w:r>
      <w:r w:rsidRPr="007E6CEF">
        <w:rPr>
          <w:rFonts w:ascii="Times New Roman" w:hAnsi="Times New Roman" w:cs="Times New Roman"/>
          <w:bCs/>
          <w:szCs w:val="24"/>
        </w:rPr>
        <w:t xml:space="preserve"> milijuna </w:t>
      </w:r>
      <w:r w:rsidR="00B168B5">
        <w:rPr>
          <w:rFonts w:ascii="Times New Roman" w:hAnsi="Times New Roman" w:cs="Times New Roman"/>
          <w:bCs/>
          <w:szCs w:val="24"/>
        </w:rPr>
        <w:t>eura</w:t>
      </w:r>
    </w:p>
    <w:p w14:paraId="6D84B599" w14:textId="38B84C33" w:rsidR="00997683" w:rsidRPr="007E6CEF" w:rsidRDefault="00997683" w:rsidP="007E6CEF">
      <w:pPr>
        <w:pStyle w:val="Odlomakpopisa"/>
        <w:numPr>
          <w:ilvl w:val="0"/>
          <w:numId w:val="15"/>
        </w:numPr>
        <w:tabs>
          <w:tab w:val="right" w:leader="dot" w:pos="9070"/>
        </w:tabs>
        <w:spacing w:after="60" w:line="240" w:lineRule="auto"/>
        <w:ind w:left="284" w:hanging="284"/>
        <w:rPr>
          <w:rFonts w:ascii="Times New Roman" w:hAnsi="Times New Roman" w:cs="Times New Roman"/>
          <w:bCs/>
          <w:szCs w:val="24"/>
        </w:rPr>
      </w:pPr>
      <w:r w:rsidRPr="007E6CEF">
        <w:rPr>
          <w:rFonts w:ascii="Times New Roman" w:hAnsi="Times New Roman" w:cs="Times New Roman"/>
          <w:bCs/>
          <w:szCs w:val="24"/>
        </w:rPr>
        <w:t>Program aktivnosti u funkciji infrastrukture i prometa na mreži</w:t>
      </w:r>
      <w:r w:rsidR="000814B0">
        <w:rPr>
          <w:rFonts w:ascii="Times New Roman" w:hAnsi="Times New Roman" w:cs="Times New Roman"/>
          <w:bCs/>
          <w:szCs w:val="24"/>
        </w:rPr>
        <w:tab/>
      </w:r>
      <w:r w:rsidR="00B168B5">
        <w:rPr>
          <w:rFonts w:ascii="Times New Roman" w:hAnsi="Times New Roman" w:cs="Times New Roman"/>
          <w:bCs/>
          <w:szCs w:val="24"/>
        </w:rPr>
        <w:t>7,31</w:t>
      </w:r>
      <w:r w:rsidRPr="007E6CEF">
        <w:rPr>
          <w:rFonts w:ascii="Times New Roman" w:hAnsi="Times New Roman" w:cs="Times New Roman"/>
          <w:bCs/>
          <w:szCs w:val="24"/>
        </w:rPr>
        <w:t xml:space="preserve"> milijuna </w:t>
      </w:r>
      <w:r w:rsidR="00B168B5">
        <w:rPr>
          <w:rFonts w:ascii="Times New Roman" w:hAnsi="Times New Roman" w:cs="Times New Roman"/>
          <w:bCs/>
          <w:szCs w:val="24"/>
        </w:rPr>
        <w:t>eura</w:t>
      </w:r>
    </w:p>
    <w:p w14:paraId="6B0AD1D4" w14:textId="4A0CB8A2" w:rsidR="00997683" w:rsidRPr="007E6CEF" w:rsidRDefault="00997683" w:rsidP="007E6CEF">
      <w:pPr>
        <w:pStyle w:val="Odlomakpopisa"/>
        <w:numPr>
          <w:ilvl w:val="0"/>
          <w:numId w:val="15"/>
        </w:numPr>
        <w:tabs>
          <w:tab w:val="right" w:leader="dot" w:pos="9070"/>
        </w:tabs>
        <w:spacing w:after="60" w:line="240" w:lineRule="auto"/>
        <w:ind w:left="284" w:hanging="284"/>
        <w:rPr>
          <w:rFonts w:ascii="Times New Roman" w:hAnsi="Times New Roman" w:cs="Times New Roman"/>
          <w:bCs/>
          <w:szCs w:val="24"/>
        </w:rPr>
      </w:pPr>
      <w:r w:rsidRPr="007E6CEF">
        <w:rPr>
          <w:rFonts w:ascii="Times New Roman" w:hAnsi="Times New Roman" w:cs="Times New Roman"/>
          <w:bCs/>
          <w:szCs w:val="24"/>
        </w:rPr>
        <w:t>Izgradnja novih pruga i kolosijeka</w:t>
      </w:r>
      <w:r w:rsidR="000814B0">
        <w:rPr>
          <w:rFonts w:ascii="Times New Roman" w:hAnsi="Times New Roman" w:cs="Times New Roman"/>
          <w:bCs/>
          <w:szCs w:val="24"/>
        </w:rPr>
        <w:tab/>
      </w:r>
      <w:r w:rsidR="00B168B5">
        <w:rPr>
          <w:rFonts w:ascii="Times New Roman" w:hAnsi="Times New Roman" w:cs="Times New Roman"/>
          <w:bCs/>
          <w:szCs w:val="24"/>
        </w:rPr>
        <w:t>45,07</w:t>
      </w:r>
      <w:r w:rsidRPr="007E6CEF">
        <w:rPr>
          <w:rFonts w:ascii="Times New Roman" w:hAnsi="Times New Roman" w:cs="Times New Roman"/>
          <w:bCs/>
          <w:szCs w:val="24"/>
        </w:rPr>
        <w:t xml:space="preserve">milijuna </w:t>
      </w:r>
      <w:r w:rsidR="00B168B5">
        <w:rPr>
          <w:rFonts w:ascii="Times New Roman" w:hAnsi="Times New Roman" w:cs="Times New Roman"/>
          <w:bCs/>
          <w:szCs w:val="24"/>
        </w:rPr>
        <w:t>eura</w:t>
      </w:r>
    </w:p>
    <w:p w14:paraId="513E2E4E" w14:textId="23746EDC" w:rsidR="00593965" w:rsidRDefault="001676C6" w:rsidP="00593965">
      <w:pPr>
        <w:spacing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Cs w:val="24"/>
          <w:lang w:eastAsia="hr-HR"/>
        </w:rPr>
        <w:t xml:space="preserve">Ovakvo izvršenje </w:t>
      </w:r>
      <w:r w:rsidR="00593965" w:rsidRPr="00B33480">
        <w:rPr>
          <w:rFonts w:ascii="Times New Roman" w:eastAsia="Times New Roman" w:hAnsi="Times New Roman" w:cs="Times New Roman"/>
          <w:szCs w:val="24"/>
          <w:lang w:eastAsia="hr-HR"/>
        </w:rPr>
        <w:t xml:space="preserve">planiranih rashoda vezanih za investicijski dio poslovanja HŽ Infrastrukture rezultat </w:t>
      </w:r>
      <w:r w:rsidR="000F4FCE">
        <w:rPr>
          <w:rFonts w:ascii="Times New Roman" w:eastAsia="Times New Roman" w:hAnsi="Times New Roman" w:cs="Times New Roman"/>
          <w:szCs w:val="24"/>
          <w:lang w:eastAsia="hr-HR"/>
        </w:rPr>
        <w:t>je</w:t>
      </w:r>
      <w:r w:rsidR="000F4FCE" w:rsidRPr="00B33480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r w:rsidR="00593965" w:rsidRPr="00B33480">
        <w:rPr>
          <w:rFonts w:ascii="Times New Roman" w:eastAsia="Times New Roman" w:hAnsi="Times New Roman" w:cs="Times New Roman"/>
          <w:szCs w:val="24"/>
          <w:lang w:eastAsia="hr-HR"/>
        </w:rPr>
        <w:t xml:space="preserve">promijenjene dinamike investicijskih aktivnosti uslijed </w:t>
      </w:r>
      <w:r w:rsidR="00593965">
        <w:rPr>
          <w:rFonts w:ascii="Times New Roman" w:eastAsia="Times New Roman" w:hAnsi="Times New Roman" w:cs="Times New Roman"/>
          <w:szCs w:val="24"/>
          <w:lang w:eastAsia="hr-HR"/>
        </w:rPr>
        <w:t>otežane nabavke strateškog materijala</w:t>
      </w:r>
      <w:r w:rsidR="005C0D84">
        <w:rPr>
          <w:rFonts w:ascii="Times New Roman" w:eastAsia="Times New Roman" w:hAnsi="Times New Roman" w:cs="Times New Roman"/>
          <w:szCs w:val="24"/>
          <w:lang w:eastAsia="hr-HR"/>
        </w:rPr>
        <w:t>, dugotrajnih postupaka javne nabave i usporenog rješavanja imovinsko-pravnih odnosa.</w:t>
      </w:r>
    </w:p>
    <w:p w14:paraId="247D7006" w14:textId="44CDBD6C" w:rsidR="00E52EF6" w:rsidRPr="005963E2" w:rsidRDefault="00E52EF6" w:rsidP="00997683">
      <w:pPr>
        <w:spacing w:line="240" w:lineRule="auto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U odnosu na isto razdoblje 202</w:t>
      </w:r>
      <w:r w:rsidR="00EB091E">
        <w:rPr>
          <w:rFonts w:ascii="Times New Roman" w:hAnsi="Times New Roman" w:cs="Times New Roman"/>
          <w:bCs/>
          <w:szCs w:val="24"/>
        </w:rPr>
        <w:t>2</w:t>
      </w:r>
      <w:r>
        <w:rPr>
          <w:rFonts w:ascii="Times New Roman" w:hAnsi="Times New Roman" w:cs="Times New Roman"/>
          <w:bCs/>
          <w:szCs w:val="24"/>
        </w:rPr>
        <w:t xml:space="preserve">. godine, realizacija rashoda za nabavu nefinancijske imovine </w:t>
      </w:r>
      <w:r w:rsidR="00767F84">
        <w:rPr>
          <w:rFonts w:ascii="Times New Roman" w:hAnsi="Times New Roman" w:cs="Times New Roman"/>
          <w:bCs/>
          <w:szCs w:val="24"/>
        </w:rPr>
        <w:t>veća je</w:t>
      </w:r>
      <w:r>
        <w:rPr>
          <w:rFonts w:ascii="Times New Roman" w:hAnsi="Times New Roman" w:cs="Times New Roman"/>
          <w:bCs/>
          <w:szCs w:val="24"/>
        </w:rPr>
        <w:t xml:space="preserve"> za </w:t>
      </w:r>
      <w:r w:rsidR="00A159AD">
        <w:rPr>
          <w:rFonts w:ascii="Times New Roman" w:hAnsi="Times New Roman" w:cs="Times New Roman"/>
          <w:bCs/>
          <w:szCs w:val="24"/>
        </w:rPr>
        <w:t>11,5</w:t>
      </w:r>
      <w:r>
        <w:rPr>
          <w:rFonts w:ascii="Times New Roman" w:hAnsi="Times New Roman" w:cs="Times New Roman"/>
          <w:bCs/>
          <w:szCs w:val="24"/>
        </w:rPr>
        <w:t xml:space="preserve">% odnosno za </w:t>
      </w:r>
      <w:r w:rsidR="002259A7">
        <w:rPr>
          <w:rFonts w:ascii="Times New Roman" w:hAnsi="Times New Roman" w:cs="Times New Roman"/>
          <w:bCs/>
          <w:szCs w:val="24"/>
        </w:rPr>
        <w:t>7,89</w:t>
      </w:r>
      <w:r>
        <w:rPr>
          <w:rFonts w:ascii="Times New Roman" w:hAnsi="Times New Roman" w:cs="Times New Roman"/>
          <w:bCs/>
          <w:szCs w:val="24"/>
        </w:rPr>
        <w:t xml:space="preserve"> milijuna </w:t>
      </w:r>
      <w:r w:rsidR="00505AEA">
        <w:rPr>
          <w:rFonts w:ascii="Times New Roman" w:hAnsi="Times New Roman" w:cs="Times New Roman"/>
          <w:bCs/>
          <w:szCs w:val="24"/>
        </w:rPr>
        <w:t>eura</w:t>
      </w:r>
      <w:r>
        <w:rPr>
          <w:rFonts w:ascii="Times New Roman" w:hAnsi="Times New Roman" w:cs="Times New Roman"/>
          <w:bCs/>
          <w:szCs w:val="24"/>
        </w:rPr>
        <w:t xml:space="preserve">. </w:t>
      </w:r>
    </w:p>
    <w:p w14:paraId="2A297895" w14:textId="4F14A331" w:rsidR="005963E2" w:rsidRDefault="005963E2" w:rsidP="00997683">
      <w:pPr>
        <w:spacing w:line="240" w:lineRule="auto"/>
        <w:rPr>
          <w:rFonts w:ascii="Times New Roman" w:hAnsi="Times New Roman" w:cs="Times New Roman"/>
          <w:bCs/>
          <w:szCs w:val="24"/>
        </w:rPr>
      </w:pPr>
    </w:p>
    <w:p w14:paraId="07349F08" w14:textId="77777777" w:rsidR="00927B35" w:rsidRDefault="00927B35" w:rsidP="00586F40">
      <w:pPr>
        <w:spacing w:after="240" w:line="240" w:lineRule="auto"/>
        <w:rPr>
          <w:rFonts w:ascii="Times New Roman" w:eastAsia="Times New Roman" w:hAnsi="Times New Roman" w:cs="Times New Roman"/>
          <w:b/>
          <w:bCs/>
          <w:szCs w:val="24"/>
          <w:u w:val="single"/>
          <w:lang w:eastAsia="hr-HR"/>
        </w:rPr>
      </w:pPr>
    </w:p>
    <w:p w14:paraId="102D9DBA" w14:textId="77777777" w:rsidR="00927B35" w:rsidRDefault="00927B35" w:rsidP="00586F40">
      <w:pPr>
        <w:spacing w:after="240" w:line="240" w:lineRule="auto"/>
        <w:rPr>
          <w:rFonts w:ascii="Times New Roman" w:eastAsia="Times New Roman" w:hAnsi="Times New Roman" w:cs="Times New Roman"/>
          <w:b/>
          <w:bCs/>
          <w:szCs w:val="24"/>
          <w:u w:val="single"/>
          <w:lang w:eastAsia="hr-HR"/>
        </w:rPr>
      </w:pPr>
    </w:p>
    <w:p w14:paraId="49AC4CBF" w14:textId="7CC0EC13" w:rsidR="005E75FF" w:rsidRPr="001E03D9" w:rsidRDefault="005E75FF" w:rsidP="00586F40">
      <w:pPr>
        <w:spacing w:after="240" w:line="240" w:lineRule="auto"/>
        <w:rPr>
          <w:rFonts w:ascii="Times New Roman" w:eastAsia="Times New Roman" w:hAnsi="Times New Roman" w:cs="Times New Roman"/>
          <w:b/>
          <w:bCs/>
          <w:szCs w:val="24"/>
          <w:u w:val="single"/>
          <w:lang w:eastAsia="hr-HR"/>
        </w:rPr>
      </w:pPr>
      <w:r w:rsidRPr="001E03D9">
        <w:rPr>
          <w:rFonts w:ascii="Times New Roman" w:eastAsia="Times New Roman" w:hAnsi="Times New Roman" w:cs="Times New Roman"/>
          <w:b/>
          <w:bCs/>
          <w:szCs w:val="24"/>
          <w:u w:val="single"/>
          <w:lang w:eastAsia="hr-HR"/>
        </w:rPr>
        <w:t xml:space="preserve">RAČUN FINANCIRANJA </w:t>
      </w:r>
    </w:p>
    <w:p w14:paraId="496138D8" w14:textId="77777777" w:rsidR="001E03D9" w:rsidRDefault="001E03D9" w:rsidP="00586F40">
      <w:pPr>
        <w:spacing w:after="160"/>
      </w:pPr>
      <w:r>
        <w:rPr>
          <w:rFonts w:ascii="Times New Roman" w:hAnsi="Times New Roman" w:cs="Times New Roman"/>
          <w:b/>
          <w:u w:val="single"/>
        </w:rPr>
        <w:t>Račun prihoda i rashoda</w:t>
      </w:r>
    </w:p>
    <w:tbl>
      <w:tblPr>
        <w:tblW w:w="4908" w:type="pct"/>
        <w:tblInd w:w="-6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5"/>
        <w:gridCol w:w="1753"/>
        <w:gridCol w:w="1754"/>
        <w:gridCol w:w="891"/>
      </w:tblGrid>
      <w:tr w:rsidR="001E03D9" w14:paraId="67655A1B" w14:textId="77777777" w:rsidTr="00BD4F54">
        <w:tc>
          <w:tcPr>
            <w:tcW w:w="2528" w:type="pct"/>
            <w:shd w:val="clear" w:color="auto" w:fill="BCDFFB"/>
            <w:vAlign w:val="center"/>
          </w:tcPr>
          <w:p w14:paraId="31CE92EE" w14:textId="77777777" w:rsidR="001E03D9" w:rsidRDefault="001E03D9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986" w:type="pct"/>
            <w:shd w:val="clear" w:color="auto" w:fill="BCDFFB"/>
            <w:vAlign w:val="center"/>
          </w:tcPr>
          <w:p w14:paraId="5CE793D8" w14:textId="1A7EF20F" w:rsidR="001E03D9" w:rsidRDefault="00D71E20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 w:rsidR="001E03D9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986" w:type="pct"/>
            <w:shd w:val="clear" w:color="auto" w:fill="BCDFFB"/>
            <w:vAlign w:val="center"/>
          </w:tcPr>
          <w:p w14:paraId="3B1FA813" w14:textId="77777777" w:rsidR="001E03D9" w:rsidRDefault="001E03D9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501" w:type="pct"/>
            <w:shd w:val="clear" w:color="auto" w:fill="BCDFFB"/>
            <w:vAlign w:val="center"/>
          </w:tcPr>
          <w:p w14:paraId="487FBC3D" w14:textId="77777777" w:rsidR="001E03D9" w:rsidRDefault="001E03D9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1E03D9" w14:paraId="125BA7E4" w14:textId="77777777" w:rsidTr="00BD4F54">
        <w:tc>
          <w:tcPr>
            <w:tcW w:w="2528" w:type="pct"/>
            <w:shd w:val="clear" w:color="auto" w:fill="BCDFFB"/>
            <w:vAlign w:val="center"/>
          </w:tcPr>
          <w:p w14:paraId="363EB7DE" w14:textId="77777777" w:rsidR="001E03D9" w:rsidRDefault="001E03D9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986" w:type="pct"/>
            <w:shd w:val="clear" w:color="auto" w:fill="BCDFFB"/>
            <w:vAlign w:val="center"/>
          </w:tcPr>
          <w:p w14:paraId="1F20955E" w14:textId="77777777" w:rsidR="001E03D9" w:rsidRDefault="001E03D9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986" w:type="pct"/>
            <w:shd w:val="clear" w:color="auto" w:fill="BCDFFB"/>
            <w:vAlign w:val="center"/>
          </w:tcPr>
          <w:p w14:paraId="400F0932" w14:textId="77777777" w:rsidR="001E03D9" w:rsidRDefault="001E03D9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501" w:type="pct"/>
            <w:shd w:val="clear" w:color="auto" w:fill="BCDFFB"/>
            <w:vAlign w:val="center"/>
          </w:tcPr>
          <w:p w14:paraId="1BE09909" w14:textId="77777777" w:rsidR="001E03D9" w:rsidRDefault="001E03D9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1E03D9" w14:paraId="468C6528" w14:textId="77777777" w:rsidTr="00BD4F54">
        <w:tc>
          <w:tcPr>
            <w:tcW w:w="2528" w:type="pct"/>
            <w:vAlign w:val="center"/>
          </w:tcPr>
          <w:p w14:paraId="6144A374" w14:textId="77777777" w:rsidR="001E03D9" w:rsidRDefault="001E03D9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986" w:type="pct"/>
            <w:vAlign w:val="bottom"/>
          </w:tcPr>
          <w:p w14:paraId="213F79E0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394.117.931</w:t>
            </w:r>
          </w:p>
        </w:tc>
        <w:tc>
          <w:tcPr>
            <w:tcW w:w="986" w:type="pct"/>
            <w:vAlign w:val="bottom"/>
          </w:tcPr>
          <w:p w14:paraId="1B334CF6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180.701.842</w:t>
            </w:r>
          </w:p>
        </w:tc>
        <w:tc>
          <w:tcPr>
            <w:tcW w:w="501" w:type="pct"/>
            <w:vAlign w:val="bottom"/>
          </w:tcPr>
          <w:p w14:paraId="1A1C30E4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45,8</w:t>
            </w:r>
          </w:p>
        </w:tc>
      </w:tr>
      <w:tr w:rsidR="001E03D9" w14:paraId="7F9B71AD" w14:textId="77777777" w:rsidTr="00BD4F54">
        <w:tc>
          <w:tcPr>
            <w:tcW w:w="2528" w:type="pct"/>
            <w:vAlign w:val="bottom"/>
          </w:tcPr>
          <w:p w14:paraId="13119091" w14:textId="77777777" w:rsidR="001E03D9" w:rsidRDefault="001E03D9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986" w:type="pct"/>
            <w:vAlign w:val="bottom"/>
          </w:tcPr>
          <w:p w14:paraId="23E3C6C5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404.916.097</w:t>
            </w:r>
          </w:p>
        </w:tc>
        <w:tc>
          <w:tcPr>
            <w:tcW w:w="986" w:type="pct"/>
            <w:vAlign w:val="bottom"/>
          </w:tcPr>
          <w:p w14:paraId="744D40F7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161.905.338</w:t>
            </w:r>
          </w:p>
        </w:tc>
        <w:tc>
          <w:tcPr>
            <w:tcW w:w="501" w:type="pct"/>
            <w:vAlign w:val="bottom"/>
          </w:tcPr>
          <w:p w14:paraId="52C235EC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40,0</w:t>
            </w:r>
          </w:p>
        </w:tc>
      </w:tr>
      <w:tr w:rsidR="001E03D9" w14:paraId="7599351C" w14:textId="77777777" w:rsidTr="00BD4F54">
        <w:tc>
          <w:tcPr>
            <w:tcW w:w="2528" w:type="pct"/>
            <w:vAlign w:val="bottom"/>
          </w:tcPr>
          <w:p w14:paraId="0964FCFA" w14:textId="77777777" w:rsidR="001E03D9" w:rsidRDefault="001E03D9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986" w:type="pct"/>
            <w:vAlign w:val="bottom"/>
          </w:tcPr>
          <w:p w14:paraId="0249B181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-10.798.166</w:t>
            </w:r>
          </w:p>
        </w:tc>
        <w:tc>
          <w:tcPr>
            <w:tcW w:w="986" w:type="pct"/>
            <w:vAlign w:val="bottom"/>
          </w:tcPr>
          <w:p w14:paraId="602B5B8E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18.796.504</w:t>
            </w:r>
          </w:p>
        </w:tc>
        <w:tc>
          <w:tcPr>
            <w:tcW w:w="501" w:type="pct"/>
            <w:vAlign w:val="bottom"/>
          </w:tcPr>
          <w:p w14:paraId="7A64518B" w14:textId="77777777" w:rsidR="001E03D9" w:rsidRDefault="001E03D9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-174,1</w:t>
            </w:r>
          </w:p>
        </w:tc>
      </w:tr>
    </w:tbl>
    <w:p w14:paraId="3BC75B16" w14:textId="1BAD88D0" w:rsidR="001E03D9" w:rsidRDefault="001E03D9" w:rsidP="002E36EB">
      <w:pPr>
        <w:spacing w:line="240" w:lineRule="auto"/>
        <w:rPr>
          <w:rFonts w:ascii="Times New Roman" w:hAnsi="Times New Roman" w:cs="Times New Roman"/>
          <w:szCs w:val="24"/>
        </w:rPr>
      </w:pPr>
    </w:p>
    <w:p w14:paraId="61B59FB7" w14:textId="77777777" w:rsidR="00C27155" w:rsidRDefault="00C27155" w:rsidP="00C27155">
      <w:r>
        <w:rPr>
          <w:rFonts w:ascii="Times New Roman" w:hAnsi="Times New Roman" w:cs="Times New Roman"/>
          <w:b/>
          <w:u w:val="single"/>
        </w:rPr>
        <w:t>Račun financiranja</w:t>
      </w:r>
    </w:p>
    <w:tbl>
      <w:tblPr>
        <w:tblW w:w="4908" w:type="pct"/>
        <w:tblInd w:w="-6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5"/>
        <w:gridCol w:w="1753"/>
        <w:gridCol w:w="1754"/>
        <w:gridCol w:w="891"/>
      </w:tblGrid>
      <w:tr w:rsidR="00C27155" w14:paraId="4692D92E" w14:textId="77777777" w:rsidTr="00586F40">
        <w:tc>
          <w:tcPr>
            <w:tcW w:w="2528" w:type="pct"/>
            <w:shd w:val="clear" w:color="auto" w:fill="BCDFFB"/>
            <w:vAlign w:val="center"/>
          </w:tcPr>
          <w:p w14:paraId="0FBD1875" w14:textId="77777777" w:rsidR="00C27155" w:rsidRDefault="00C27155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986" w:type="pct"/>
            <w:shd w:val="clear" w:color="auto" w:fill="BCDFFB"/>
            <w:vAlign w:val="center"/>
          </w:tcPr>
          <w:p w14:paraId="64600656" w14:textId="24FA909C" w:rsidR="00C27155" w:rsidRDefault="00AE3454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 w:rsidR="00C27155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986" w:type="pct"/>
            <w:shd w:val="clear" w:color="auto" w:fill="BCDFFB"/>
            <w:vAlign w:val="center"/>
          </w:tcPr>
          <w:p w14:paraId="52DFF62B" w14:textId="77777777" w:rsidR="00C27155" w:rsidRDefault="00C27155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501" w:type="pct"/>
            <w:shd w:val="clear" w:color="auto" w:fill="BCDFFB"/>
            <w:vAlign w:val="center"/>
          </w:tcPr>
          <w:p w14:paraId="74F3C328" w14:textId="77777777" w:rsidR="00C27155" w:rsidRDefault="00C27155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C27155" w14:paraId="130AC145" w14:textId="77777777" w:rsidTr="00586F40">
        <w:tc>
          <w:tcPr>
            <w:tcW w:w="2528" w:type="pct"/>
            <w:shd w:val="clear" w:color="auto" w:fill="BCDFFB"/>
            <w:vAlign w:val="center"/>
          </w:tcPr>
          <w:p w14:paraId="0AA29919" w14:textId="77777777" w:rsidR="00C27155" w:rsidRDefault="00C27155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986" w:type="pct"/>
            <w:shd w:val="clear" w:color="auto" w:fill="BCDFFB"/>
            <w:vAlign w:val="center"/>
          </w:tcPr>
          <w:p w14:paraId="1AD81054" w14:textId="77777777" w:rsidR="00C27155" w:rsidRDefault="00C27155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986" w:type="pct"/>
            <w:shd w:val="clear" w:color="auto" w:fill="BCDFFB"/>
            <w:vAlign w:val="center"/>
          </w:tcPr>
          <w:p w14:paraId="6DF71B7D" w14:textId="77777777" w:rsidR="00C27155" w:rsidRDefault="00C27155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501" w:type="pct"/>
            <w:shd w:val="clear" w:color="auto" w:fill="BCDFFB"/>
            <w:vAlign w:val="center"/>
          </w:tcPr>
          <w:p w14:paraId="3BE6745C" w14:textId="77777777" w:rsidR="00C27155" w:rsidRDefault="00C27155" w:rsidP="002E3AF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C27155" w14:paraId="3B40B998" w14:textId="77777777" w:rsidTr="00586F40">
        <w:tc>
          <w:tcPr>
            <w:tcW w:w="2528" w:type="pct"/>
            <w:vAlign w:val="center"/>
          </w:tcPr>
          <w:p w14:paraId="1EA5315C" w14:textId="77777777" w:rsidR="00C27155" w:rsidRDefault="00C27155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986" w:type="pct"/>
            <w:vAlign w:val="bottom"/>
          </w:tcPr>
          <w:p w14:paraId="4263603A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97.842.667</w:t>
            </w:r>
          </w:p>
        </w:tc>
        <w:tc>
          <w:tcPr>
            <w:tcW w:w="986" w:type="pct"/>
            <w:vAlign w:val="bottom"/>
          </w:tcPr>
          <w:p w14:paraId="796F67AF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13.608.667</w:t>
            </w:r>
          </w:p>
        </w:tc>
        <w:tc>
          <w:tcPr>
            <w:tcW w:w="501" w:type="pct"/>
            <w:vAlign w:val="bottom"/>
          </w:tcPr>
          <w:p w14:paraId="41E9A3E1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13,9</w:t>
            </w:r>
          </w:p>
        </w:tc>
      </w:tr>
      <w:tr w:rsidR="00C27155" w14:paraId="245610BC" w14:textId="77777777" w:rsidTr="00586F40">
        <w:tc>
          <w:tcPr>
            <w:tcW w:w="2528" w:type="pct"/>
            <w:vAlign w:val="bottom"/>
          </w:tcPr>
          <w:p w14:paraId="3D1CC14E" w14:textId="77777777" w:rsidR="00C27155" w:rsidRDefault="00C27155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</w:t>
            </w:r>
          </w:p>
        </w:tc>
        <w:tc>
          <w:tcPr>
            <w:tcW w:w="986" w:type="pct"/>
            <w:vAlign w:val="bottom"/>
          </w:tcPr>
          <w:p w14:paraId="133092F3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104.188.785</w:t>
            </w:r>
          </w:p>
        </w:tc>
        <w:tc>
          <w:tcPr>
            <w:tcW w:w="986" w:type="pct"/>
            <w:vAlign w:val="bottom"/>
          </w:tcPr>
          <w:p w14:paraId="49821DF0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15.888.386</w:t>
            </w:r>
          </w:p>
        </w:tc>
        <w:tc>
          <w:tcPr>
            <w:tcW w:w="501" w:type="pct"/>
            <w:vAlign w:val="bottom"/>
          </w:tcPr>
          <w:p w14:paraId="1FC359BB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15,2</w:t>
            </w:r>
          </w:p>
        </w:tc>
      </w:tr>
      <w:tr w:rsidR="00C27155" w14:paraId="6C5C8275" w14:textId="77777777" w:rsidTr="00586F40">
        <w:tc>
          <w:tcPr>
            <w:tcW w:w="2528" w:type="pct"/>
            <w:vAlign w:val="bottom"/>
          </w:tcPr>
          <w:p w14:paraId="14CCBFCF" w14:textId="77777777" w:rsidR="00C27155" w:rsidRDefault="00C27155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986" w:type="pct"/>
            <w:vAlign w:val="bottom"/>
          </w:tcPr>
          <w:p w14:paraId="0DE734EE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-6.346.118</w:t>
            </w:r>
          </w:p>
        </w:tc>
        <w:tc>
          <w:tcPr>
            <w:tcW w:w="986" w:type="pct"/>
            <w:vAlign w:val="bottom"/>
          </w:tcPr>
          <w:p w14:paraId="79E641EF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-2.279.719</w:t>
            </w:r>
          </w:p>
        </w:tc>
        <w:tc>
          <w:tcPr>
            <w:tcW w:w="501" w:type="pct"/>
            <w:vAlign w:val="bottom"/>
          </w:tcPr>
          <w:p w14:paraId="117C65DD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35,9</w:t>
            </w:r>
          </w:p>
        </w:tc>
      </w:tr>
      <w:tr w:rsidR="00C27155" w14:paraId="6791CC4F" w14:textId="77777777" w:rsidTr="00586F40">
        <w:tc>
          <w:tcPr>
            <w:tcW w:w="2528" w:type="pct"/>
            <w:vAlign w:val="bottom"/>
          </w:tcPr>
          <w:p w14:paraId="3405C508" w14:textId="77777777" w:rsidR="00C27155" w:rsidRDefault="00C27155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986" w:type="pct"/>
            <w:vAlign w:val="bottom"/>
          </w:tcPr>
          <w:p w14:paraId="5C648791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53.036.904</w:t>
            </w:r>
          </w:p>
        </w:tc>
        <w:tc>
          <w:tcPr>
            <w:tcW w:w="986" w:type="pct"/>
            <w:vAlign w:val="bottom"/>
          </w:tcPr>
          <w:p w14:paraId="17B1A058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53.036.904</w:t>
            </w:r>
          </w:p>
        </w:tc>
        <w:tc>
          <w:tcPr>
            <w:tcW w:w="501" w:type="pct"/>
            <w:vAlign w:val="bottom"/>
          </w:tcPr>
          <w:p w14:paraId="1460FB35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100,0</w:t>
            </w:r>
          </w:p>
        </w:tc>
      </w:tr>
      <w:tr w:rsidR="00C27155" w14:paraId="3B686D64" w14:textId="77777777" w:rsidTr="00586F40">
        <w:tc>
          <w:tcPr>
            <w:tcW w:w="2528" w:type="pct"/>
            <w:vAlign w:val="bottom"/>
          </w:tcPr>
          <w:p w14:paraId="5F57EB68" w14:textId="77777777" w:rsidR="00C27155" w:rsidRDefault="00C27155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986" w:type="pct"/>
            <w:vAlign w:val="bottom"/>
          </w:tcPr>
          <w:p w14:paraId="4AEEE686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-35.892.620</w:t>
            </w:r>
          </w:p>
        </w:tc>
        <w:tc>
          <w:tcPr>
            <w:tcW w:w="986" w:type="pct"/>
            <w:vAlign w:val="bottom"/>
          </w:tcPr>
          <w:p w14:paraId="4A0E722E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-69.553.688</w:t>
            </w:r>
          </w:p>
        </w:tc>
        <w:tc>
          <w:tcPr>
            <w:tcW w:w="501" w:type="pct"/>
            <w:vAlign w:val="bottom"/>
          </w:tcPr>
          <w:p w14:paraId="273F1DD6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193,8</w:t>
            </w:r>
          </w:p>
        </w:tc>
      </w:tr>
      <w:tr w:rsidR="00C27155" w14:paraId="7E9A3800" w14:textId="77777777" w:rsidTr="00586F40">
        <w:tc>
          <w:tcPr>
            <w:tcW w:w="2528" w:type="pct"/>
            <w:vAlign w:val="bottom"/>
          </w:tcPr>
          <w:p w14:paraId="30395638" w14:textId="77777777" w:rsidR="00C27155" w:rsidRDefault="00C27155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986" w:type="pct"/>
            <w:vAlign w:val="bottom"/>
          </w:tcPr>
          <w:p w14:paraId="22AD615C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10.798.166</w:t>
            </w:r>
          </w:p>
        </w:tc>
        <w:tc>
          <w:tcPr>
            <w:tcW w:w="986" w:type="pct"/>
            <w:vAlign w:val="bottom"/>
          </w:tcPr>
          <w:p w14:paraId="707CD70B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-18.796.504</w:t>
            </w:r>
          </w:p>
        </w:tc>
        <w:tc>
          <w:tcPr>
            <w:tcW w:w="501" w:type="pct"/>
            <w:vAlign w:val="bottom"/>
          </w:tcPr>
          <w:p w14:paraId="0052ABEC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-174,1</w:t>
            </w:r>
          </w:p>
        </w:tc>
      </w:tr>
      <w:tr w:rsidR="00C27155" w14:paraId="1943FE17" w14:textId="77777777" w:rsidTr="00586F40">
        <w:tc>
          <w:tcPr>
            <w:tcW w:w="2528" w:type="pct"/>
            <w:vAlign w:val="bottom"/>
          </w:tcPr>
          <w:p w14:paraId="7D634BD6" w14:textId="77777777" w:rsidR="00C27155" w:rsidRDefault="00C27155" w:rsidP="002E3AF7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986" w:type="pct"/>
            <w:vAlign w:val="bottom"/>
          </w:tcPr>
          <w:p w14:paraId="65615849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986" w:type="pct"/>
            <w:vAlign w:val="bottom"/>
          </w:tcPr>
          <w:p w14:paraId="6284D8FC" w14:textId="77777777" w:rsidR="00C27155" w:rsidRDefault="00C27155" w:rsidP="002E3AF7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501" w:type="pct"/>
            <w:vAlign w:val="bottom"/>
          </w:tcPr>
          <w:p w14:paraId="1D852E0A" w14:textId="77777777" w:rsidR="00C27155" w:rsidRDefault="00C27155" w:rsidP="002E3AF7">
            <w:pPr>
              <w:spacing w:after="0" w:line="240" w:lineRule="auto"/>
              <w:jc w:val="right"/>
            </w:pPr>
          </w:p>
        </w:tc>
      </w:tr>
    </w:tbl>
    <w:p w14:paraId="384142F2" w14:textId="77777777" w:rsidR="00EF00C2" w:rsidRDefault="00EF00C2" w:rsidP="007A2E28">
      <w:pPr>
        <w:spacing w:line="240" w:lineRule="auto"/>
        <w:rPr>
          <w:rFonts w:ascii="Times New Roman" w:hAnsi="Times New Roman" w:cs="Times New Roman"/>
          <w:szCs w:val="24"/>
        </w:rPr>
      </w:pPr>
    </w:p>
    <w:p w14:paraId="6727E2FD" w14:textId="16352E07" w:rsidR="00513302" w:rsidRDefault="00513302" w:rsidP="007A2E28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 prvom polugodištu 2023. godine HŽ Infrastruktura ostvarila je ukupne prihode u iznosu od 180,70 milijuna eura ili 45,85% planiranih, odnosno ukupne rashode u iznosu od 161,91 milijun eura što je na razini od 39,98% planiranih sredstava. Razlika ostvarenih ukupnih prihoda i ukupnih rashoda iskazana je kao višak u iznosu 18,80 milijuna eura.</w:t>
      </w:r>
    </w:p>
    <w:p w14:paraId="7FA00CCC" w14:textId="65757C21" w:rsidR="00A5793B" w:rsidRDefault="001E17B8" w:rsidP="007A2E28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HŽ Infrastruktura je u </w:t>
      </w:r>
      <w:r w:rsidR="00D126C5">
        <w:rPr>
          <w:rFonts w:ascii="Times New Roman" w:hAnsi="Times New Roman" w:cs="Times New Roman"/>
          <w:szCs w:val="24"/>
        </w:rPr>
        <w:t>prvom polugodištu</w:t>
      </w:r>
      <w:r>
        <w:rPr>
          <w:rFonts w:ascii="Times New Roman" w:hAnsi="Times New Roman" w:cs="Times New Roman"/>
          <w:szCs w:val="24"/>
        </w:rPr>
        <w:t xml:space="preserve"> 202</w:t>
      </w:r>
      <w:r w:rsidR="00505AEA">
        <w:rPr>
          <w:rFonts w:ascii="Times New Roman" w:hAnsi="Times New Roman" w:cs="Times New Roman"/>
          <w:szCs w:val="24"/>
        </w:rPr>
        <w:t>3</w:t>
      </w:r>
      <w:r w:rsidR="005D565E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godin</w:t>
      </w:r>
      <w:r w:rsidR="005D565E">
        <w:rPr>
          <w:rFonts w:ascii="Times New Roman" w:hAnsi="Times New Roman" w:cs="Times New Roman"/>
          <w:szCs w:val="24"/>
        </w:rPr>
        <w:t>e</w:t>
      </w:r>
      <w:r>
        <w:rPr>
          <w:rFonts w:ascii="Times New Roman" w:hAnsi="Times New Roman" w:cs="Times New Roman"/>
          <w:szCs w:val="24"/>
        </w:rPr>
        <w:t xml:space="preserve"> ostvarila </w:t>
      </w:r>
      <w:r w:rsidR="00DB69A3">
        <w:rPr>
          <w:rFonts w:ascii="Times New Roman" w:hAnsi="Times New Roman" w:cs="Times New Roman"/>
          <w:szCs w:val="24"/>
        </w:rPr>
        <w:t>13,</w:t>
      </w:r>
      <w:r w:rsidR="002413D2">
        <w:rPr>
          <w:rFonts w:ascii="Times New Roman" w:hAnsi="Times New Roman" w:cs="Times New Roman"/>
          <w:szCs w:val="24"/>
        </w:rPr>
        <w:t>6</w:t>
      </w:r>
      <w:r w:rsidR="00DB69A3"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/>
          <w:szCs w:val="24"/>
        </w:rPr>
        <w:t xml:space="preserve"> milijun </w:t>
      </w:r>
      <w:r w:rsidR="004D318A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 xml:space="preserve"> primitaka od zaduživanja, od čega </w:t>
      </w:r>
      <w:r w:rsidR="00AE05D8">
        <w:rPr>
          <w:rFonts w:ascii="Times New Roman" w:hAnsi="Times New Roman" w:cs="Times New Roman"/>
          <w:szCs w:val="24"/>
        </w:rPr>
        <w:t>1,00</w:t>
      </w:r>
      <w:r>
        <w:rPr>
          <w:rFonts w:ascii="Times New Roman" w:hAnsi="Times New Roman" w:cs="Times New Roman"/>
          <w:szCs w:val="24"/>
        </w:rPr>
        <w:t xml:space="preserve"> milijun </w:t>
      </w:r>
      <w:r w:rsidR="00AE05D8">
        <w:rPr>
          <w:rFonts w:ascii="Times New Roman" w:hAnsi="Times New Roman" w:cs="Times New Roman"/>
          <w:szCs w:val="24"/>
        </w:rPr>
        <w:t>eura</w:t>
      </w:r>
      <w:r>
        <w:rPr>
          <w:rFonts w:ascii="Times New Roman" w:hAnsi="Times New Roman" w:cs="Times New Roman"/>
          <w:szCs w:val="24"/>
        </w:rPr>
        <w:t xml:space="preserve"> iz IBRD i EBRD</w:t>
      </w:r>
      <w:r w:rsidRPr="001E17B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zajmova</w:t>
      </w:r>
      <w:r w:rsidR="00AE05D8">
        <w:rPr>
          <w:rFonts w:ascii="Times New Roman" w:hAnsi="Times New Roman" w:cs="Times New Roman"/>
          <w:szCs w:val="24"/>
        </w:rPr>
        <w:t xml:space="preserve"> i 12,61</w:t>
      </w:r>
      <w:r>
        <w:rPr>
          <w:rFonts w:ascii="Times New Roman" w:hAnsi="Times New Roman" w:cs="Times New Roman"/>
          <w:szCs w:val="24"/>
        </w:rPr>
        <w:t xml:space="preserve"> milijun </w:t>
      </w:r>
      <w:r w:rsidR="00034BF8">
        <w:rPr>
          <w:rFonts w:ascii="Times New Roman" w:hAnsi="Times New Roman" w:cs="Times New Roman"/>
          <w:szCs w:val="24"/>
        </w:rPr>
        <w:t xml:space="preserve">eura </w:t>
      </w:r>
      <w:r>
        <w:rPr>
          <w:rFonts w:ascii="Times New Roman" w:hAnsi="Times New Roman" w:cs="Times New Roman"/>
          <w:szCs w:val="24"/>
        </w:rPr>
        <w:t xml:space="preserve">iz </w:t>
      </w:r>
      <w:r w:rsidR="008C2588">
        <w:rPr>
          <w:rFonts w:ascii="Times New Roman" w:hAnsi="Times New Roman" w:cs="Times New Roman"/>
          <w:szCs w:val="24"/>
        </w:rPr>
        <w:t>kredita</w:t>
      </w:r>
      <w:r w:rsidR="003948FD">
        <w:rPr>
          <w:rFonts w:ascii="Times New Roman" w:hAnsi="Times New Roman" w:cs="Times New Roman"/>
          <w:szCs w:val="24"/>
        </w:rPr>
        <w:t xml:space="preserve"> kreditnih institucija izvan javnog sektora</w:t>
      </w:r>
      <w:r w:rsidR="005D565E"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 xml:space="preserve">S obzirom na plan, </w:t>
      </w:r>
      <w:r w:rsidR="00034BF8">
        <w:rPr>
          <w:rFonts w:ascii="Times New Roman" w:hAnsi="Times New Roman" w:cs="Times New Roman"/>
          <w:szCs w:val="24"/>
        </w:rPr>
        <w:t xml:space="preserve">ostvareno </w:t>
      </w:r>
      <w:r w:rsidR="00A5793B">
        <w:rPr>
          <w:rFonts w:ascii="Times New Roman" w:hAnsi="Times New Roman" w:cs="Times New Roman"/>
          <w:szCs w:val="24"/>
        </w:rPr>
        <w:t xml:space="preserve">je </w:t>
      </w:r>
      <w:r w:rsidR="00EC37C4">
        <w:rPr>
          <w:rFonts w:ascii="Times New Roman" w:hAnsi="Times New Roman" w:cs="Times New Roman"/>
          <w:szCs w:val="24"/>
        </w:rPr>
        <w:t>13,9</w:t>
      </w:r>
      <w:r w:rsidR="00A5793B">
        <w:rPr>
          <w:rFonts w:ascii="Times New Roman" w:hAnsi="Times New Roman" w:cs="Times New Roman"/>
          <w:szCs w:val="24"/>
        </w:rPr>
        <w:t>% planiranih primitaka od zaduženja.</w:t>
      </w:r>
      <w:r w:rsidR="00B16D68">
        <w:rPr>
          <w:rFonts w:ascii="Times New Roman" w:hAnsi="Times New Roman" w:cs="Times New Roman"/>
          <w:szCs w:val="24"/>
        </w:rPr>
        <w:t xml:space="preserve"> </w:t>
      </w:r>
    </w:p>
    <w:p w14:paraId="0D711503" w14:textId="695C44D8" w:rsidR="005D565E" w:rsidRPr="005D565E" w:rsidRDefault="00A5793B" w:rsidP="005D565E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Izdaci za otplat</w:t>
      </w:r>
      <w:r w:rsidR="003D26AB">
        <w:rPr>
          <w:rFonts w:ascii="Times New Roman" w:hAnsi="Times New Roman" w:cs="Times New Roman"/>
          <w:szCs w:val="24"/>
        </w:rPr>
        <w:t xml:space="preserve">u glavnice primljenih kredita i zajmova iznose </w:t>
      </w:r>
      <w:r w:rsidR="00B46602">
        <w:rPr>
          <w:rFonts w:ascii="Times New Roman" w:hAnsi="Times New Roman" w:cs="Times New Roman"/>
          <w:szCs w:val="24"/>
        </w:rPr>
        <w:t>15,89</w:t>
      </w:r>
      <w:r w:rsidR="003D26AB">
        <w:rPr>
          <w:rFonts w:ascii="Times New Roman" w:hAnsi="Times New Roman" w:cs="Times New Roman"/>
          <w:szCs w:val="24"/>
        </w:rPr>
        <w:t xml:space="preserve"> milijuna </w:t>
      </w:r>
      <w:r w:rsidR="00B46602">
        <w:rPr>
          <w:rFonts w:ascii="Times New Roman" w:hAnsi="Times New Roman" w:cs="Times New Roman"/>
          <w:szCs w:val="24"/>
        </w:rPr>
        <w:t>eura</w:t>
      </w:r>
      <w:r w:rsidR="003D26AB">
        <w:rPr>
          <w:rFonts w:ascii="Times New Roman" w:hAnsi="Times New Roman" w:cs="Times New Roman"/>
          <w:szCs w:val="24"/>
        </w:rPr>
        <w:t xml:space="preserve">, od čega se </w:t>
      </w:r>
      <w:r w:rsidR="00B46602">
        <w:rPr>
          <w:rFonts w:ascii="Times New Roman" w:hAnsi="Times New Roman" w:cs="Times New Roman"/>
          <w:szCs w:val="24"/>
        </w:rPr>
        <w:t>9,27</w:t>
      </w:r>
      <w:r w:rsidR="003D26AB">
        <w:rPr>
          <w:rFonts w:ascii="Times New Roman" w:hAnsi="Times New Roman" w:cs="Times New Roman"/>
          <w:szCs w:val="24"/>
        </w:rPr>
        <w:t xml:space="preserve"> milijuna </w:t>
      </w:r>
      <w:r w:rsidR="00B46602">
        <w:rPr>
          <w:rFonts w:ascii="Times New Roman" w:hAnsi="Times New Roman" w:cs="Times New Roman"/>
          <w:szCs w:val="24"/>
        </w:rPr>
        <w:t>eura</w:t>
      </w:r>
      <w:r w:rsidR="003D26AB">
        <w:rPr>
          <w:rFonts w:ascii="Times New Roman" w:hAnsi="Times New Roman" w:cs="Times New Roman"/>
          <w:szCs w:val="24"/>
        </w:rPr>
        <w:t xml:space="preserve"> </w:t>
      </w:r>
      <w:r w:rsidR="00034BF8">
        <w:rPr>
          <w:rFonts w:ascii="Times New Roman" w:hAnsi="Times New Roman" w:cs="Times New Roman"/>
          <w:szCs w:val="24"/>
        </w:rPr>
        <w:t xml:space="preserve">odnosi </w:t>
      </w:r>
      <w:r w:rsidR="003D26AB">
        <w:rPr>
          <w:rFonts w:ascii="Times New Roman" w:hAnsi="Times New Roman" w:cs="Times New Roman"/>
          <w:szCs w:val="24"/>
        </w:rPr>
        <w:t>na otplatu glavnice IBRD i EBRD zajmova</w:t>
      </w:r>
      <w:r w:rsidR="00810352">
        <w:rPr>
          <w:rFonts w:ascii="Times New Roman" w:hAnsi="Times New Roman" w:cs="Times New Roman"/>
          <w:szCs w:val="24"/>
        </w:rPr>
        <w:t xml:space="preserve">. Otplata glavnice </w:t>
      </w:r>
      <w:r w:rsidR="00810352" w:rsidRPr="005D565E">
        <w:rPr>
          <w:rFonts w:ascii="Times New Roman" w:hAnsi="Times New Roman" w:cs="Times New Roman"/>
          <w:bCs/>
          <w:szCs w:val="24"/>
        </w:rPr>
        <w:t xml:space="preserve">po investicijskim kreditima izvan javnog sektora kojima su financirani projekti </w:t>
      </w:r>
      <w:r w:rsidR="00810352" w:rsidRPr="005D565E">
        <w:rPr>
          <w:rFonts w:ascii="Times New Roman" w:hAnsi="Times New Roman" w:cs="Times New Roman"/>
          <w:szCs w:val="24"/>
        </w:rPr>
        <w:t>obnove, modernizacije i izgradnje željezničke infrastrukture</w:t>
      </w:r>
      <w:r w:rsidR="00810352">
        <w:rPr>
          <w:rFonts w:ascii="Times New Roman" w:hAnsi="Times New Roman" w:cs="Times New Roman"/>
          <w:szCs w:val="24"/>
        </w:rPr>
        <w:t xml:space="preserve"> iznosi </w:t>
      </w:r>
      <w:r w:rsidR="00B46602">
        <w:rPr>
          <w:rFonts w:ascii="Times New Roman" w:hAnsi="Times New Roman" w:cs="Times New Roman"/>
          <w:szCs w:val="24"/>
        </w:rPr>
        <w:t>6,61</w:t>
      </w:r>
      <w:r w:rsidR="003D26AB">
        <w:rPr>
          <w:rFonts w:ascii="Times New Roman" w:hAnsi="Times New Roman" w:cs="Times New Roman"/>
          <w:szCs w:val="24"/>
        </w:rPr>
        <w:t xml:space="preserve"> milijun </w:t>
      </w:r>
      <w:r w:rsidR="00F146BE">
        <w:rPr>
          <w:rFonts w:ascii="Times New Roman" w:hAnsi="Times New Roman" w:cs="Times New Roman"/>
          <w:szCs w:val="24"/>
        </w:rPr>
        <w:t>eura</w:t>
      </w:r>
      <w:r w:rsidR="00810352">
        <w:rPr>
          <w:rFonts w:ascii="Times New Roman" w:hAnsi="Times New Roman" w:cs="Times New Roman"/>
          <w:szCs w:val="24"/>
        </w:rPr>
        <w:t xml:space="preserve"> </w:t>
      </w:r>
      <w:r w:rsidR="00F44297">
        <w:rPr>
          <w:rFonts w:ascii="Times New Roman" w:hAnsi="Times New Roman" w:cs="Times New Roman"/>
          <w:szCs w:val="24"/>
        </w:rPr>
        <w:t xml:space="preserve">i </w:t>
      </w:r>
      <w:r w:rsidR="005D565E" w:rsidRPr="005D565E">
        <w:rPr>
          <w:rFonts w:ascii="Times New Roman" w:hAnsi="Times New Roman" w:cs="Times New Roman"/>
          <w:szCs w:val="24"/>
        </w:rPr>
        <w:t>podmiruje se iz državnog proračuna kroz poziciju prihoda od pomoći temeljem protestiranih jamstava.</w:t>
      </w:r>
      <w:r w:rsidR="005D565E">
        <w:rPr>
          <w:rFonts w:ascii="Times New Roman" w:hAnsi="Times New Roman" w:cs="Times New Roman"/>
          <w:szCs w:val="24"/>
        </w:rPr>
        <w:t xml:space="preserve"> Izdaci za otplatu glavnice primljenih kredita ostvareni su na razini od </w:t>
      </w:r>
      <w:r w:rsidR="00F146BE">
        <w:rPr>
          <w:rFonts w:ascii="Times New Roman" w:hAnsi="Times New Roman" w:cs="Times New Roman"/>
          <w:szCs w:val="24"/>
        </w:rPr>
        <w:t>15,2</w:t>
      </w:r>
      <w:r w:rsidR="005D565E">
        <w:rPr>
          <w:rFonts w:ascii="Times New Roman" w:hAnsi="Times New Roman" w:cs="Times New Roman"/>
          <w:szCs w:val="24"/>
        </w:rPr>
        <w:t>% planiranih sredstava.</w:t>
      </w:r>
    </w:p>
    <w:p w14:paraId="69E98086" w14:textId="74A077B8" w:rsidR="00CF0E29" w:rsidRDefault="00AE0AB6" w:rsidP="007A2E28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  <w:r w:rsidRPr="00BE1F90">
        <w:rPr>
          <w:rFonts w:ascii="Times New Roman" w:eastAsia="Times New Roman" w:hAnsi="Times New Roman" w:cs="Times New Roman"/>
          <w:lang w:eastAsia="hr-HR"/>
        </w:rPr>
        <w:t xml:space="preserve">Prijenos </w:t>
      </w:r>
      <w:r w:rsidRPr="001178F4">
        <w:rPr>
          <w:rFonts w:ascii="Times New Roman" w:eastAsia="Times New Roman" w:hAnsi="Times New Roman" w:cs="Times New Roman"/>
          <w:lang w:eastAsia="hr-HR"/>
        </w:rPr>
        <w:t xml:space="preserve">novčanih sredstava </w:t>
      </w:r>
      <w:r w:rsidR="00D17F2C">
        <w:rPr>
          <w:rFonts w:ascii="Times New Roman" w:eastAsia="Times New Roman" w:hAnsi="Times New Roman" w:cs="Times New Roman"/>
          <w:lang w:eastAsia="hr-HR"/>
        </w:rPr>
        <w:t>u sljedeće</w:t>
      </w:r>
      <w:r w:rsidRPr="00BE1F90">
        <w:rPr>
          <w:rFonts w:ascii="Times New Roman" w:eastAsia="Times New Roman" w:hAnsi="Times New Roman" w:cs="Times New Roman"/>
          <w:lang w:eastAsia="hr-HR"/>
        </w:rPr>
        <w:t xml:space="preserve"> razdoblj</w:t>
      </w:r>
      <w:r w:rsidR="00D17F2C">
        <w:rPr>
          <w:rFonts w:ascii="Times New Roman" w:eastAsia="Times New Roman" w:hAnsi="Times New Roman" w:cs="Times New Roman"/>
          <w:lang w:eastAsia="hr-HR"/>
        </w:rPr>
        <w:t xml:space="preserve">e na dan 30.06.2023. iznosi </w:t>
      </w:r>
      <w:r w:rsidR="002259A7">
        <w:rPr>
          <w:rFonts w:ascii="Times New Roman" w:eastAsia="Times New Roman" w:hAnsi="Times New Roman" w:cs="Times New Roman"/>
          <w:lang w:eastAsia="hr-HR"/>
        </w:rPr>
        <w:t>69,55</w:t>
      </w:r>
      <w:r w:rsidR="00BB7DC0">
        <w:rPr>
          <w:rFonts w:ascii="Times New Roman" w:eastAsia="Times New Roman" w:hAnsi="Times New Roman" w:cs="Times New Roman"/>
          <w:lang w:eastAsia="hr-HR"/>
        </w:rPr>
        <w:t xml:space="preserve"> milijuna eura</w:t>
      </w:r>
      <w:r>
        <w:rPr>
          <w:rFonts w:ascii="Times New Roman" w:eastAsia="Times New Roman" w:hAnsi="Times New Roman" w:cs="Times New Roman"/>
          <w:lang w:eastAsia="hr-HR"/>
        </w:rPr>
        <w:t xml:space="preserve"> od čega se </w:t>
      </w:r>
      <w:r w:rsidR="007E3564">
        <w:rPr>
          <w:rFonts w:ascii="Times New Roman" w:eastAsia="Times New Roman" w:hAnsi="Times New Roman" w:cs="Times New Roman"/>
          <w:lang w:eastAsia="hr-HR"/>
        </w:rPr>
        <w:t>84,0</w:t>
      </w:r>
      <w:r>
        <w:rPr>
          <w:rFonts w:ascii="Times New Roman" w:eastAsia="Times New Roman" w:hAnsi="Times New Roman" w:cs="Times New Roman"/>
          <w:lang w:eastAsia="hr-HR"/>
        </w:rPr>
        <w:t xml:space="preserve">% odnosi na </w:t>
      </w:r>
      <w:r w:rsidR="00672D71">
        <w:rPr>
          <w:rFonts w:ascii="Times New Roman" w:eastAsia="Times New Roman" w:hAnsi="Times New Roman" w:cs="Times New Roman"/>
          <w:lang w:eastAsia="hr-HR"/>
        </w:rPr>
        <w:t xml:space="preserve">sredstva na računima za posebne namjene </w:t>
      </w:r>
      <w:r w:rsidR="00E54913">
        <w:rPr>
          <w:rFonts w:ascii="Times New Roman" w:eastAsia="Times New Roman" w:hAnsi="Times New Roman" w:cs="Times New Roman"/>
          <w:lang w:eastAsia="hr-HR"/>
        </w:rPr>
        <w:t xml:space="preserve">(EU projekti), </w:t>
      </w:r>
      <w:r w:rsidR="00BE25EF">
        <w:rPr>
          <w:rFonts w:ascii="Times New Roman" w:eastAsia="Times New Roman" w:hAnsi="Times New Roman" w:cs="Times New Roman"/>
          <w:lang w:eastAsia="hr-HR"/>
        </w:rPr>
        <w:t>1</w:t>
      </w:r>
      <w:r w:rsidR="002E7DBB">
        <w:rPr>
          <w:rFonts w:ascii="Times New Roman" w:eastAsia="Times New Roman" w:hAnsi="Times New Roman" w:cs="Times New Roman"/>
          <w:lang w:eastAsia="hr-HR"/>
        </w:rPr>
        <w:t>1</w:t>
      </w:r>
      <w:r w:rsidR="00BE25EF">
        <w:rPr>
          <w:rFonts w:ascii="Times New Roman" w:eastAsia="Times New Roman" w:hAnsi="Times New Roman" w:cs="Times New Roman"/>
          <w:lang w:eastAsia="hr-HR"/>
        </w:rPr>
        <w:t>,</w:t>
      </w:r>
      <w:r w:rsidR="007E3564">
        <w:rPr>
          <w:rFonts w:ascii="Times New Roman" w:eastAsia="Times New Roman" w:hAnsi="Times New Roman" w:cs="Times New Roman"/>
          <w:lang w:eastAsia="hr-HR"/>
        </w:rPr>
        <w:t>2</w:t>
      </w:r>
      <w:r w:rsidR="00BE25EF">
        <w:rPr>
          <w:rFonts w:ascii="Times New Roman" w:eastAsia="Times New Roman" w:hAnsi="Times New Roman" w:cs="Times New Roman"/>
          <w:lang w:eastAsia="hr-HR"/>
        </w:rPr>
        <w:t>% na povučena sredstva iz investicijskih kredita</w:t>
      </w:r>
      <w:r w:rsidR="007A3524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CB6EBC">
        <w:rPr>
          <w:rFonts w:ascii="Times New Roman" w:eastAsia="Times New Roman" w:hAnsi="Times New Roman" w:cs="Times New Roman"/>
          <w:lang w:eastAsia="hr-HR"/>
        </w:rPr>
        <w:t>4,8</w:t>
      </w:r>
      <w:r w:rsidR="00340179">
        <w:rPr>
          <w:rFonts w:ascii="Times New Roman" w:eastAsia="Times New Roman" w:hAnsi="Times New Roman" w:cs="Times New Roman"/>
          <w:lang w:eastAsia="hr-HR"/>
        </w:rPr>
        <w:t xml:space="preserve">% </w:t>
      </w:r>
      <w:r w:rsidR="00CF0E29">
        <w:rPr>
          <w:rFonts w:ascii="Times New Roman" w:eastAsia="Times New Roman" w:hAnsi="Times New Roman" w:cs="Times New Roman"/>
          <w:lang w:eastAsia="hr-HR"/>
        </w:rPr>
        <w:t>na sredstva po računima za redovno poslovanje</w:t>
      </w:r>
      <w:r w:rsidR="007A3524">
        <w:rPr>
          <w:rFonts w:ascii="Times New Roman" w:eastAsia="Times New Roman" w:hAnsi="Times New Roman" w:cs="Times New Roman"/>
          <w:lang w:eastAsia="hr-HR"/>
        </w:rPr>
        <w:t>.</w:t>
      </w:r>
    </w:p>
    <w:p w14:paraId="58C344BE" w14:textId="4230D3A3" w:rsidR="00B6657C" w:rsidRDefault="00B6657C" w:rsidP="007A2E28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633E031" w14:textId="071A552B" w:rsidR="00586F40" w:rsidRDefault="00586F40" w:rsidP="007A2E28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841F936" w14:textId="660DD07E" w:rsidR="00927B35" w:rsidRDefault="00927B35" w:rsidP="007A2E28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B045727" w14:textId="77777777" w:rsidR="00927B35" w:rsidRDefault="00927B35" w:rsidP="007A2E28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  <w:bookmarkStart w:id="0" w:name="_GoBack"/>
      <w:bookmarkEnd w:id="0"/>
    </w:p>
    <w:p w14:paraId="32C153DF" w14:textId="219C3E3F" w:rsidR="00B6657C" w:rsidRPr="00586F40" w:rsidRDefault="00A769E1" w:rsidP="00586F40">
      <w:pPr>
        <w:spacing w:after="160"/>
        <w:jc w:val="center"/>
        <w:rPr>
          <w:rFonts w:ascii="Times New Roman" w:hAnsi="Times New Roman" w:cs="Times New Roman"/>
          <w:b/>
          <w:sz w:val="28"/>
          <w:szCs w:val="22"/>
          <w:lang w:eastAsia="hr-HR"/>
        </w:rPr>
      </w:pPr>
      <w:r w:rsidRPr="00586F40">
        <w:rPr>
          <w:rFonts w:ascii="Times New Roman" w:hAnsi="Times New Roman" w:cs="Times New Roman"/>
          <w:b/>
          <w:sz w:val="28"/>
          <w:szCs w:val="22"/>
          <w:lang w:eastAsia="hr-HR"/>
        </w:rPr>
        <w:t xml:space="preserve">IZVJEŠTAJ O ZADUŽIVANJU NA DOMAĆEM I STRANOM TRŽIŠTU </w:t>
      </w:r>
      <w:r w:rsidR="00586F40">
        <w:rPr>
          <w:rFonts w:ascii="Times New Roman" w:hAnsi="Times New Roman" w:cs="Times New Roman"/>
          <w:b/>
          <w:sz w:val="28"/>
          <w:szCs w:val="22"/>
          <w:lang w:eastAsia="hr-HR"/>
        </w:rPr>
        <w:t xml:space="preserve">NOVCA I </w:t>
      </w:r>
      <w:r w:rsidRPr="00586F40">
        <w:rPr>
          <w:rFonts w:ascii="Times New Roman" w:hAnsi="Times New Roman" w:cs="Times New Roman"/>
          <w:b/>
          <w:sz w:val="28"/>
          <w:szCs w:val="22"/>
          <w:lang w:eastAsia="hr-HR"/>
        </w:rPr>
        <w:t>KAPITALA</w:t>
      </w:r>
    </w:p>
    <w:p w14:paraId="0CAC9DC1" w14:textId="4EBD5702" w:rsidR="002359AB" w:rsidRDefault="00A73728" w:rsidP="001D5B58">
      <w:pPr>
        <w:spacing w:after="240" w:line="240" w:lineRule="auto"/>
        <w:rPr>
          <w:rFonts w:ascii="Times New Roman" w:eastAsia="Times New Roman" w:hAnsi="Times New Roman" w:cs="Times New Roman"/>
          <w:lang w:eastAsia="hr-HR"/>
        </w:rPr>
      </w:pPr>
      <w:r w:rsidRPr="00A73728">
        <w:rPr>
          <w:rFonts w:ascii="Times New Roman" w:eastAsia="Times New Roman" w:hAnsi="Times New Roman" w:cs="Times New Roman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lang w:eastAsia="hr-HR"/>
        </w:rPr>
        <w:t>prvom polugodištu 2023. godine</w:t>
      </w:r>
      <w:r w:rsidR="00E57277">
        <w:rPr>
          <w:rFonts w:ascii="Times New Roman" w:eastAsia="Times New Roman" w:hAnsi="Times New Roman" w:cs="Times New Roman"/>
          <w:lang w:eastAsia="hr-HR"/>
        </w:rPr>
        <w:t xml:space="preserve">, HŽ Infrastruktura sklopila je sljedeće ugovore o </w:t>
      </w:r>
      <w:r w:rsidR="00957BB7">
        <w:rPr>
          <w:rFonts w:ascii="Times New Roman" w:eastAsia="Times New Roman" w:hAnsi="Times New Roman" w:cs="Times New Roman"/>
          <w:lang w:eastAsia="hr-HR"/>
        </w:rPr>
        <w:t>kreditu</w:t>
      </w:r>
      <w:r w:rsidR="00E57277">
        <w:rPr>
          <w:rFonts w:ascii="Times New Roman" w:eastAsia="Times New Roman" w:hAnsi="Times New Roman" w:cs="Times New Roman"/>
          <w:lang w:eastAsia="hr-HR"/>
        </w:rPr>
        <w:t xml:space="preserve"> s državnim jamstvom:</w:t>
      </w:r>
    </w:p>
    <w:tbl>
      <w:tblPr>
        <w:tblStyle w:val="Reetkatablice"/>
        <w:tblW w:w="9066" w:type="dxa"/>
        <w:tblLook w:val="04A0" w:firstRow="1" w:lastRow="0" w:firstColumn="1" w:lastColumn="0" w:noHBand="0" w:noVBand="1"/>
      </w:tblPr>
      <w:tblGrid>
        <w:gridCol w:w="2972"/>
        <w:gridCol w:w="1559"/>
        <w:gridCol w:w="1559"/>
        <w:gridCol w:w="1843"/>
        <w:gridCol w:w="1133"/>
      </w:tblGrid>
      <w:tr w:rsidR="005A7C48" w:rsidRPr="00F169E0" w14:paraId="38CC0FAB" w14:textId="77777777" w:rsidTr="00026DFF">
        <w:tc>
          <w:tcPr>
            <w:tcW w:w="2972" w:type="dxa"/>
            <w:vAlign w:val="center"/>
          </w:tcPr>
          <w:p w14:paraId="1CAC7549" w14:textId="19813775" w:rsidR="005A7C48" w:rsidRPr="00F169E0" w:rsidRDefault="00185C33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F169E0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Davatelj kredita</w:t>
            </w:r>
          </w:p>
        </w:tc>
        <w:tc>
          <w:tcPr>
            <w:tcW w:w="1559" w:type="dxa"/>
            <w:vAlign w:val="center"/>
          </w:tcPr>
          <w:p w14:paraId="55A170D8" w14:textId="0B274C1C" w:rsidR="005A7C48" w:rsidRPr="00F169E0" w:rsidRDefault="001676C6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Instrument osiguranja plaćanja</w:t>
            </w:r>
          </w:p>
        </w:tc>
        <w:tc>
          <w:tcPr>
            <w:tcW w:w="1559" w:type="dxa"/>
            <w:vAlign w:val="center"/>
          </w:tcPr>
          <w:p w14:paraId="1F1C248C" w14:textId="4A91C78E" w:rsidR="005A7C48" w:rsidRPr="00F169E0" w:rsidRDefault="005A7C48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F169E0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Iznos kredita</w:t>
            </w:r>
          </w:p>
        </w:tc>
        <w:tc>
          <w:tcPr>
            <w:tcW w:w="1843" w:type="dxa"/>
            <w:vAlign w:val="center"/>
          </w:tcPr>
          <w:p w14:paraId="15B2DD16" w14:textId="3FD3615C" w:rsidR="005A7C48" w:rsidRPr="00F169E0" w:rsidRDefault="005A7C48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F169E0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Kamatna stopa</w:t>
            </w:r>
          </w:p>
        </w:tc>
        <w:tc>
          <w:tcPr>
            <w:tcW w:w="1133" w:type="dxa"/>
            <w:vAlign w:val="center"/>
          </w:tcPr>
          <w:p w14:paraId="09D860C0" w14:textId="13BE62AC" w:rsidR="005A7C48" w:rsidRPr="00F169E0" w:rsidRDefault="005A7C48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F169E0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Rok otplate</w:t>
            </w:r>
          </w:p>
        </w:tc>
      </w:tr>
      <w:tr w:rsidR="005A7C48" w:rsidRPr="00026DFF" w14:paraId="2B806E64" w14:textId="77777777" w:rsidTr="00026DFF">
        <w:trPr>
          <w:trHeight w:val="340"/>
        </w:trPr>
        <w:tc>
          <w:tcPr>
            <w:tcW w:w="2972" w:type="dxa"/>
            <w:vAlign w:val="center"/>
          </w:tcPr>
          <w:p w14:paraId="0781E7A5" w14:textId="45F07FA5" w:rsidR="005A7C48" w:rsidRPr="00026DFF" w:rsidRDefault="005A7C48" w:rsidP="00026D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Hrvatska banka za obnovu i razvoj</w:t>
            </w:r>
          </w:p>
        </w:tc>
        <w:tc>
          <w:tcPr>
            <w:tcW w:w="1559" w:type="dxa"/>
            <w:vAlign w:val="center"/>
          </w:tcPr>
          <w:p w14:paraId="7EEF5174" w14:textId="29A36D14" w:rsidR="005A7C48" w:rsidRPr="00026DFF" w:rsidRDefault="001676C6" w:rsidP="00026D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državno jamstvo</w:t>
            </w:r>
          </w:p>
        </w:tc>
        <w:tc>
          <w:tcPr>
            <w:tcW w:w="1559" w:type="dxa"/>
            <w:vAlign w:val="center"/>
          </w:tcPr>
          <w:p w14:paraId="1DA05439" w14:textId="5B76FDB1" w:rsidR="005A7C48" w:rsidRPr="00026DFF" w:rsidRDefault="005A7C48" w:rsidP="00026D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32.517.000 EUR</w:t>
            </w:r>
          </w:p>
        </w:tc>
        <w:tc>
          <w:tcPr>
            <w:tcW w:w="1843" w:type="dxa"/>
            <w:vAlign w:val="center"/>
          </w:tcPr>
          <w:p w14:paraId="2ACBD9C9" w14:textId="2A6909F6" w:rsidR="005A7C48" w:rsidRPr="00026DFF" w:rsidRDefault="005A7C48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6M EURIBOR +0,77</w:t>
            </w:r>
          </w:p>
        </w:tc>
        <w:tc>
          <w:tcPr>
            <w:tcW w:w="1133" w:type="dxa"/>
            <w:vAlign w:val="center"/>
          </w:tcPr>
          <w:p w14:paraId="696ECE02" w14:textId="6A11853F" w:rsidR="005A7C48" w:rsidRPr="00026DFF" w:rsidRDefault="005A7C48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31.12.2024.</w:t>
            </w:r>
          </w:p>
        </w:tc>
      </w:tr>
      <w:tr w:rsidR="004F560F" w:rsidRPr="00026DFF" w14:paraId="7F622F3A" w14:textId="77777777" w:rsidTr="00026DFF">
        <w:trPr>
          <w:trHeight w:val="340"/>
        </w:trPr>
        <w:tc>
          <w:tcPr>
            <w:tcW w:w="2972" w:type="dxa"/>
            <w:vAlign w:val="center"/>
          </w:tcPr>
          <w:p w14:paraId="32523C6D" w14:textId="6B3B4AA2" w:rsidR="004F560F" w:rsidRPr="00026DFF" w:rsidRDefault="004F560F" w:rsidP="00026DF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Privredna banka Zagreb</w:t>
            </w:r>
          </w:p>
        </w:tc>
        <w:tc>
          <w:tcPr>
            <w:tcW w:w="1559" w:type="dxa"/>
            <w:vAlign w:val="center"/>
          </w:tcPr>
          <w:p w14:paraId="17E4FA3E" w14:textId="4939A598" w:rsidR="004F560F" w:rsidRPr="00026DFF" w:rsidRDefault="001676C6" w:rsidP="00026D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državno jamstvo</w:t>
            </w:r>
          </w:p>
        </w:tc>
        <w:tc>
          <w:tcPr>
            <w:tcW w:w="1559" w:type="dxa"/>
            <w:vAlign w:val="center"/>
          </w:tcPr>
          <w:p w14:paraId="4660CB6E" w14:textId="77777777" w:rsidR="004F560F" w:rsidRPr="00026DFF" w:rsidRDefault="004F560F" w:rsidP="00026D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32.517.000 EUR</w:t>
            </w:r>
          </w:p>
        </w:tc>
        <w:tc>
          <w:tcPr>
            <w:tcW w:w="1843" w:type="dxa"/>
            <w:vAlign w:val="center"/>
          </w:tcPr>
          <w:p w14:paraId="0A690990" w14:textId="23A2F6CD" w:rsidR="004F560F" w:rsidRPr="00026DFF" w:rsidRDefault="004F560F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6M EURIBOR +0,</w:t>
            </w:r>
            <w:r w:rsidR="00AF5064"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0</w:t>
            </w: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7</w:t>
            </w:r>
          </w:p>
        </w:tc>
        <w:tc>
          <w:tcPr>
            <w:tcW w:w="1133" w:type="dxa"/>
            <w:vAlign w:val="center"/>
          </w:tcPr>
          <w:p w14:paraId="7AA0A18A" w14:textId="77777777" w:rsidR="004F560F" w:rsidRPr="00026DFF" w:rsidRDefault="004F560F" w:rsidP="00026D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026DFF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31.12.2024.</w:t>
            </w:r>
          </w:p>
        </w:tc>
      </w:tr>
    </w:tbl>
    <w:p w14:paraId="2A2F8B5F" w14:textId="6753BCC9" w:rsidR="00154C76" w:rsidRDefault="00371EDF" w:rsidP="001D5B58">
      <w:pPr>
        <w:spacing w:before="120" w:line="240" w:lineRule="auto"/>
        <w:rPr>
          <w:rFonts w:ascii="Times New Roman" w:eastAsia="Times New Roman" w:hAnsi="Times New Roman" w:cs="Times New Roman"/>
          <w:lang w:eastAsia="hr-HR"/>
        </w:rPr>
      </w:pPr>
      <w:r w:rsidRPr="008D697B">
        <w:rPr>
          <w:rFonts w:ascii="Times New Roman" w:eastAsia="Times New Roman" w:hAnsi="Times New Roman" w:cs="Times New Roman"/>
          <w:lang w:eastAsia="hr-HR"/>
        </w:rPr>
        <w:lastRenderedPageBreak/>
        <w:t xml:space="preserve">Predmetni krediti koriste se po </w:t>
      </w:r>
      <w:proofErr w:type="spellStart"/>
      <w:r w:rsidRPr="008D697B">
        <w:rPr>
          <w:rFonts w:ascii="Times New Roman" w:eastAsia="Times New Roman" w:hAnsi="Times New Roman" w:cs="Times New Roman"/>
          <w:lang w:eastAsia="hr-HR"/>
        </w:rPr>
        <w:t>revolving</w:t>
      </w:r>
      <w:proofErr w:type="spellEnd"/>
      <w:r w:rsidRPr="008D697B">
        <w:rPr>
          <w:rFonts w:ascii="Times New Roman" w:eastAsia="Times New Roman" w:hAnsi="Times New Roman" w:cs="Times New Roman"/>
          <w:lang w:eastAsia="hr-HR"/>
        </w:rPr>
        <w:t xml:space="preserve"> principu</w:t>
      </w:r>
      <w:r w:rsidR="00AB43F2">
        <w:rPr>
          <w:rFonts w:ascii="Times New Roman" w:eastAsia="Times New Roman" w:hAnsi="Times New Roman" w:cs="Times New Roman"/>
          <w:lang w:eastAsia="hr-HR"/>
        </w:rPr>
        <w:t xml:space="preserve">, a namjena je </w:t>
      </w:r>
      <w:r w:rsidR="006B3D51" w:rsidRPr="008D697B">
        <w:rPr>
          <w:rFonts w:ascii="Times New Roman" w:eastAsia="Times New Roman" w:hAnsi="Times New Roman" w:cs="Times New Roman"/>
          <w:lang w:eastAsia="hr-HR"/>
        </w:rPr>
        <w:t>financiranje projekata iz CEF programa s ciljem održavanja dinamike ispunjenja financijskih obveza prema izvođačima, a vezano za dinamiku priljeva EU sredstava.</w:t>
      </w:r>
    </w:p>
    <w:p w14:paraId="127E4E87" w14:textId="7F81683D" w:rsidR="0036002A" w:rsidRDefault="0036002A" w:rsidP="001D5B58">
      <w:pPr>
        <w:spacing w:before="12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Državno jamstvo izdaje se u visini kredita uvećano za kamate</w:t>
      </w:r>
      <w:r w:rsidR="00FF6BB8">
        <w:rPr>
          <w:rFonts w:ascii="Times New Roman" w:eastAsia="Times New Roman" w:hAnsi="Times New Roman" w:cs="Times New Roman"/>
          <w:lang w:eastAsia="hr-HR"/>
        </w:rPr>
        <w:t>, naknade i ostale troškove vezane za predmetne kredite.</w:t>
      </w:r>
    </w:p>
    <w:p w14:paraId="2F93EE02" w14:textId="4F7219C7" w:rsidR="00E631E5" w:rsidRDefault="00E631E5" w:rsidP="007A2E28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Na dan 30.</w:t>
      </w:r>
      <w:r w:rsidR="00837534">
        <w:rPr>
          <w:rFonts w:ascii="Times New Roman" w:eastAsia="Times New Roman" w:hAnsi="Times New Roman" w:cs="Times New Roman"/>
          <w:lang w:eastAsia="hr-HR"/>
        </w:rPr>
        <w:t xml:space="preserve">06.2023. godine novosklopljena kreditna zaduženja nisu </w:t>
      </w:r>
      <w:r w:rsidR="00AC2FD1">
        <w:rPr>
          <w:rFonts w:ascii="Times New Roman" w:eastAsia="Times New Roman" w:hAnsi="Times New Roman" w:cs="Times New Roman"/>
          <w:lang w:eastAsia="hr-HR"/>
        </w:rPr>
        <w:t>aktivn</w:t>
      </w:r>
      <w:r w:rsidR="00D55197">
        <w:rPr>
          <w:rFonts w:ascii="Times New Roman" w:eastAsia="Times New Roman" w:hAnsi="Times New Roman" w:cs="Times New Roman"/>
          <w:lang w:eastAsia="hr-HR"/>
        </w:rPr>
        <w:t xml:space="preserve">a budući da </w:t>
      </w:r>
      <w:r w:rsidR="0036002A">
        <w:rPr>
          <w:rFonts w:ascii="Times New Roman" w:eastAsia="Times New Roman" w:hAnsi="Times New Roman" w:cs="Times New Roman"/>
          <w:lang w:eastAsia="hr-HR"/>
        </w:rPr>
        <w:t>do 30.06.2023. nije izdano državno jamstvo</w:t>
      </w:r>
      <w:r w:rsidR="00B3578F">
        <w:rPr>
          <w:rFonts w:ascii="Times New Roman" w:eastAsia="Times New Roman" w:hAnsi="Times New Roman" w:cs="Times New Roman"/>
          <w:lang w:eastAsia="hr-HR"/>
        </w:rPr>
        <w:t>.</w:t>
      </w:r>
      <w:r w:rsidR="0036002A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48371BF" w14:textId="51672168" w:rsidR="00AF5064" w:rsidRDefault="00AF5064" w:rsidP="007A2E28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C7967E5" w14:textId="77777777" w:rsidR="00586F40" w:rsidRDefault="00586F40" w:rsidP="007A2E28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9701484" w14:textId="37C0550B" w:rsidR="00B3578F" w:rsidRPr="00586F40" w:rsidRDefault="00B3578F" w:rsidP="00586F40">
      <w:pPr>
        <w:spacing w:after="160"/>
        <w:jc w:val="center"/>
        <w:rPr>
          <w:rFonts w:ascii="Times New Roman" w:hAnsi="Times New Roman" w:cs="Times New Roman"/>
          <w:b/>
          <w:sz w:val="28"/>
          <w:szCs w:val="22"/>
          <w:lang w:eastAsia="hr-HR"/>
        </w:rPr>
      </w:pPr>
      <w:r w:rsidRPr="00586F40">
        <w:rPr>
          <w:rFonts w:ascii="Times New Roman" w:hAnsi="Times New Roman" w:cs="Times New Roman"/>
          <w:b/>
          <w:sz w:val="28"/>
          <w:szCs w:val="22"/>
          <w:lang w:eastAsia="hr-HR"/>
        </w:rPr>
        <w:t xml:space="preserve">IZVJEŠTAJ O </w:t>
      </w:r>
      <w:r w:rsidR="00155DD4" w:rsidRPr="00586F40">
        <w:rPr>
          <w:rFonts w:ascii="Times New Roman" w:hAnsi="Times New Roman" w:cs="Times New Roman"/>
          <w:b/>
          <w:sz w:val="28"/>
          <w:szCs w:val="22"/>
          <w:lang w:eastAsia="hr-HR"/>
        </w:rPr>
        <w:t>DANIM JAMSTVIMA I PLAĆANJIMA PO PROTESTIRANIM JAMSTVIMA</w:t>
      </w:r>
    </w:p>
    <w:p w14:paraId="6536EDA1" w14:textId="15716B06" w:rsidR="00175673" w:rsidRDefault="00175673" w:rsidP="004A3713">
      <w:pPr>
        <w:pStyle w:val="Odlomakpopisa"/>
        <w:spacing w:line="240" w:lineRule="auto"/>
        <w:ind w:left="0"/>
        <w:rPr>
          <w:rFonts w:ascii="Times New Roman" w:eastAsia="Times New Roman" w:hAnsi="Times New Roman" w:cs="Times New Roman"/>
          <w:lang w:eastAsia="hr-HR"/>
        </w:rPr>
      </w:pPr>
      <w:r w:rsidRPr="007E3564">
        <w:rPr>
          <w:rFonts w:ascii="Times New Roman" w:eastAsia="Times New Roman" w:hAnsi="Times New Roman" w:cs="Times New Roman"/>
          <w:lang w:eastAsia="hr-HR"/>
        </w:rPr>
        <w:t xml:space="preserve">U prvom polugodištu 2023. godine HŽ Infrastruktura izdala je </w:t>
      </w:r>
      <w:r w:rsidR="007E2383" w:rsidRPr="007E3564">
        <w:rPr>
          <w:rFonts w:ascii="Times New Roman" w:eastAsia="Times New Roman" w:hAnsi="Times New Roman" w:cs="Times New Roman"/>
          <w:lang w:eastAsia="hr-HR"/>
        </w:rPr>
        <w:t>sljedeća jamstva</w:t>
      </w:r>
      <w:r w:rsidR="00616307" w:rsidRPr="007E3564">
        <w:rPr>
          <w:rFonts w:ascii="Times New Roman" w:eastAsia="Times New Roman" w:hAnsi="Times New Roman" w:cs="Times New Roman"/>
          <w:lang w:eastAsia="hr-HR"/>
        </w:rPr>
        <w:t xml:space="preserve"> kao sudužnik</w:t>
      </w:r>
      <w:r w:rsidR="00616307">
        <w:rPr>
          <w:rFonts w:ascii="Times New Roman" w:eastAsia="Times New Roman" w:hAnsi="Times New Roman" w:cs="Times New Roman"/>
          <w:lang w:eastAsia="hr-HR"/>
        </w:rPr>
        <w:t xml:space="preserve"> po kratkoročnim kreditima ovisnog društva Pružne građevine</w:t>
      </w:r>
      <w:r w:rsidR="007E2383">
        <w:rPr>
          <w:rFonts w:ascii="Times New Roman" w:eastAsia="Times New Roman" w:hAnsi="Times New Roman" w:cs="Times New Roman"/>
          <w:lang w:eastAsia="hr-HR"/>
        </w:rPr>
        <w:t>:</w:t>
      </w:r>
    </w:p>
    <w:p w14:paraId="300B7E9E" w14:textId="77777777" w:rsidR="001C075A" w:rsidRDefault="001C075A" w:rsidP="004F4E4E">
      <w:pPr>
        <w:pStyle w:val="Odlomakpopisa"/>
        <w:spacing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Reetkatablice"/>
        <w:tblW w:w="9072" w:type="dxa"/>
        <w:tblInd w:w="-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418"/>
        <w:gridCol w:w="1276"/>
        <w:gridCol w:w="1275"/>
        <w:gridCol w:w="1134"/>
        <w:gridCol w:w="1134"/>
      </w:tblGrid>
      <w:tr w:rsidR="00485789" w:rsidRPr="00B83E53" w14:paraId="54A8ADEA" w14:textId="77777777" w:rsidTr="00E57572">
        <w:trPr>
          <w:trHeight w:val="424"/>
        </w:trPr>
        <w:tc>
          <w:tcPr>
            <w:tcW w:w="1701" w:type="dxa"/>
            <w:vAlign w:val="center"/>
          </w:tcPr>
          <w:p w14:paraId="4C634B92" w14:textId="630D9CD4" w:rsidR="00485789" w:rsidRPr="00485789" w:rsidRDefault="00485789" w:rsidP="006146FF">
            <w:pPr>
              <w:pStyle w:val="Odlomakpopisa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485789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Naziv kredita</w:t>
            </w:r>
          </w:p>
        </w:tc>
        <w:tc>
          <w:tcPr>
            <w:tcW w:w="1134" w:type="dxa"/>
            <w:vAlign w:val="center"/>
          </w:tcPr>
          <w:p w14:paraId="1856FD2D" w14:textId="30E023FF" w:rsidR="00485789" w:rsidRPr="00485789" w:rsidRDefault="009D4096" w:rsidP="006146FF">
            <w:pPr>
              <w:pStyle w:val="Odlomakpopisa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Korisnik jamstva</w:t>
            </w:r>
          </w:p>
        </w:tc>
        <w:tc>
          <w:tcPr>
            <w:tcW w:w="1418" w:type="dxa"/>
            <w:vAlign w:val="center"/>
          </w:tcPr>
          <w:p w14:paraId="4CB501C4" w14:textId="766F8597" w:rsidR="00485789" w:rsidRPr="00485789" w:rsidRDefault="009D4096" w:rsidP="006146FF">
            <w:pPr>
              <w:pStyle w:val="Odlomakpopisa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Tražitelj jamstva</w:t>
            </w:r>
          </w:p>
        </w:tc>
        <w:tc>
          <w:tcPr>
            <w:tcW w:w="1276" w:type="dxa"/>
            <w:vAlign w:val="center"/>
          </w:tcPr>
          <w:p w14:paraId="2A97E4E7" w14:textId="78B875FE" w:rsidR="00485789" w:rsidRPr="00485789" w:rsidRDefault="00485789" w:rsidP="006146FF">
            <w:pPr>
              <w:pStyle w:val="Odlomakpopisa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485789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Datum izdavanja jamstva</w:t>
            </w:r>
          </w:p>
        </w:tc>
        <w:tc>
          <w:tcPr>
            <w:tcW w:w="1275" w:type="dxa"/>
            <w:vAlign w:val="center"/>
          </w:tcPr>
          <w:p w14:paraId="2CB783AA" w14:textId="6BD0384C" w:rsidR="00485789" w:rsidRPr="00485789" w:rsidRDefault="00485789" w:rsidP="006146FF">
            <w:pPr>
              <w:pStyle w:val="Odlomakpopisa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485789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Iznos jamstva u EUR</w:t>
            </w:r>
          </w:p>
        </w:tc>
        <w:tc>
          <w:tcPr>
            <w:tcW w:w="1134" w:type="dxa"/>
            <w:vAlign w:val="center"/>
          </w:tcPr>
          <w:p w14:paraId="2783F8AD" w14:textId="1B1D775C" w:rsidR="00485789" w:rsidRPr="00485789" w:rsidRDefault="00485789" w:rsidP="006146FF">
            <w:pPr>
              <w:pStyle w:val="Odlomakpopisa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485789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Rok važenja jamstva</w:t>
            </w:r>
          </w:p>
        </w:tc>
        <w:tc>
          <w:tcPr>
            <w:tcW w:w="1134" w:type="dxa"/>
            <w:vAlign w:val="center"/>
          </w:tcPr>
          <w:p w14:paraId="764026BE" w14:textId="4A7059A6" w:rsidR="00485789" w:rsidRPr="00485789" w:rsidRDefault="00485789" w:rsidP="006146FF">
            <w:pPr>
              <w:pStyle w:val="Odlomakpopisa"/>
              <w:spacing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</w:pPr>
            <w:r w:rsidRPr="00485789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Dani instrum</w:t>
            </w:r>
            <w:r w:rsidR="006146FF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ent</w:t>
            </w:r>
            <w:r w:rsidR="00FE6D0D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 xml:space="preserve"> </w:t>
            </w:r>
            <w:r w:rsidRPr="00485789">
              <w:rPr>
                <w:rFonts w:ascii="Times New Roman" w:eastAsia="Times New Roman" w:hAnsi="Times New Roman" w:cs="Times New Roman"/>
                <w:b/>
                <w:bCs/>
                <w:sz w:val="18"/>
                <w:szCs w:val="14"/>
                <w:lang w:eastAsia="hr-HR"/>
              </w:rPr>
              <w:t>osiguranja</w:t>
            </w:r>
          </w:p>
        </w:tc>
      </w:tr>
      <w:tr w:rsidR="00485789" w:rsidRPr="00B83E53" w14:paraId="6DC44208" w14:textId="77777777" w:rsidTr="00E57572">
        <w:tc>
          <w:tcPr>
            <w:tcW w:w="1701" w:type="dxa"/>
            <w:vAlign w:val="center"/>
          </w:tcPr>
          <w:p w14:paraId="6624DA9F" w14:textId="53F6D416" w:rsidR="00485789" w:rsidRPr="00B83E53" w:rsidRDefault="00485789" w:rsidP="006146FF">
            <w:pPr>
              <w:pStyle w:val="Odlomakpopisa"/>
              <w:spacing w:line="240" w:lineRule="auto"/>
              <w:ind w:left="0" w:right="7"/>
              <w:jc w:val="lef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B83E53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Ugovor o okvirnom kreditu po transakcijskom računu</w:t>
            </w:r>
          </w:p>
        </w:tc>
        <w:tc>
          <w:tcPr>
            <w:tcW w:w="1134" w:type="dxa"/>
            <w:vAlign w:val="center"/>
          </w:tcPr>
          <w:p w14:paraId="2EE40631" w14:textId="0A53A396" w:rsidR="00485789" w:rsidRPr="00B83E53" w:rsidRDefault="00485789" w:rsidP="009C0023">
            <w:pPr>
              <w:pStyle w:val="Odlomakpopisa"/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B83E53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Zagrebačka banka d.d.</w:t>
            </w:r>
          </w:p>
        </w:tc>
        <w:tc>
          <w:tcPr>
            <w:tcW w:w="1418" w:type="dxa"/>
            <w:vAlign w:val="center"/>
          </w:tcPr>
          <w:p w14:paraId="4275670D" w14:textId="76B49B55" w:rsidR="00485789" w:rsidRDefault="00485789" w:rsidP="009C0023">
            <w:pPr>
              <w:pStyle w:val="Odlomakpopisa"/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B83E53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Pružne građevine d.o.o.</w:t>
            </w:r>
          </w:p>
        </w:tc>
        <w:tc>
          <w:tcPr>
            <w:tcW w:w="1276" w:type="dxa"/>
            <w:vAlign w:val="center"/>
          </w:tcPr>
          <w:p w14:paraId="551C6AC2" w14:textId="2493305F" w:rsidR="00485789" w:rsidRPr="00145D92" w:rsidRDefault="00485789" w:rsidP="009C0023">
            <w:pPr>
              <w:pStyle w:val="Odlomakpopisa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145D92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24.04.2023.</w:t>
            </w:r>
          </w:p>
        </w:tc>
        <w:tc>
          <w:tcPr>
            <w:tcW w:w="1275" w:type="dxa"/>
            <w:vAlign w:val="center"/>
          </w:tcPr>
          <w:p w14:paraId="6C7D6652" w14:textId="2E0C9A9F" w:rsidR="00485789" w:rsidRPr="00145D92" w:rsidRDefault="00485789" w:rsidP="009C0023">
            <w:pPr>
              <w:pStyle w:val="Odlomakpopisa"/>
              <w:spacing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145D92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1.000.000,00</w:t>
            </w:r>
          </w:p>
        </w:tc>
        <w:tc>
          <w:tcPr>
            <w:tcW w:w="1134" w:type="dxa"/>
            <w:vAlign w:val="center"/>
          </w:tcPr>
          <w:p w14:paraId="7E2F95C1" w14:textId="393CCC7B" w:rsidR="00485789" w:rsidRPr="00145D92" w:rsidRDefault="00485789" w:rsidP="009C0023">
            <w:pPr>
              <w:pStyle w:val="Odlomakpopisa"/>
              <w:spacing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145D92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27.05.2024.</w:t>
            </w:r>
          </w:p>
        </w:tc>
        <w:tc>
          <w:tcPr>
            <w:tcW w:w="1134" w:type="dxa"/>
            <w:vAlign w:val="center"/>
          </w:tcPr>
          <w:p w14:paraId="6E5E8D30" w14:textId="32698972" w:rsidR="00485789" w:rsidRPr="00B83E53" w:rsidRDefault="00485789" w:rsidP="00FD20D0">
            <w:pPr>
              <w:pStyle w:val="Odlomakpopisa"/>
              <w:spacing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zadužnica</w:t>
            </w:r>
          </w:p>
        </w:tc>
      </w:tr>
      <w:tr w:rsidR="00485789" w:rsidRPr="00B83E53" w14:paraId="1C093E91" w14:textId="77777777" w:rsidTr="00E57572">
        <w:tc>
          <w:tcPr>
            <w:tcW w:w="1701" w:type="dxa"/>
            <w:vAlign w:val="center"/>
          </w:tcPr>
          <w:p w14:paraId="1D261476" w14:textId="29CFD6EE" w:rsidR="00485789" w:rsidRPr="00B83E53" w:rsidRDefault="00485789" w:rsidP="00485789">
            <w:pPr>
              <w:pStyle w:val="Odlomakpopisa"/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B83E53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Ugovor o kratkoročnom kreditu</w:t>
            </w:r>
          </w:p>
        </w:tc>
        <w:tc>
          <w:tcPr>
            <w:tcW w:w="1134" w:type="dxa"/>
            <w:vAlign w:val="center"/>
          </w:tcPr>
          <w:p w14:paraId="58EBA78A" w14:textId="72AFDAFA" w:rsidR="00485789" w:rsidRPr="00B83E53" w:rsidRDefault="00485789" w:rsidP="009C0023">
            <w:pPr>
              <w:pStyle w:val="Odlomakpopisa"/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B83E53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Zagrebačka banka d.d.</w:t>
            </w:r>
          </w:p>
        </w:tc>
        <w:tc>
          <w:tcPr>
            <w:tcW w:w="1418" w:type="dxa"/>
            <w:vAlign w:val="center"/>
          </w:tcPr>
          <w:p w14:paraId="0019B776" w14:textId="09B80AD0" w:rsidR="00485789" w:rsidRDefault="00485789" w:rsidP="009C0023">
            <w:pPr>
              <w:pStyle w:val="Odlomakpopisa"/>
              <w:spacing w:line="240" w:lineRule="auto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B83E53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Pružne građevine d.o.o.</w:t>
            </w:r>
          </w:p>
        </w:tc>
        <w:tc>
          <w:tcPr>
            <w:tcW w:w="1276" w:type="dxa"/>
            <w:vAlign w:val="center"/>
          </w:tcPr>
          <w:p w14:paraId="05D94E02" w14:textId="57934FBA" w:rsidR="00485789" w:rsidRPr="00145D92" w:rsidRDefault="00485789" w:rsidP="009C0023">
            <w:pPr>
              <w:pStyle w:val="Odlomakpopisa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145D92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18.04.2023.</w:t>
            </w:r>
          </w:p>
        </w:tc>
        <w:tc>
          <w:tcPr>
            <w:tcW w:w="1275" w:type="dxa"/>
            <w:vAlign w:val="center"/>
          </w:tcPr>
          <w:p w14:paraId="05864EBD" w14:textId="34948587" w:rsidR="00485789" w:rsidRPr="00145D92" w:rsidRDefault="00485789" w:rsidP="009C0023">
            <w:pPr>
              <w:pStyle w:val="Odlomakpopisa"/>
              <w:spacing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145D92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300.000,00</w:t>
            </w:r>
          </w:p>
        </w:tc>
        <w:tc>
          <w:tcPr>
            <w:tcW w:w="1134" w:type="dxa"/>
            <w:vAlign w:val="center"/>
          </w:tcPr>
          <w:p w14:paraId="59BCBBE9" w14:textId="5CC826D3" w:rsidR="00485789" w:rsidRPr="00145D92" w:rsidRDefault="00485789" w:rsidP="009C0023">
            <w:pPr>
              <w:pStyle w:val="Odlomakpopisa"/>
              <w:spacing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 w:rsidRPr="00145D92"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29.03.2024.</w:t>
            </w:r>
          </w:p>
        </w:tc>
        <w:tc>
          <w:tcPr>
            <w:tcW w:w="1134" w:type="dxa"/>
            <w:vAlign w:val="center"/>
          </w:tcPr>
          <w:p w14:paraId="07BEC103" w14:textId="5F244801" w:rsidR="00485789" w:rsidRPr="00B83E53" w:rsidRDefault="00485789" w:rsidP="00FD20D0">
            <w:pPr>
              <w:pStyle w:val="Odlomakpopisa"/>
              <w:spacing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4"/>
                <w:lang w:eastAsia="hr-HR"/>
              </w:rPr>
              <w:t>zadužnica</w:t>
            </w:r>
          </w:p>
        </w:tc>
      </w:tr>
    </w:tbl>
    <w:p w14:paraId="18B9229F" w14:textId="77777777" w:rsidR="001C075A" w:rsidRDefault="001C075A" w:rsidP="004F4E4E">
      <w:pPr>
        <w:pStyle w:val="Odlomakpopisa"/>
        <w:spacing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14:paraId="45B03F65" w14:textId="2FAA6D3F" w:rsidR="00E57572" w:rsidRDefault="00FF6BB8" w:rsidP="00E57572">
      <w:pPr>
        <w:pStyle w:val="Odlomakpopisa"/>
        <w:spacing w:after="240" w:line="240" w:lineRule="auto"/>
        <w:ind w:left="0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Ugovor o okvirnom kreditu po transakcijskom računu </w:t>
      </w:r>
      <w:r w:rsidR="00111064">
        <w:rPr>
          <w:rFonts w:ascii="Times New Roman" w:eastAsia="Times New Roman" w:hAnsi="Times New Roman" w:cs="Times New Roman"/>
          <w:lang w:eastAsia="hr-HR"/>
        </w:rPr>
        <w:t xml:space="preserve">može se koristiti kao odobreno </w:t>
      </w:r>
      <w:r>
        <w:rPr>
          <w:rFonts w:ascii="Times New Roman" w:eastAsia="Times New Roman" w:hAnsi="Times New Roman" w:cs="Times New Roman"/>
          <w:lang w:eastAsia="hr-HR"/>
        </w:rPr>
        <w:t>prekoračenj</w:t>
      </w:r>
      <w:r w:rsidR="00111064">
        <w:rPr>
          <w:rFonts w:ascii="Times New Roman" w:eastAsia="Times New Roman" w:hAnsi="Times New Roman" w:cs="Times New Roman"/>
          <w:lang w:eastAsia="hr-HR"/>
        </w:rPr>
        <w:t>e</w:t>
      </w:r>
      <w:r>
        <w:rPr>
          <w:rFonts w:ascii="Times New Roman" w:eastAsia="Times New Roman" w:hAnsi="Times New Roman" w:cs="Times New Roman"/>
          <w:lang w:eastAsia="hr-HR"/>
        </w:rPr>
        <w:t xml:space="preserve"> po transakcijskom računu, a </w:t>
      </w:r>
      <w:r w:rsidR="00111064">
        <w:rPr>
          <w:rFonts w:ascii="Times New Roman" w:eastAsia="Times New Roman" w:hAnsi="Times New Roman" w:cs="Times New Roman"/>
          <w:lang w:eastAsia="hr-HR"/>
        </w:rPr>
        <w:t xml:space="preserve">namjena </w:t>
      </w:r>
      <w:r>
        <w:rPr>
          <w:rFonts w:ascii="Times New Roman" w:eastAsia="Times New Roman" w:hAnsi="Times New Roman" w:cs="Times New Roman"/>
          <w:lang w:eastAsia="hr-HR"/>
        </w:rPr>
        <w:t>Ugovor</w:t>
      </w:r>
      <w:r w:rsidR="00111064">
        <w:rPr>
          <w:rFonts w:ascii="Times New Roman" w:eastAsia="Times New Roman" w:hAnsi="Times New Roman" w:cs="Times New Roman"/>
          <w:lang w:eastAsia="hr-HR"/>
        </w:rPr>
        <w:t>a</w:t>
      </w:r>
      <w:r>
        <w:rPr>
          <w:rFonts w:ascii="Times New Roman" w:eastAsia="Times New Roman" w:hAnsi="Times New Roman" w:cs="Times New Roman"/>
          <w:lang w:eastAsia="hr-HR"/>
        </w:rPr>
        <w:t xml:space="preserve"> o kratkoročnom kreditu je financiranje obrtnih sredstava. </w:t>
      </w:r>
    </w:p>
    <w:p w14:paraId="382DCCF3" w14:textId="77777777" w:rsidR="00E57572" w:rsidRPr="00E57572" w:rsidRDefault="00E57572" w:rsidP="00E57572">
      <w:pPr>
        <w:pStyle w:val="Odlomakpopisa"/>
        <w:spacing w:after="240" w:line="240" w:lineRule="auto"/>
        <w:ind w:left="0"/>
        <w:rPr>
          <w:rFonts w:ascii="Times New Roman" w:eastAsia="Times New Roman" w:hAnsi="Times New Roman" w:cs="Times New Roman"/>
          <w:sz w:val="14"/>
          <w:lang w:eastAsia="hr-HR"/>
        </w:rPr>
      </w:pPr>
    </w:p>
    <w:p w14:paraId="37F3E8AE" w14:textId="2288F20F" w:rsidR="007E2383" w:rsidRDefault="00307537" w:rsidP="00E57572">
      <w:pPr>
        <w:pStyle w:val="Odlomakpopisa"/>
        <w:spacing w:before="240" w:line="240" w:lineRule="auto"/>
        <w:ind w:left="0"/>
        <w:contextualSpacing w:val="0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Temeljem Sporazuma o osiguranju novčane tražbine </w:t>
      </w:r>
      <w:r w:rsidR="000F09BB">
        <w:rPr>
          <w:rFonts w:ascii="Times New Roman" w:eastAsia="Times New Roman" w:hAnsi="Times New Roman" w:cs="Times New Roman"/>
          <w:lang w:eastAsia="hr-HR"/>
        </w:rPr>
        <w:t xml:space="preserve">sklopljenim s društvom Pružne građevine d.o.o., HŽ Infrastruktura </w:t>
      </w:r>
      <w:r w:rsidR="000527DB">
        <w:rPr>
          <w:rFonts w:ascii="Times New Roman" w:eastAsia="Times New Roman" w:hAnsi="Times New Roman" w:cs="Times New Roman"/>
          <w:lang w:eastAsia="hr-HR"/>
        </w:rPr>
        <w:t xml:space="preserve">je na ukupan iznos </w:t>
      </w:r>
      <w:proofErr w:type="spellStart"/>
      <w:r w:rsidR="000527DB">
        <w:rPr>
          <w:rFonts w:ascii="Times New Roman" w:eastAsia="Times New Roman" w:hAnsi="Times New Roman" w:cs="Times New Roman"/>
          <w:lang w:eastAsia="hr-HR"/>
        </w:rPr>
        <w:t>sudužništva</w:t>
      </w:r>
      <w:proofErr w:type="spellEnd"/>
      <w:r w:rsidR="007F0F80">
        <w:rPr>
          <w:rFonts w:ascii="Times New Roman" w:eastAsia="Times New Roman" w:hAnsi="Times New Roman" w:cs="Times New Roman"/>
          <w:lang w:eastAsia="hr-HR"/>
        </w:rPr>
        <w:t xml:space="preserve"> u iznosu od 1.300.000,00 eura</w:t>
      </w:r>
      <w:r w:rsidR="000527DB">
        <w:rPr>
          <w:rFonts w:ascii="Times New Roman" w:eastAsia="Times New Roman" w:hAnsi="Times New Roman" w:cs="Times New Roman"/>
          <w:lang w:eastAsia="hr-HR"/>
        </w:rPr>
        <w:t xml:space="preserve"> </w:t>
      </w:r>
      <w:r w:rsidR="000F09BB">
        <w:rPr>
          <w:rFonts w:ascii="Times New Roman" w:eastAsia="Times New Roman" w:hAnsi="Times New Roman" w:cs="Times New Roman"/>
          <w:lang w:eastAsia="hr-HR"/>
        </w:rPr>
        <w:t>zasnovala založno pravo na nekretnin</w:t>
      </w:r>
      <w:r w:rsidR="007F0F80">
        <w:rPr>
          <w:rFonts w:ascii="Times New Roman" w:eastAsia="Times New Roman" w:hAnsi="Times New Roman" w:cs="Times New Roman"/>
          <w:lang w:eastAsia="hr-HR"/>
        </w:rPr>
        <w:t>i u vlasništvu</w:t>
      </w:r>
      <w:r w:rsidR="000F09BB">
        <w:rPr>
          <w:rFonts w:ascii="Times New Roman" w:eastAsia="Times New Roman" w:hAnsi="Times New Roman" w:cs="Times New Roman"/>
          <w:lang w:eastAsia="hr-HR"/>
        </w:rPr>
        <w:t xml:space="preserve"> Pružnih građevina </w:t>
      </w:r>
      <w:r w:rsidR="00CC09DF">
        <w:rPr>
          <w:rFonts w:ascii="Times New Roman" w:eastAsia="Times New Roman" w:hAnsi="Times New Roman" w:cs="Times New Roman"/>
          <w:lang w:eastAsia="hr-HR"/>
        </w:rPr>
        <w:t>od dana 15.05.2023.</w:t>
      </w:r>
      <w:r w:rsidR="00646FF8">
        <w:rPr>
          <w:rFonts w:ascii="Times New Roman" w:eastAsia="Times New Roman" w:hAnsi="Times New Roman" w:cs="Times New Roman"/>
          <w:lang w:eastAsia="hr-HR"/>
        </w:rPr>
        <w:t xml:space="preserve"> </w:t>
      </w:r>
      <w:r w:rsidR="00EB44A5">
        <w:rPr>
          <w:rFonts w:ascii="Times New Roman" w:eastAsia="Times New Roman" w:hAnsi="Times New Roman" w:cs="Times New Roman"/>
          <w:lang w:eastAsia="hr-HR"/>
        </w:rPr>
        <w:t xml:space="preserve">godine (Rješenje </w:t>
      </w:r>
      <w:r w:rsidR="00EB44A5" w:rsidRPr="00EB44A5">
        <w:rPr>
          <w:rFonts w:ascii="Times New Roman" w:eastAsia="Times New Roman" w:hAnsi="Times New Roman" w:cs="Times New Roman"/>
          <w:lang w:eastAsia="hr-HR"/>
        </w:rPr>
        <w:t>o uknjižbi pod br. Z-15338/2023</w:t>
      </w:r>
      <w:r w:rsidR="00FD6AB6">
        <w:rPr>
          <w:rFonts w:ascii="Times New Roman" w:eastAsia="Times New Roman" w:hAnsi="Times New Roman" w:cs="Times New Roman"/>
          <w:lang w:eastAsia="hr-HR"/>
        </w:rPr>
        <w:t>.).</w:t>
      </w:r>
    </w:p>
    <w:p w14:paraId="2490F656" w14:textId="0C7D7C74" w:rsidR="00646FF8" w:rsidRDefault="00646FF8" w:rsidP="004A3713">
      <w:pPr>
        <w:pStyle w:val="Odlomakpopisa"/>
        <w:spacing w:line="240" w:lineRule="auto"/>
        <w:ind w:left="0"/>
        <w:rPr>
          <w:rFonts w:ascii="Times New Roman" w:eastAsia="Times New Roman" w:hAnsi="Times New Roman" w:cs="Times New Roman"/>
          <w:lang w:eastAsia="hr-HR"/>
        </w:rPr>
      </w:pPr>
    </w:p>
    <w:p w14:paraId="451C2D61" w14:textId="77777777" w:rsidR="00646FF8" w:rsidRDefault="00646FF8" w:rsidP="004A3713">
      <w:pPr>
        <w:pStyle w:val="Odlomakpopisa"/>
        <w:spacing w:line="240" w:lineRule="auto"/>
        <w:ind w:left="0"/>
        <w:rPr>
          <w:rFonts w:ascii="Times New Roman" w:eastAsia="Times New Roman" w:hAnsi="Times New Roman" w:cs="Times New Roman"/>
          <w:lang w:eastAsia="hr-HR"/>
        </w:rPr>
      </w:pPr>
    </w:p>
    <w:p w14:paraId="56E95FE3" w14:textId="5A8896D9" w:rsidR="00646FF8" w:rsidRDefault="00646FF8" w:rsidP="004A3713">
      <w:pPr>
        <w:pStyle w:val="Odlomakpopisa"/>
        <w:spacing w:line="240" w:lineRule="auto"/>
        <w:ind w:left="0"/>
        <w:rPr>
          <w:rFonts w:ascii="Times New Roman" w:eastAsia="Times New Roman" w:hAnsi="Times New Roman" w:cs="Times New Roman"/>
          <w:lang w:eastAsia="hr-HR"/>
        </w:rPr>
      </w:pPr>
    </w:p>
    <w:sectPr w:rsidR="00646FF8" w:rsidSect="00927B35">
      <w:footerReference w:type="default" r:id="rId11"/>
      <w:pgSz w:w="11906" w:h="16838"/>
      <w:pgMar w:top="1417" w:right="1417" w:bottom="1417" w:left="1417" w:header="709" w:footer="709" w:gutter="0"/>
      <w:pgNumType w:start="1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F910B" w16cex:dateUtc="2023-08-22T17:54:00Z"/>
  <w16cex:commentExtensible w16cex:durableId="288F9E93" w16cex:dateUtc="2023-08-22T1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702C7D" w16cid:durableId="288F8B8D"/>
  <w16cid:commentId w16cid:paraId="66C30538" w16cid:durableId="288F910B"/>
  <w16cid:commentId w16cid:paraId="065FE192" w16cid:durableId="288F8B92"/>
  <w16cid:commentId w16cid:paraId="29AED6ED" w16cid:durableId="288F9E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6B871" w14:textId="77777777" w:rsidR="006836C3" w:rsidRDefault="006836C3" w:rsidP="00100B63">
      <w:pPr>
        <w:spacing w:after="0" w:line="240" w:lineRule="auto"/>
      </w:pPr>
      <w:r>
        <w:separator/>
      </w:r>
    </w:p>
  </w:endnote>
  <w:endnote w:type="continuationSeparator" w:id="0">
    <w:p w14:paraId="0F045B9E" w14:textId="77777777" w:rsidR="006836C3" w:rsidRDefault="006836C3" w:rsidP="00100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995871822"/>
      <w:docPartObj>
        <w:docPartGallery w:val="Page Numbers (Bottom of Page)"/>
        <w:docPartUnique/>
      </w:docPartObj>
    </w:sdtPr>
    <w:sdtEndPr/>
    <w:sdtContent>
      <w:p w14:paraId="7D934CF3" w14:textId="5F78710F" w:rsidR="006F194E" w:rsidRPr="006F194E" w:rsidRDefault="006F194E">
        <w:pPr>
          <w:pStyle w:val="Podnoje"/>
          <w:jc w:val="center"/>
          <w:rPr>
            <w:rFonts w:ascii="Times New Roman" w:hAnsi="Times New Roman" w:cs="Times New Roman"/>
          </w:rPr>
        </w:pPr>
        <w:r w:rsidRPr="006F194E">
          <w:rPr>
            <w:rFonts w:ascii="Times New Roman" w:hAnsi="Times New Roman" w:cs="Times New Roman"/>
          </w:rPr>
          <w:fldChar w:fldCharType="begin"/>
        </w:r>
        <w:r w:rsidRPr="006F194E">
          <w:rPr>
            <w:rFonts w:ascii="Times New Roman" w:hAnsi="Times New Roman" w:cs="Times New Roman"/>
          </w:rPr>
          <w:instrText>PAGE   \* MERGEFORMAT</w:instrText>
        </w:r>
        <w:r w:rsidRPr="006F194E">
          <w:rPr>
            <w:rFonts w:ascii="Times New Roman" w:hAnsi="Times New Roman" w:cs="Times New Roman"/>
          </w:rPr>
          <w:fldChar w:fldCharType="separate"/>
        </w:r>
        <w:r w:rsidR="00927B35">
          <w:rPr>
            <w:rFonts w:ascii="Times New Roman" w:hAnsi="Times New Roman" w:cs="Times New Roman"/>
            <w:noProof/>
          </w:rPr>
          <w:t>15</w:t>
        </w:r>
        <w:r w:rsidRPr="006F194E">
          <w:rPr>
            <w:rFonts w:ascii="Times New Roman" w:hAnsi="Times New Roman" w:cs="Times New Roman"/>
          </w:rPr>
          <w:fldChar w:fldCharType="end"/>
        </w:r>
      </w:p>
    </w:sdtContent>
  </w:sdt>
  <w:p w14:paraId="66BF7878" w14:textId="77777777" w:rsidR="0022299A" w:rsidRDefault="0022299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BE4D2" w14:textId="77777777" w:rsidR="006836C3" w:rsidRDefault="006836C3" w:rsidP="00100B63">
      <w:pPr>
        <w:spacing w:after="0" w:line="240" w:lineRule="auto"/>
      </w:pPr>
      <w:r>
        <w:separator/>
      </w:r>
    </w:p>
  </w:footnote>
  <w:footnote w:type="continuationSeparator" w:id="0">
    <w:p w14:paraId="5DCB40BC" w14:textId="77777777" w:rsidR="006836C3" w:rsidRDefault="006836C3" w:rsidP="00100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12484"/>
    <w:multiLevelType w:val="hybridMultilevel"/>
    <w:tmpl w:val="4BDCC7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045D4"/>
    <w:multiLevelType w:val="hybridMultilevel"/>
    <w:tmpl w:val="30E67626"/>
    <w:lvl w:ilvl="0" w:tplc="7208270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00F0B"/>
    <w:multiLevelType w:val="hybridMultilevel"/>
    <w:tmpl w:val="99003486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B6E6EFE"/>
    <w:multiLevelType w:val="hybridMultilevel"/>
    <w:tmpl w:val="6F78EDDE"/>
    <w:lvl w:ilvl="0" w:tplc="5E72D8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D1452"/>
    <w:multiLevelType w:val="hybridMultilevel"/>
    <w:tmpl w:val="90FA6AA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0C70"/>
    <w:multiLevelType w:val="hybridMultilevel"/>
    <w:tmpl w:val="BC06D444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6" w15:restartNumberingAfterBreak="0">
    <w:nsid w:val="2407608E"/>
    <w:multiLevelType w:val="hybridMultilevel"/>
    <w:tmpl w:val="C19C14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D72C0"/>
    <w:multiLevelType w:val="multilevel"/>
    <w:tmpl w:val="D66A2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A2744C5"/>
    <w:multiLevelType w:val="hybridMultilevel"/>
    <w:tmpl w:val="F4561C2A"/>
    <w:lvl w:ilvl="0" w:tplc="CC7433D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50B97"/>
    <w:multiLevelType w:val="hybridMultilevel"/>
    <w:tmpl w:val="94C01C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06578"/>
    <w:multiLevelType w:val="hybridMultilevel"/>
    <w:tmpl w:val="D62A83DA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C2662"/>
    <w:multiLevelType w:val="hybridMultilevel"/>
    <w:tmpl w:val="DA9C12D4"/>
    <w:lvl w:ilvl="0" w:tplc="041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34635"/>
    <w:multiLevelType w:val="hybridMultilevel"/>
    <w:tmpl w:val="6A4EC68E"/>
    <w:lvl w:ilvl="0" w:tplc="7208270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C4072"/>
    <w:multiLevelType w:val="hybridMultilevel"/>
    <w:tmpl w:val="326CD7BC"/>
    <w:lvl w:ilvl="0" w:tplc="0A80304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3371C43"/>
    <w:multiLevelType w:val="hybridMultilevel"/>
    <w:tmpl w:val="FA6C83E8"/>
    <w:lvl w:ilvl="0" w:tplc="7208270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92780C"/>
    <w:multiLevelType w:val="hybridMultilevel"/>
    <w:tmpl w:val="6DB8A96E"/>
    <w:lvl w:ilvl="0" w:tplc="4D368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83DC8"/>
    <w:multiLevelType w:val="hybridMultilevel"/>
    <w:tmpl w:val="8A06A892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7" w15:restartNumberingAfterBreak="0">
    <w:nsid w:val="73BE0974"/>
    <w:multiLevelType w:val="hybridMultilevel"/>
    <w:tmpl w:val="BA6E8D82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8" w15:restartNumberingAfterBreak="0">
    <w:nsid w:val="767C5528"/>
    <w:multiLevelType w:val="hybridMultilevel"/>
    <w:tmpl w:val="32986C64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9" w15:restartNumberingAfterBreak="0">
    <w:nsid w:val="781648FB"/>
    <w:multiLevelType w:val="hybridMultilevel"/>
    <w:tmpl w:val="37B8E3E4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3"/>
  </w:num>
  <w:num w:numId="5">
    <w:abstractNumId w:val="7"/>
  </w:num>
  <w:num w:numId="6">
    <w:abstractNumId w:val="18"/>
  </w:num>
  <w:num w:numId="7">
    <w:abstractNumId w:val="17"/>
  </w:num>
  <w:num w:numId="8">
    <w:abstractNumId w:val="5"/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12"/>
  </w:num>
  <w:num w:numId="14">
    <w:abstractNumId w:val="14"/>
  </w:num>
  <w:num w:numId="15">
    <w:abstractNumId w:val="1"/>
  </w:num>
  <w:num w:numId="16">
    <w:abstractNumId w:val="4"/>
  </w:num>
  <w:num w:numId="17">
    <w:abstractNumId w:val="6"/>
  </w:num>
  <w:num w:numId="18">
    <w:abstractNumId w:val="11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77E"/>
    <w:rsid w:val="00001B90"/>
    <w:rsid w:val="00007620"/>
    <w:rsid w:val="000127DE"/>
    <w:rsid w:val="00014ECB"/>
    <w:rsid w:val="00017BD1"/>
    <w:rsid w:val="00023829"/>
    <w:rsid w:val="00026DFF"/>
    <w:rsid w:val="00027723"/>
    <w:rsid w:val="00027765"/>
    <w:rsid w:val="00034BF8"/>
    <w:rsid w:val="00035BA1"/>
    <w:rsid w:val="000527DB"/>
    <w:rsid w:val="00052E5D"/>
    <w:rsid w:val="00052FCA"/>
    <w:rsid w:val="00054B69"/>
    <w:rsid w:val="00057452"/>
    <w:rsid w:val="00061840"/>
    <w:rsid w:val="0006383E"/>
    <w:rsid w:val="00063F6A"/>
    <w:rsid w:val="00071608"/>
    <w:rsid w:val="000738B1"/>
    <w:rsid w:val="00074C39"/>
    <w:rsid w:val="00077CFF"/>
    <w:rsid w:val="000814B0"/>
    <w:rsid w:val="00082839"/>
    <w:rsid w:val="00086572"/>
    <w:rsid w:val="00095106"/>
    <w:rsid w:val="000978E0"/>
    <w:rsid w:val="000A4101"/>
    <w:rsid w:val="000A77F8"/>
    <w:rsid w:val="000B1442"/>
    <w:rsid w:val="000B3332"/>
    <w:rsid w:val="000B5F0A"/>
    <w:rsid w:val="000C0A85"/>
    <w:rsid w:val="000C0DB9"/>
    <w:rsid w:val="000C3BEE"/>
    <w:rsid w:val="000C6002"/>
    <w:rsid w:val="000D2D49"/>
    <w:rsid w:val="000D39C8"/>
    <w:rsid w:val="000F09BB"/>
    <w:rsid w:val="000F3485"/>
    <w:rsid w:val="000F4FCE"/>
    <w:rsid w:val="00100B63"/>
    <w:rsid w:val="00102B9C"/>
    <w:rsid w:val="00103F1B"/>
    <w:rsid w:val="00105B8E"/>
    <w:rsid w:val="00111064"/>
    <w:rsid w:val="00111100"/>
    <w:rsid w:val="00113DDC"/>
    <w:rsid w:val="00115463"/>
    <w:rsid w:val="00115906"/>
    <w:rsid w:val="00116492"/>
    <w:rsid w:val="001209D0"/>
    <w:rsid w:val="00121481"/>
    <w:rsid w:val="00122E8C"/>
    <w:rsid w:val="00133660"/>
    <w:rsid w:val="00142ACD"/>
    <w:rsid w:val="00145D92"/>
    <w:rsid w:val="001465D5"/>
    <w:rsid w:val="001511E7"/>
    <w:rsid w:val="001526B8"/>
    <w:rsid w:val="001533E2"/>
    <w:rsid w:val="00154C76"/>
    <w:rsid w:val="00155DD4"/>
    <w:rsid w:val="001565DE"/>
    <w:rsid w:val="00157CA6"/>
    <w:rsid w:val="00163B9A"/>
    <w:rsid w:val="001676C6"/>
    <w:rsid w:val="00175673"/>
    <w:rsid w:val="00183E81"/>
    <w:rsid w:val="00185C33"/>
    <w:rsid w:val="001936D3"/>
    <w:rsid w:val="00195B47"/>
    <w:rsid w:val="001B1B5D"/>
    <w:rsid w:val="001B43CC"/>
    <w:rsid w:val="001C049C"/>
    <w:rsid w:val="001C075A"/>
    <w:rsid w:val="001D17D4"/>
    <w:rsid w:val="001D33C5"/>
    <w:rsid w:val="001D4070"/>
    <w:rsid w:val="001D4CA0"/>
    <w:rsid w:val="001D555F"/>
    <w:rsid w:val="001D5B58"/>
    <w:rsid w:val="001E03D9"/>
    <w:rsid w:val="001E17B8"/>
    <w:rsid w:val="001F0CC1"/>
    <w:rsid w:val="001F6FE7"/>
    <w:rsid w:val="0020623C"/>
    <w:rsid w:val="002071C8"/>
    <w:rsid w:val="0021266A"/>
    <w:rsid w:val="00213AD3"/>
    <w:rsid w:val="0022299A"/>
    <w:rsid w:val="00224269"/>
    <w:rsid w:val="002259A7"/>
    <w:rsid w:val="00225F3F"/>
    <w:rsid w:val="00227317"/>
    <w:rsid w:val="0023053C"/>
    <w:rsid w:val="00232E27"/>
    <w:rsid w:val="002359AB"/>
    <w:rsid w:val="00236068"/>
    <w:rsid w:val="002413D2"/>
    <w:rsid w:val="00242CAF"/>
    <w:rsid w:val="00254D13"/>
    <w:rsid w:val="002550AE"/>
    <w:rsid w:val="0025747C"/>
    <w:rsid w:val="00262D4E"/>
    <w:rsid w:val="00267483"/>
    <w:rsid w:val="00270E4A"/>
    <w:rsid w:val="0027605D"/>
    <w:rsid w:val="002822B0"/>
    <w:rsid w:val="00286DD6"/>
    <w:rsid w:val="00290EE6"/>
    <w:rsid w:val="0029168C"/>
    <w:rsid w:val="002925FE"/>
    <w:rsid w:val="00293525"/>
    <w:rsid w:val="00297A6F"/>
    <w:rsid w:val="002A1591"/>
    <w:rsid w:val="002A219D"/>
    <w:rsid w:val="002A4F04"/>
    <w:rsid w:val="002A7D3E"/>
    <w:rsid w:val="002B6413"/>
    <w:rsid w:val="002C17B7"/>
    <w:rsid w:val="002D3D07"/>
    <w:rsid w:val="002E36EB"/>
    <w:rsid w:val="002E3A84"/>
    <w:rsid w:val="002E46F9"/>
    <w:rsid w:val="002E55E7"/>
    <w:rsid w:val="002E5E13"/>
    <w:rsid w:val="002E76F7"/>
    <w:rsid w:val="002E7724"/>
    <w:rsid w:val="002E7DBB"/>
    <w:rsid w:val="002F0381"/>
    <w:rsid w:val="002F2B72"/>
    <w:rsid w:val="002F5E2D"/>
    <w:rsid w:val="002F7BBC"/>
    <w:rsid w:val="00302598"/>
    <w:rsid w:val="00303CD7"/>
    <w:rsid w:val="00307537"/>
    <w:rsid w:val="00311AEF"/>
    <w:rsid w:val="00314455"/>
    <w:rsid w:val="00315701"/>
    <w:rsid w:val="0032602D"/>
    <w:rsid w:val="00326222"/>
    <w:rsid w:val="00330510"/>
    <w:rsid w:val="00333D76"/>
    <w:rsid w:val="00337A10"/>
    <w:rsid w:val="00340179"/>
    <w:rsid w:val="003445B0"/>
    <w:rsid w:val="00351DB1"/>
    <w:rsid w:val="00353CFF"/>
    <w:rsid w:val="0035735B"/>
    <w:rsid w:val="00357DE2"/>
    <w:rsid w:val="0036002A"/>
    <w:rsid w:val="00360D08"/>
    <w:rsid w:val="003641E8"/>
    <w:rsid w:val="003677F5"/>
    <w:rsid w:val="00370DD1"/>
    <w:rsid w:val="003715EE"/>
    <w:rsid w:val="00371EDF"/>
    <w:rsid w:val="003742B2"/>
    <w:rsid w:val="003855EF"/>
    <w:rsid w:val="003868AF"/>
    <w:rsid w:val="003947E7"/>
    <w:rsid w:val="003948FD"/>
    <w:rsid w:val="00394A05"/>
    <w:rsid w:val="00394AAD"/>
    <w:rsid w:val="00394CBE"/>
    <w:rsid w:val="003959B6"/>
    <w:rsid w:val="00395EF5"/>
    <w:rsid w:val="003A1500"/>
    <w:rsid w:val="003A182C"/>
    <w:rsid w:val="003A252D"/>
    <w:rsid w:val="003A2C27"/>
    <w:rsid w:val="003A6522"/>
    <w:rsid w:val="003B5F87"/>
    <w:rsid w:val="003B6AB4"/>
    <w:rsid w:val="003C25EB"/>
    <w:rsid w:val="003C42A6"/>
    <w:rsid w:val="003C5333"/>
    <w:rsid w:val="003C6CC1"/>
    <w:rsid w:val="003D1C1C"/>
    <w:rsid w:val="003D26AB"/>
    <w:rsid w:val="003D4EA2"/>
    <w:rsid w:val="003D642B"/>
    <w:rsid w:val="003D7D44"/>
    <w:rsid w:val="003E4646"/>
    <w:rsid w:val="003E4D9D"/>
    <w:rsid w:val="003E692C"/>
    <w:rsid w:val="003F55E1"/>
    <w:rsid w:val="003F5A63"/>
    <w:rsid w:val="00401344"/>
    <w:rsid w:val="004042AF"/>
    <w:rsid w:val="00406EE7"/>
    <w:rsid w:val="00407B11"/>
    <w:rsid w:val="00412007"/>
    <w:rsid w:val="004124A0"/>
    <w:rsid w:val="00415396"/>
    <w:rsid w:val="00422A0C"/>
    <w:rsid w:val="004268ED"/>
    <w:rsid w:val="00432B00"/>
    <w:rsid w:val="004360A7"/>
    <w:rsid w:val="00437458"/>
    <w:rsid w:val="00444562"/>
    <w:rsid w:val="00451242"/>
    <w:rsid w:val="0045440D"/>
    <w:rsid w:val="00455E64"/>
    <w:rsid w:val="00464D85"/>
    <w:rsid w:val="00466E31"/>
    <w:rsid w:val="00470545"/>
    <w:rsid w:val="00471DED"/>
    <w:rsid w:val="004729BC"/>
    <w:rsid w:val="00475986"/>
    <w:rsid w:val="004762EF"/>
    <w:rsid w:val="00483A70"/>
    <w:rsid w:val="00485789"/>
    <w:rsid w:val="004A3713"/>
    <w:rsid w:val="004B01C7"/>
    <w:rsid w:val="004B5835"/>
    <w:rsid w:val="004B6171"/>
    <w:rsid w:val="004B70DE"/>
    <w:rsid w:val="004C1BA1"/>
    <w:rsid w:val="004C3483"/>
    <w:rsid w:val="004D228B"/>
    <w:rsid w:val="004D318A"/>
    <w:rsid w:val="004D32CC"/>
    <w:rsid w:val="004E2658"/>
    <w:rsid w:val="004E2DA4"/>
    <w:rsid w:val="004F4E4E"/>
    <w:rsid w:val="004F560F"/>
    <w:rsid w:val="004F79B8"/>
    <w:rsid w:val="004F7CAA"/>
    <w:rsid w:val="00501FA7"/>
    <w:rsid w:val="00504B5D"/>
    <w:rsid w:val="0050562C"/>
    <w:rsid w:val="00505AEA"/>
    <w:rsid w:val="005131FB"/>
    <w:rsid w:val="00513302"/>
    <w:rsid w:val="00515D36"/>
    <w:rsid w:val="00527065"/>
    <w:rsid w:val="00530118"/>
    <w:rsid w:val="0053258E"/>
    <w:rsid w:val="00537264"/>
    <w:rsid w:val="005437AE"/>
    <w:rsid w:val="0054454E"/>
    <w:rsid w:val="0054468C"/>
    <w:rsid w:val="00550615"/>
    <w:rsid w:val="00550D74"/>
    <w:rsid w:val="00555910"/>
    <w:rsid w:val="00562197"/>
    <w:rsid w:val="0056471B"/>
    <w:rsid w:val="00572A87"/>
    <w:rsid w:val="00582B86"/>
    <w:rsid w:val="00586F40"/>
    <w:rsid w:val="00593965"/>
    <w:rsid w:val="005957DB"/>
    <w:rsid w:val="005963E2"/>
    <w:rsid w:val="005A2293"/>
    <w:rsid w:val="005A7C48"/>
    <w:rsid w:val="005C0D84"/>
    <w:rsid w:val="005C1EC4"/>
    <w:rsid w:val="005C3229"/>
    <w:rsid w:val="005D197D"/>
    <w:rsid w:val="005D20DE"/>
    <w:rsid w:val="005D565E"/>
    <w:rsid w:val="005D75E3"/>
    <w:rsid w:val="005E0D79"/>
    <w:rsid w:val="005E75FF"/>
    <w:rsid w:val="005E7684"/>
    <w:rsid w:val="005E78DD"/>
    <w:rsid w:val="005F0E28"/>
    <w:rsid w:val="005F2F50"/>
    <w:rsid w:val="005F4C1A"/>
    <w:rsid w:val="005F5675"/>
    <w:rsid w:val="00606606"/>
    <w:rsid w:val="006103A1"/>
    <w:rsid w:val="006146FF"/>
    <w:rsid w:val="00616307"/>
    <w:rsid w:val="00616B4E"/>
    <w:rsid w:val="00625BFC"/>
    <w:rsid w:val="0062663C"/>
    <w:rsid w:val="00631B55"/>
    <w:rsid w:val="0063414D"/>
    <w:rsid w:val="00634BB0"/>
    <w:rsid w:val="00643E58"/>
    <w:rsid w:val="00645139"/>
    <w:rsid w:val="00646FF8"/>
    <w:rsid w:val="006525F2"/>
    <w:rsid w:val="00653F36"/>
    <w:rsid w:val="00657C72"/>
    <w:rsid w:val="00657E09"/>
    <w:rsid w:val="00660384"/>
    <w:rsid w:val="00661657"/>
    <w:rsid w:val="0066185A"/>
    <w:rsid w:val="00663943"/>
    <w:rsid w:val="00664E1D"/>
    <w:rsid w:val="00672D71"/>
    <w:rsid w:val="00673571"/>
    <w:rsid w:val="00677738"/>
    <w:rsid w:val="006811FC"/>
    <w:rsid w:val="00683463"/>
    <w:rsid w:val="006836C3"/>
    <w:rsid w:val="006853E6"/>
    <w:rsid w:val="006875F6"/>
    <w:rsid w:val="006928E8"/>
    <w:rsid w:val="006A6BFC"/>
    <w:rsid w:val="006B0D41"/>
    <w:rsid w:val="006B3D51"/>
    <w:rsid w:val="006B6051"/>
    <w:rsid w:val="006C3388"/>
    <w:rsid w:val="006C5C93"/>
    <w:rsid w:val="006C5D5D"/>
    <w:rsid w:val="006D4F4A"/>
    <w:rsid w:val="006D4FE8"/>
    <w:rsid w:val="006D5B53"/>
    <w:rsid w:val="006E11EC"/>
    <w:rsid w:val="006E16A0"/>
    <w:rsid w:val="006F1347"/>
    <w:rsid w:val="006F194E"/>
    <w:rsid w:val="006F376D"/>
    <w:rsid w:val="006F5023"/>
    <w:rsid w:val="006F51D4"/>
    <w:rsid w:val="0070205C"/>
    <w:rsid w:val="00704A90"/>
    <w:rsid w:val="00705209"/>
    <w:rsid w:val="0070598B"/>
    <w:rsid w:val="00706B01"/>
    <w:rsid w:val="007142C8"/>
    <w:rsid w:val="00716582"/>
    <w:rsid w:val="007209EF"/>
    <w:rsid w:val="00723175"/>
    <w:rsid w:val="00725D8F"/>
    <w:rsid w:val="007304F1"/>
    <w:rsid w:val="00732AEE"/>
    <w:rsid w:val="00732F68"/>
    <w:rsid w:val="00734583"/>
    <w:rsid w:val="007360C4"/>
    <w:rsid w:val="007442FD"/>
    <w:rsid w:val="00745C91"/>
    <w:rsid w:val="007477B5"/>
    <w:rsid w:val="00747DE6"/>
    <w:rsid w:val="007520F9"/>
    <w:rsid w:val="0075334B"/>
    <w:rsid w:val="0075492C"/>
    <w:rsid w:val="00763A37"/>
    <w:rsid w:val="00767808"/>
    <w:rsid w:val="00767F84"/>
    <w:rsid w:val="0077369A"/>
    <w:rsid w:val="00773E2D"/>
    <w:rsid w:val="0078572B"/>
    <w:rsid w:val="007906B8"/>
    <w:rsid w:val="00790C51"/>
    <w:rsid w:val="0079777E"/>
    <w:rsid w:val="007A2E28"/>
    <w:rsid w:val="007A3524"/>
    <w:rsid w:val="007A4499"/>
    <w:rsid w:val="007A6B97"/>
    <w:rsid w:val="007B2DB0"/>
    <w:rsid w:val="007B7A83"/>
    <w:rsid w:val="007C2816"/>
    <w:rsid w:val="007C54D2"/>
    <w:rsid w:val="007C5FA9"/>
    <w:rsid w:val="007C6A76"/>
    <w:rsid w:val="007D2F3A"/>
    <w:rsid w:val="007E0964"/>
    <w:rsid w:val="007E2383"/>
    <w:rsid w:val="007E3564"/>
    <w:rsid w:val="007E5859"/>
    <w:rsid w:val="007E6CEF"/>
    <w:rsid w:val="007F0F80"/>
    <w:rsid w:val="007F17EE"/>
    <w:rsid w:val="007F41A9"/>
    <w:rsid w:val="007F7EFA"/>
    <w:rsid w:val="00801134"/>
    <w:rsid w:val="008027F2"/>
    <w:rsid w:val="008032B9"/>
    <w:rsid w:val="008059DD"/>
    <w:rsid w:val="008064C2"/>
    <w:rsid w:val="00810352"/>
    <w:rsid w:val="008125EE"/>
    <w:rsid w:val="00815F63"/>
    <w:rsid w:val="00831287"/>
    <w:rsid w:val="00837525"/>
    <w:rsid w:val="00837534"/>
    <w:rsid w:val="008407EB"/>
    <w:rsid w:val="0084260F"/>
    <w:rsid w:val="0085472F"/>
    <w:rsid w:val="00863A14"/>
    <w:rsid w:val="00864BC2"/>
    <w:rsid w:val="008706B5"/>
    <w:rsid w:val="0088045B"/>
    <w:rsid w:val="00880EB9"/>
    <w:rsid w:val="00886F51"/>
    <w:rsid w:val="00887B54"/>
    <w:rsid w:val="008956C1"/>
    <w:rsid w:val="008A3903"/>
    <w:rsid w:val="008A435A"/>
    <w:rsid w:val="008A55BC"/>
    <w:rsid w:val="008A6BC2"/>
    <w:rsid w:val="008B1E1A"/>
    <w:rsid w:val="008C1A5C"/>
    <w:rsid w:val="008C2521"/>
    <w:rsid w:val="008C2588"/>
    <w:rsid w:val="008C51A3"/>
    <w:rsid w:val="008C5578"/>
    <w:rsid w:val="008D306B"/>
    <w:rsid w:val="008D55FC"/>
    <w:rsid w:val="008D697B"/>
    <w:rsid w:val="008E31EA"/>
    <w:rsid w:val="008E6841"/>
    <w:rsid w:val="008F6694"/>
    <w:rsid w:val="00901B27"/>
    <w:rsid w:val="00905DA2"/>
    <w:rsid w:val="00907263"/>
    <w:rsid w:val="00907408"/>
    <w:rsid w:val="00910A1E"/>
    <w:rsid w:val="00910CCB"/>
    <w:rsid w:val="00915D69"/>
    <w:rsid w:val="00917D0E"/>
    <w:rsid w:val="00921A2E"/>
    <w:rsid w:val="009227E9"/>
    <w:rsid w:val="00925798"/>
    <w:rsid w:val="00927B35"/>
    <w:rsid w:val="00930CDF"/>
    <w:rsid w:val="00930D30"/>
    <w:rsid w:val="00931A48"/>
    <w:rsid w:val="009348A7"/>
    <w:rsid w:val="009354A9"/>
    <w:rsid w:val="0093657B"/>
    <w:rsid w:val="0094067F"/>
    <w:rsid w:val="00945379"/>
    <w:rsid w:val="00946A29"/>
    <w:rsid w:val="0094719B"/>
    <w:rsid w:val="00957465"/>
    <w:rsid w:val="00957B24"/>
    <w:rsid w:val="00957BB7"/>
    <w:rsid w:val="009605FF"/>
    <w:rsid w:val="00964ECD"/>
    <w:rsid w:val="009662C6"/>
    <w:rsid w:val="00970003"/>
    <w:rsid w:val="009718ED"/>
    <w:rsid w:val="0097264A"/>
    <w:rsid w:val="00974AF7"/>
    <w:rsid w:val="0097764F"/>
    <w:rsid w:val="009834F9"/>
    <w:rsid w:val="00985105"/>
    <w:rsid w:val="00986C61"/>
    <w:rsid w:val="00990CFB"/>
    <w:rsid w:val="00997683"/>
    <w:rsid w:val="00997DFE"/>
    <w:rsid w:val="009A1388"/>
    <w:rsid w:val="009A1D71"/>
    <w:rsid w:val="009A4B9D"/>
    <w:rsid w:val="009A7398"/>
    <w:rsid w:val="009A7444"/>
    <w:rsid w:val="009A7A2D"/>
    <w:rsid w:val="009B12B4"/>
    <w:rsid w:val="009B5540"/>
    <w:rsid w:val="009B63CC"/>
    <w:rsid w:val="009C0023"/>
    <w:rsid w:val="009C7C1A"/>
    <w:rsid w:val="009D13AE"/>
    <w:rsid w:val="009D4096"/>
    <w:rsid w:val="009D550B"/>
    <w:rsid w:val="009E144E"/>
    <w:rsid w:val="009E4991"/>
    <w:rsid w:val="009F0984"/>
    <w:rsid w:val="00A0117E"/>
    <w:rsid w:val="00A039B4"/>
    <w:rsid w:val="00A03BCC"/>
    <w:rsid w:val="00A04D16"/>
    <w:rsid w:val="00A05685"/>
    <w:rsid w:val="00A05879"/>
    <w:rsid w:val="00A13B99"/>
    <w:rsid w:val="00A146DE"/>
    <w:rsid w:val="00A159AD"/>
    <w:rsid w:val="00A15CDB"/>
    <w:rsid w:val="00A24532"/>
    <w:rsid w:val="00A26BBA"/>
    <w:rsid w:val="00A33884"/>
    <w:rsid w:val="00A41561"/>
    <w:rsid w:val="00A41FBC"/>
    <w:rsid w:val="00A44BC7"/>
    <w:rsid w:val="00A51D4C"/>
    <w:rsid w:val="00A52B19"/>
    <w:rsid w:val="00A5793B"/>
    <w:rsid w:val="00A61D32"/>
    <w:rsid w:val="00A66EFE"/>
    <w:rsid w:val="00A7029C"/>
    <w:rsid w:val="00A73255"/>
    <w:rsid w:val="00A73728"/>
    <w:rsid w:val="00A769E1"/>
    <w:rsid w:val="00A84431"/>
    <w:rsid w:val="00A85742"/>
    <w:rsid w:val="00A90145"/>
    <w:rsid w:val="00A922A2"/>
    <w:rsid w:val="00A9366D"/>
    <w:rsid w:val="00A95A62"/>
    <w:rsid w:val="00AA2061"/>
    <w:rsid w:val="00AA3490"/>
    <w:rsid w:val="00AB43F2"/>
    <w:rsid w:val="00AC031D"/>
    <w:rsid w:val="00AC15B4"/>
    <w:rsid w:val="00AC19D6"/>
    <w:rsid w:val="00AC1A59"/>
    <w:rsid w:val="00AC2FD1"/>
    <w:rsid w:val="00AC5F78"/>
    <w:rsid w:val="00AD3C19"/>
    <w:rsid w:val="00AD4269"/>
    <w:rsid w:val="00AD51E9"/>
    <w:rsid w:val="00AD55D6"/>
    <w:rsid w:val="00AE05D8"/>
    <w:rsid w:val="00AE0AB6"/>
    <w:rsid w:val="00AE18CB"/>
    <w:rsid w:val="00AE3454"/>
    <w:rsid w:val="00AE4232"/>
    <w:rsid w:val="00AF0906"/>
    <w:rsid w:val="00AF0E3D"/>
    <w:rsid w:val="00AF5064"/>
    <w:rsid w:val="00AF6F5F"/>
    <w:rsid w:val="00AF725F"/>
    <w:rsid w:val="00B02C4B"/>
    <w:rsid w:val="00B11CED"/>
    <w:rsid w:val="00B168B5"/>
    <w:rsid w:val="00B16D68"/>
    <w:rsid w:val="00B2531F"/>
    <w:rsid w:val="00B27B7F"/>
    <w:rsid w:val="00B355FC"/>
    <w:rsid w:val="00B3578F"/>
    <w:rsid w:val="00B364BD"/>
    <w:rsid w:val="00B37E90"/>
    <w:rsid w:val="00B37EF6"/>
    <w:rsid w:val="00B418B6"/>
    <w:rsid w:val="00B44A01"/>
    <w:rsid w:val="00B46602"/>
    <w:rsid w:val="00B502B5"/>
    <w:rsid w:val="00B53136"/>
    <w:rsid w:val="00B55FE8"/>
    <w:rsid w:val="00B60B44"/>
    <w:rsid w:val="00B60E53"/>
    <w:rsid w:val="00B624C3"/>
    <w:rsid w:val="00B62751"/>
    <w:rsid w:val="00B642B2"/>
    <w:rsid w:val="00B65B0C"/>
    <w:rsid w:val="00B6657C"/>
    <w:rsid w:val="00B67617"/>
    <w:rsid w:val="00B70300"/>
    <w:rsid w:val="00B721CA"/>
    <w:rsid w:val="00B722C8"/>
    <w:rsid w:val="00B72ADB"/>
    <w:rsid w:val="00B74BF3"/>
    <w:rsid w:val="00B7635D"/>
    <w:rsid w:val="00B83E53"/>
    <w:rsid w:val="00B854F2"/>
    <w:rsid w:val="00B85C5D"/>
    <w:rsid w:val="00B86CFF"/>
    <w:rsid w:val="00B91D54"/>
    <w:rsid w:val="00B9292D"/>
    <w:rsid w:val="00B948D3"/>
    <w:rsid w:val="00B952BA"/>
    <w:rsid w:val="00BA57AC"/>
    <w:rsid w:val="00BB35D2"/>
    <w:rsid w:val="00BB4350"/>
    <w:rsid w:val="00BB6974"/>
    <w:rsid w:val="00BB7DC0"/>
    <w:rsid w:val="00BD0E5A"/>
    <w:rsid w:val="00BD17BD"/>
    <w:rsid w:val="00BD2C27"/>
    <w:rsid w:val="00BD4F54"/>
    <w:rsid w:val="00BD7D67"/>
    <w:rsid w:val="00BE1222"/>
    <w:rsid w:val="00BE25EF"/>
    <w:rsid w:val="00BE523C"/>
    <w:rsid w:val="00BE78C6"/>
    <w:rsid w:val="00C02C35"/>
    <w:rsid w:val="00C03853"/>
    <w:rsid w:val="00C0491F"/>
    <w:rsid w:val="00C05E7F"/>
    <w:rsid w:val="00C0697F"/>
    <w:rsid w:val="00C10742"/>
    <w:rsid w:val="00C12037"/>
    <w:rsid w:val="00C13B38"/>
    <w:rsid w:val="00C205E7"/>
    <w:rsid w:val="00C23A5B"/>
    <w:rsid w:val="00C25DFC"/>
    <w:rsid w:val="00C27155"/>
    <w:rsid w:val="00C309C0"/>
    <w:rsid w:val="00C409F1"/>
    <w:rsid w:val="00C4163F"/>
    <w:rsid w:val="00C43B80"/>
    <w:rsid w:val="00C43FEC"/>
    <w:rsid w:val="00C471A7"/>
    <w:rsid w:val="00C53434"/>
    <w:rsid w:val="00C6253A"/>
    <w:rsid w:val="00C6452A"/>
    <w:rsid w:val="00C664FB"/>
    <w:rsid w:val="00C66C2C"/>
    <w:rsid w:val="00C70257"/>
    <w:rsid w:val="00C73A0C"/>
    <w:rsid w:val="00C76440"/>
    <w:rsid w:val="00C81C4A"/>
    <w:rsid w:val="00C842A0"/>
    <w:rsid w:val="00C863CB"/>
    <w:rsid w:val="00C92A34"/>
    <w:rsid w:val="00C95403"/>
    <w:rsid w:val="00CA3DC1"/>
    <w:rsid w:val="00CB0423"/>
    <w:rsid w:val="00CB5989"/>
    <w:rsid w:val="00CB6EBC"/>
    <w:rsid w:val="00CB7761"/>
    <w:rsid w:val="00CC09DF"/>
    <w:rsid w:val="00CC1834"/>
    <w:rsid w:val="00CC4ACB"/>
    <w:rsid w:val="00CC5505"/>
    <w:rsid w:val="00CC7E70"/>
    <w:rsid w:val="00CD484A"/>
    <w:rsid w:val="00CF0E29"/>
    <w:rsid w:val="00CF1B08"/>
    <w:rsid w:val="00CF24C8"/>
    <w:rsid w:val="00CF6A5E"/>
    <w:rsid w:val="00CF7224"/>
    <w:rsid w:val="00D01278"/>
    <w:rsid w:val="00D0142E"/>
    <w:rsid w:val="00D015BC"/>
    <w:rsid w:val="00D03FF4"/>
    <w:rsid w:val="00D07617"/>
    <w:rsid w:val="00D119C0"/>
    <w:rsid w:val="00D126C5"/>
    <w:rsid w:val="00D15021"/>
    <w:rsid w:val="00D16D73"/>
    <w:rsid w:val="00D17F2C"/>
    <w:rsid w:val="00D2083D"/>
    <w:rsid w:val="00D2273C"/>
    <w:rsid w:val="00D308CF"/>
    <w:rsid w:val="00D36DCF"/>
    <w:rsid w:val="00D36FD2"/>
    <w:rsid w:val="00D410BE"/>
    <w:rsid w:val="00D41B67"/>
    <w:rsid w:val="00D4218C"/>
    <w:rsid w:val="00D43C6D"/>
    <w:rsid w:val="00D44A1B"/>
    <w:rsid w:val="00D44F6C"/>
    <w:rsid w:val="00D453D6"/>
    <w:rsid w:val="00D464E7"/>
    <w:rsid w:val="00D52835"/>
    <w:rsid w:val="00D55197"/>
    <w:rsid w:val="00D55C57"/>
    <w:rsid w:val="00D62552"/>
    <w:rsid w:val="00D64D94"/>
    <w:rsid w:val="00D71E20"/>
    <w:rsid w:val="00D72E45"/>
    <w:rsid w:val="00D7695C"/>
    <w:rsid w:val="00D76A55"/>
    <w:rsid w:val="00D76B35"/>
    <w:rsid w:val="00D77300"/>
    <w:rsid w:val="00D80703"/>
    <w:rsid w:val="00D82B50"/>
    <w:rsid w:val="00D84855"/>
    <w:rsid w:val="00D84F9C"/>
    <w:rsid w:val="00D86036"/>
    <w:rsid w:val="00D91632"/>
    <w:rsid w:val="00D9291A"/>
    <w:rsid w:val="00D943BC"/>
    <w:rsid w:val="00D94F1D"/>
    <w:rsid w:val="00D95C85"/>
    <w:rsid w:val="00DA362C"/>
    <w:rsid w:val="00DA6856"/>
    <w:rsid w:val="00DB02D9"/>
    <w:rsid w:val="00DB69A3"/>
    <w:rsid w:val="00DC0CC6"/>
    <w:rsid w:val="00DC1C05"/>
    <w:rsid w:val="00DC3CDA"/>
    <w:rsid w:val="00DD2568"/>
    <w:rsid w:val="00DD33BF"/>
    <w:rsid w:val="00DD3D0F"/>
    <w:rsid w:val="00DD4FFC"/>
    <w:rsid w:val="00DD6AF4"/>
    <w:rsid w:val="00DD7EA4"/>
    <w:rsid w:val="00DE0E4F"/>
    <w:rsid w:val="00DE1CCB"/>
    <w:rsid w:val="00DE3800"/>
    <w:rsid w:val="00DF0FDA"/>
    <w:rsid w:val="00DF1BD8"/>
    <w:rsid w:val="00DF2856"/>
    <w:rsid w:val="00DF3C05"/>
    <w:rsid w:val="00DF3EE1"/>
    <w:rsid w:val="00E1266A"/>
    <w:rsid w:val="00E1383D"/>
    <w:rsid w:val="00E16C32"/>
    <w:rsid w:val="00E21308"/>
    <w:rsid w:val="00E232E1"/>
    <w:rsid w:val="00E234B3"/>
    <w:rsid w:val="00E23AA8"/>
    <w:rsid w:val="00E30527"/>
    <w:rsid w:val="00E35833"/>
    <w:rsid w:val="00E370CA"/>
    <w:rsid w:val="00E41C82"/>
    <w:rsid w:val="00E45679"/>
    <w:rsid w:val="00E459F9"/>
    <w:rsid w:val="00E52EF6"/>
    <w:rsid w:val="00E530B1"/>
    <w:rsid w:val="00E54913"/>
    <w:rsid w:val="00E5515C"/>
    <w:rsid w:val="00E56538"/>
    <w:rsid w:val="00E57277"/>
    <w:rsid w:val="00E57572"/>
    <w:rsid w:val="00E631E5"/>
    <w:rsid w:val="00E638B2"/>
    <w:rsid w:val="00E75D9C"/>
    <w:rsid w:val="00E777FB"/>
    <w:rsid w:val="00E8223D"/>
    <w:rsid w:val="00E8750D"/>
    <w:rsid w:val="00E9293B"/>
    <w:rsid w:val="00EA26C1"/>
    <w:rsid w:val="00EA373A"/>
    <w:rsid w:val="00EA45F5"/>
    <w:rsid w:val="00EB091E"/>
    <w:rsid w:val="00EB09A9"/>
    <w:rsid w:val="00EB44A5"/>
    <w:rsid w:val="00EB6D22"/>
    <w:rsid w:val="00EC2684"/>
    <w:rsid w:val="00EC37C4"/>
    <w:rsid w:val="00ED2E18"/>
    <w:rsid w:val="00ED3516"/>
    <w:rsid w:val="00ED37FE"/>
    <w:rsid w:val="00ED661C"/>
    <w:rsid w:val="00EF00C2"/>
    <w:rsid w:val="00EF4E8B"/>
    <w:rsid w:val="00EF6B6B"/>
    <w:rsid w:val="00F05243"/>
    <w:rsid w:val="00F10A88"/>
    <w:rsid w:val="00F146BE"/>
    <w:rsid w:val="00F169E0"/>
    <w:rsid w:val="00F24435"/>
    <w:rsid w:val="00F249EA"/>
    <w:rsid w:val="00F24D5C"/>
    <w:rsid w:val="00F31D55"/>
    <w:rsid w:val="00F325B7"/>
    <w:rsid w:val="00F4062D"/>
    <w:rsid w:val="00F44297"/>
    <w:rsid w:val="00F44E38"/>
    <w:rsid w:val="00F507E1"/>
    <w:rsid w:val="00F523DC"/>
    <w:rsid w:val="00F52419"/>
    <w:rsid w:val="00F55140"/>
    <w:rsid w:val="00F55196"/>
    <w:rsid w:val="00F56542"/>
    <w:rsid w:val="00F56F14"/>
    <w:rsid w:val="00F5775B"/>
    <w:rsid w:val="00F70F5C"/>
    <w:rsid w:val="00F711F4"/>
    <w:rsid w:val="00F75870"/>
    <w:rsid w:val="00F92C59"/>
    <w:rsid w:val="00F94250"/>
    <w:rsid w:val="00F95696"/>
    <w:rsid w:val="00FA086B"/>
    <w:rsid w:val="00FA1693"/>
    <w:rsid w:val="00FA187F"/>
    <w:rsid w:val="00FB0887"/>
    <w:rsid w:val="00FB2795"/>
    <w:rsid w:val="00FB2B2D"/>
    <w:rsid w:val="00FB3B6D"/>
    <w:rsid w:val="00FB4058"/>
    <w:rsid w:val="00FB4D79"/>
    <w:rsid w:val="00FB7484"/>
    <w:rsid w:val="00FC3F6B"/>
    <w:rsid w:val="00FC4EFD"/>
    <w:rsid w:val="00FC6CDE"/>
    <w:rsid w:val="00FD20D0"/>
    <w:rsid w:val="00FD3263"/>
    <w:rsid w:val="00FD3C80"/>
    <w:rsid w:val="00FD5C86"/>
    <w:rsid w:val="00FD608B"/>
    <w:rsid w:val="00FD6AB6"/>
    <w:rsid w:val="00FD6BBD"/>
    <w:rsid w:val="00FD7169"/>
    <w:rsid w:val="00FE089D"/>
    <w:rsid w:val="00FE10A1"/>
    <w:rsid w:val="00FE6591"/>
    <w:rsid w:val="00FE6D0D"/>
    <w:rsid w:val="00FE6E18"/>
    <w:rsid w:val="00FF5868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26D0E"/>
  <w15:docId w15:val="{FA2E7431-F4F6-4A75-8B26-287FBD78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hr-H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tayl"/>
    <w:qFormat/>
    <w:rsid w:val="00C43B80"/>
    <w:pPr>
      <w:spacing w:line="360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3A182C"/>
    <w:pPr>
      <w:keepNext/>
      <w:keepLines/>
      <w:spacing w:before="320" w:after="0" w:line="240" w:lineRule="auto"/>
      <w:outlineLvl w:val="0"/>
    </w:pPr>
    <w:rPr>
      <w:rFonts w:ascii="Arial" w:eastAsiaTheme="majorEastAsia" w:hAnsi="Arial" w:cstheme="majorBidi"/>
      <w:b/>
      <w:color w:val="3E762A" w:themeColor="accent1" w:themeShade="BF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A182C"/>
    <w:pPr>
      <w:keepNext/>
      <w:keepLines/>
      <w:spacing w:before="80" w:after="240" w:line="240" w:lineRule="auto"/>
      <w:jc w:val="left"/>
      <w:outlineLvl w:val="1"/>
    </w:pPr>
    <w:rPr>
      <w:rFonts w:ascii="Arial" w:eastAsiaTheme="majorEastAsia" w:hAnsi="Arial" w:cstheme="majorBidi"/>
      <w:b/>
      <w:color w:val="3E762A" w:themeColor="accent1" w:themeShade="BF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D5C8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55F51" w:themeColor="text2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D5C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D5C8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D5C8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55F51" w:themeColor="text2"/>
      <w:sz w:val="21"/>
      <w:szCs w:val="21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D5C8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A4F1C" w:themeColor="accent1" w:themeShade="80"/>
      <w:sz w:val="21"/>
      <w:szCs w:val="21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D5C8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55F51" w:themeColor="text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D5C8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55F51" w:themeColor="text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6146">
    <w:name w:val="box_456146"/>
    <w:basedOn w:val="Normal"/>
    <w:rsid w:val="00A15CDB"/>
    <w:pPr>
      <w:spacing w:before="100" w:beforeAutospacing="1" w:after="225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3A182C"/>
    <w:rPr>
      <w:rFonts w:ascii="Arial" w:eastAsiaTheme="majorEastAsia" w:hAnsi="Arial" w:cstheme="majorBidi"/>
      <w:b/>
      <w:color w:val="3E762A" w:themeColor="accent1" w:themeShade="BF"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3A182C"/>
    <w:rPr>
      <w:rFonts w:ascii="Arial" w:eastAsiaTheme="majorEastAsia" w:hAnsi="Arial" w:cstheme="majorBidi"/>
      <w:b/>
      <w:color w:val="3E762A" w:themeColor="accent1" w:themeShade="BF"/>
      <w:sz w:val="24"/>
      <w:szCs w:val="28"/>
    </w:rPr>
  </w:style>
  <w:style w:type="paragraph" w:customStyle="1" w:styleId="Emphasis2">
    <w:name w:val="Emphasis 2"/>
    <w:basedOn w:val="Normal"/>
    <w:link w:val="Emphasis2Char"/>
    <w:uiPriority w:val="8"/>
    <w:rsid w:val="00D015BC"/>
    <w:pPr>
      <w:spacing w:before="240" w:after="240" w:line="288" w:lineRule="auto"/>
      <w:jc w:val="left"/>
    </w:pPr>
    <w:rPr>
      <w:b/>
      <w:spacing w:val="20"/>
      <w:lang w:val="en-US"/>
    </w:rPr>
  </w:style>
  <w:style w:type="character" w:customStyle="1" w:styleId="Emphasis2Char">
    <w:name w:val="Emphasis 2 Char"/>
    <w:basedOn w:val="Zadanifontodlomka"/>
    <w:link w:val="Emphasis2"/>
    <w:uiPriority w:val="8"/>
    <w:rsid w:val="00D015BC"/>
    <w:rPr>
      <w:b/>
      <w:color w:val="000000" w:themeColor="text1"/>
      <w:spacing w:val="20"/>
      <w:sz w:val="24"/>
      <w:szCs w:val="20"/>
      <w:lang w:val="en-US" w:eastAsia="ja-JP"/>
    </w:rPr>
  </w:style>
  <w:style w:type="table" w:styleId="Reetkatablice">
    <w:name w:val="Table Grid"/>
    <w:basedOn w:val="Obinatablica"/>
    <w:uiPriority w:val="39"/>
    <w:rsid w:val="00E3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14ECB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FD5C86"/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D5C86"/>
    <w:rPr>
      <w:rFonts w:asciiTheme="majorHAnsi" w:eastAsiaTheme="majorEastAsia" w:hAnsiTheme="majorHAnsi" w:cstheme="majorBidi"/>
      <w:sz w:val="22"/>
      <w:szCs w:val="2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D5C86"/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D5C86"/>
    <w:rPr>
      <w:rFonts w:asciiTheme="majorHAnsi" w:eastAsiaTheme="majorEastAsia" w:hAnsiTheme="majorHAnsi" w:cstheme="majorBidi"/>
      <w:i/>
      <w:iCs/>
      <w:color w:val="455F51" w:themeColor="text2"/>
      <w:sz w:val="21"/>
      <w:szCs w:val="21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D5C86"/>
    <w:rPr>
      <w:rFonts w:asciiTheme="majorHAnsi" w:eastAsiaTheme="majorEastAsia" w:hAnsiTheme="majorHAnsi" w:cstheme="majorBidi"/>
      <w:i/>
      <w:iCs/>
      <w:color w:val="2A4F1C" w:themeColor="accent1" w:themeShade="80"/>
      <w:sz w:val="21"/>
      <w:szCs w:val="21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D5C86"/>
    <w:rPr>
      <w:rFonts w:asciiTheme="majorHAnsi" w:eastAsiaTheme="majorEastAsia" w:hAnsiTheme="majorHAnsi" w:cstheme="majorBidi"/>
      <w:b/>
      <w:bCs/>
      <w:color w:val="455F51" w:themeColor="text2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D5C86"/>
    <w:rPr>
      <w:rFonts w:asciiTheme="majorHAnsi" w:eastAsiaTheme="majorEastAsia" w:hAnsiTheme="majorHAnsi" w:cstheme="majorBidi"/>
      <w:b/>
      <w:bCs/>
      <w:i/>
      <w:iCs/>
      <w:color w:val="455F51" w:themeColor="text2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FD5C8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Naslov">
    <w:name w:val="Title"/>
    <w:basedOn w:val="Normal"/>
    <w:next w:val="Normal"/>
    <w:link w:val="NaslovChar"/>
    <w:uiPriority w:val="10"/>
    <w:qFormat/>
    <w:rsid w:val="00FD5C86"/>
    <w:pPr>
      <w:spacing w:after="0" w:line="240" w:lineRule="auto"/>
      <w:contextualSpacing/>
    </w:pPr>
    <w:rPr>
      <w:rFonts w:asciiTheme="majorHAnsi" w:eastAsiaTheme="majorEastAsia" w:hAnsiTheme="majorHAnsi" w:cstheme="majorBidi"/>
      <w:color w:val="549E39" w:themeColor="accent1"/>
      <w:spacing w:val="-10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D5C86"/>
    <w:rPr>
      <w:rFonts w:asciiTheme="majorHAnsi" w:eastAsiaTheme="majorEastAsia" w:hAnsiTheme="majorHAnsi" w:cstheme="majorBidi"/>
      <w:color w:val="549E39" w:themeColor="accent1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D5C8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FD5C86"/>
    <w:rPr>
      <w:rFonts w:asciiTheme="majorHAnsi" w:eastAsiaTheme="majorEastAsia" w:hAnsiTheme="majorHAnsi" w:cstheme="majorBidi"/>
      <w:sz w:val="24"/>
      <w:szCs w:val="24"/>
    </w:rPr>
  </w:style>
  <w:style w:type="character" w:styleId="Naglaeno">
    <w:name w:val="Strong"/>
    <w:basedOn w:val="Zadanifontodlomka"/>
    <w:uiPriority w:val="22"/>
    <w:qFormat/>
    <w:rsid w:val="00FD5C86"/>
    <w:rPr>
      <w:b/>
      <w:bCs/>
    </w:rPr>
  </w:style>
  <w:style w:type="character" w:styleId="Istaknuto">
    <w:name w:val="Emphasis"/>
    <w:basedOn w:val="Zadanifontodlomka"/>
    <w:uiPriority w:val="20"/>
    <w:qFormat/>
    <w:rsid w:val="00FD5C86"/>
    <w:rPr>
      <w:i/>
      <w:iCs/>
    </w:rPr>
  </w:style>
  <w:style w:type="paragraph" w:styleId="Bezproreda">
    <w:name w:val="No Spacing"/>
    <w:uiPriority w:val="1"/>
    <w:qFormat/>
    <w:rsid w:val="00FD5C86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qFormat/>
    <w:rsid w:val="00FD5C8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D5C86"/>
    <w:rPr>
      <w:i/>
      <w:iCs/>
      <w:color w:val="404040" w:themeColor="text1" w:themeTint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D5C86"/>
    <w:pPr>
      <w:pBdr>
        <w:left w:val="single" w:sz="18" w:space="12" w:color="549E39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D5C86"/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styleId="Neupadljivoisticanje">
    <w:name w:val="Subtle Emphasis"/>
    <w:basedOn w:val="Zadanifontodlomka"/>
    <w:uiPriority w:val="19"/>
    <w:qFormat/>
    <w:rsid w:val="00FD5C86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FD5C86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FD5C86"/>
    <w:rPr>
      <w:smallCaps/>
      <w:color w:val="404040" w:themeColor="text1" w:themeTint="BF"/>
      <w:u w:val="single" w:color="7F7F7F" w:themeColor="text1" w:themeTint="80"/>
    </w:rPr>
  </w:style>
  <w:style w:type="character" w:styleId="Istaknutareferenca">
    <w:name w:val="Intense Reference"/>
    <w:basedOn w:val="Zadanifontodlomka"/>
    <w:uiPriority w:val="32"/>
    <w:qFormat/>
    <w:rsid w:val="00FD5C86"/>
    <w:rPr>
      <w:b/>
      <w:bCs/>
      <w:smallCaps/>
      <w:spacing w:val="5"/>
      <w:u w:val="single"/>
    </w:rPr>
  </w:style>
  <w:style w:type="character" w:styleId="Naslovknjige">
    <w:name w:val="Book Title"/>
    <w:basedOn w:val="Zadanifontodlomka"/>
    <w:uiPriority w:val="33"/>
    <w:qFormat/>
    <w:rsid w:val="00FD5C86"/>
    <w:rPr>
      <w:b/>
      <w:bCs/>
      <w:smallCaps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FD5C86"/>
    <w:pPr>
      <w:outlineLvl w:val="9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D5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550B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E8223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223D"/>
    <w:pPr>
      <w:spacing w:line="240" w:lineRule="auto"/>
    </w:pPr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223D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223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8223D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00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0B63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00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0B6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959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8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7644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70628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77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942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9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Dividend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Dividend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B5C3BF72F0814C92E4AE2D4DA35748" ma:contentTypeVersion="11" ma:contentTypeDescription="Stvaranje novog dokumenta." ma:contentTypeScope="" ma:versionID="b824954fde0f7034ec19a78289951314">
  <xsd:schema xmlns:xsd="http://www.w3.org/2001/XMLSchema" xmlns:xs="http://www.w3.org/2001/XMLSchema" xmlns:p="http://schemas.microsoft.com/office/2006/metadata/properties" xmlns:ns3="d6d73627-272d-413f-8952-5e49debf45a4" xmlns:ns4="e671818d-77e8-491c-8152-6f39253f8f49" targetNamespace="http://schemas.microsoft.com/office/2006/metadata/properties" ma:root="true" ma:fieldsID="553c14532a1a3882ecef99faff7aa315" ns3:_="" ns4:_="">
    <xsd:import namespace="d6d73627-272d-413f-8952-5e49debf45a4"/>
    <xsd:import namespace="e671818d-77e8-491c-8152-6f39253f8f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73627-272d-413f-8952-5e49debf4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1818d-77e8-491c-8152-6f39253f8f4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50578-2935-4318-AEE6-8EF2AEFCBD2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6d73627-272d-413f-8952-5e49debf45a4"/>
    <ds:schemaRef ds:uri="http://purl.org/dc/terms/"/>
    <ds:schemaRef ds:uri="e671818d-77e8-491c-8152-6f39253f8f49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B4EF74-4585-4463-A3B2-CDF306911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0F8A94-0266-4A71-9009-781CF0F45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73627-272d-413f-8952-5e49debf45a4"/>
    <ds:schemaRef ds:uri="e671818d-77e8-491c-8152-6f39253f8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A3540-F33E-4DDF-B95C-DDDE7AF175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a55bb0e-dbb0-42a5-b711-dedf95fe04af}" enabled="0" method="" siteId="{0a55bb0e-dbb0-42a5-b711-dedf95fe04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2296</Words>
  <Characters>13090</Characters>
  <Application>Microsoft Office Word</Application>
  <DocSecurity>0</DocSecurity>
  <Lines>109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Cvitić</dc:creator>
  <cp:lastModifiedBy>Mirta Hukman</cp:lastModifiedBy>
  <cp:revision>9</cp:revision>
  <cp:lastPrinted>2023-09-14T11:21:00Z</cp:lastPrinted>
  <dcterms:created xsi:type="dcterms:W3CDTF">2023-08-31T10:21:00Z</dcterms:created>
  <dcterms:modified xsi:type="dcterms:W3CDTF">2023-09-15T10:43:00Z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0x01010022B5C3BF72F0814C92E4AE2D4DA35748</vt:lpwstr>
  </property>
</Properties>
</file>