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er2.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afb08e2e17014e14" /></Relationships>
</file>

<file path=word/document.xml><?xml version="1.0" encoding="utf-8"?>
<w:document xmlns:w="http://schemas.openxmlformats.org/wordprocessingml/2006/main">
  <w:body>
    <w:sectPr>
      <w:footerReference xmlns:r="http://schemas.openxmlformats.org/officeDocument/2006/relationships" w:type="first" r:id="r97"/>
      <w:footerReference xmlns:r="http://schemas.openxmlformats.org/officeDocument/2006/relationships" w:type="default" r:id="r98"/>
      <w:type w:val="nextPage"/>
      <w:titlePg/>
      <w:pgNumType w:start="0"/>
      <w:pgMar w:top="1152" w:right="1152" w:bottom="1152" w:left="1152"/>
      <w:p>
        <w:pPr>
          <w:spacing w:line="240"/>
          <w:jc w:val="center"/>
        </w:pPr>
        <w:r>
          <w:rPr>
            <w:b/>
            <w:sz w:val="28"/>
            <w:rFonts w:ascii="Calibri" w:hAnsi="Calibri" w:cs="Calibri"/>
          </w:rPr>
          <w:br/>
          <w:br/>
          <w:br/>
          <w:br/>
          <w:br/>
          <w:br/>
          <w:br/>
          <w:br/>
          <w:br/>
          <w:br/>
          <w:br/>
          <w:br/>
          <w:br/>
          <w:br/>
          <w:t xml:space="preserve">OBRAZLOŽENJE IZMJENA I DOPUNA FINANCIJSKOG PLANA HRVATSKIH VODA ZA  2023. GODINU I PROJEKCIJA PLANA ZA 2024. I 2025. GODINU</w:t>
          <w:br w:type="page"/>
        </w:r>
      </w:p>
      <w:p>
        <w:pPr>
          <w:spacing w:line="240"/>
          <w:jc w:val="left"/>
        </w:pPr>
        <w:r>
          <w:rPr>
            <w:b/>
            <w:u w:val="single"/>
            <w:sz w:val="22"/>
            <w:rFonts w:ascii="Calibri" w:hAnsi="Calibri" w:cs="Calibri"/>
          </w:rPr>
          <w:br/>
          <w:t xml:space="preserve">UVOD</w:t>
        </w:r>
      </w:p>
      <w:p>
        <w:pPr>
          <w:spacing w:line="240"/>
          <w:jc w:val="both"/>
        </w:pPr>
        <w:r>
          <w:rPr>
            <w:rFonts w:ascii="Calibri" w:hAnsi="Calibri" w:cs="Calibri"/>
            <w:color w:val="000000"/>
            <w:sz w:val="22"/>
          </w:rPr>
          <w:t xml:space="preserve">Sukladno pozivu
Ministarstva financija, izrađen je prijedlog 2. Izmjena i dopuna Financijskog
plana Hrvatskih voda za 2023. godinu. </w:t>
        </w:r>
      </w:p>
      <w:p>
        <w:pPr>
          <w:spacing w:line="240"/>
          <w:jc w:val="both"/>
        </w:pPr>
        <w:r>
          <w:rPr>
            <w:rFonts w:ascii="Calibri" w:hAnsi="Calibri" w:cs="Calibri"/>
            <w:color w:val="000000"/>
            <w:sz w:val="22"/>
          </w:rPr>
          <w:t xml:space="preserve">U prijedlogu 2. Izmjena i
dopuna Financijskog plana Hrvatskih voda za 2023. godinu, ukupni prihodi iznose
877.743.702 EUR i manji su za 41.096.845 EUR što je 4,47% manje u odnosu na Plan, a
ukupni rashodi iznose 918.206.888 EUR, manji su za 4,28% u odnosu na Plan. Predloženim
Izmjenama i dopunama financijskog plana, višak/manjak ostaje nepromijenjen.</w:t>
        </w:r>
      </w:p>
      <w:p>
        <w:pPr>
          <w:spacing w:line="240"/>
          <w:jc w:val="both"/>
        </w:pPr>
        <w:r>
          <w:rPr>
            <w:rFonts w:ascii="Calibri" w:hAnsi="Calibri" w:cs="Calibri"/>
            <w:color w:val="000000"/>
            <w:sz w:val="22"/>
          </w:rPr>
          <w:t xml:space="preserve">Prijedlog ovih Izmjena i
dopuna financijskog plana sačinjen je na temelju procjene realizacije izvornih
prihoda – vodnih naknada, odobrenih kapitalnih i tekućih transfera iz Državnog
proračuna sa razdjela Ministarstva gospodarstva i održivog razvoja i
Ministarstva regionalnog razvoja i fondova EU te mogućih ostalih prihoda i
zaduživanja uz procjenu realizacije svih rashoda poslovanja i rashoda za nabavu
nefinancijske imovine do kraja 2023. godine. Predloženo smanjenje prihoda i
rashoda je uslijedilo zbog otežane provedbe sekundarnih ugovora, uslijed
nemogućnosti izvođenja radova izgradnje i rekonstrukcije regulacijsko zaštitnih
vodnih građevina i vodno komunalnih građevina. Planirana dinamika realizacije
projekata, uslijed nekoliko razdoblja obilnih i intenzivnih oborina tijekom
proljetnih i ljetnih mjeseci 2023. godine nije se mogla odvijati.</w:t>
        </w:r>
      </w:p>
      <w:p>
        <w:pPr>
          <w:spacing w:line="240"/>
          <w:jc w:val="left"/>
        </w:pPr>
        <w:r>
          <w:rPr>
            <w:b/>
            <w:u w:val="single"/>
            <w:sz w:val="22"/>
            <w:rFonts w:ascii="Calibri" w:hAnsi="Calibri" w:cs="Calibri"/>
          </w:rPr>
          <w:br/>
          <w:t xml:space="preserve">PRIHODI</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2023.</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2023.</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PRIHODI POSLOVANJA</w:t>
              </w:r>
            </w:p>
          </w:tc>
          <w:tc>
            <w:tcPr>
              <w:tcW w:w="800" w:type="pct"/>
              <w:vAlign w:val="bottom"/>
            </w:tcPr>
            <w:p>
              <w:pPr>
                <w:spacing w:after="0" w:line="240"/>
                <w:jc w:val="right"/>
              </w:pPr>
              <w:r>
                <w:rPr>
                  <w:sz w:val="18"/>
                  <w:rFonts w:ascii="Calibri" w:hAnsi="Calibri" w:cs="Calibri"/>
                </w:rPr>
                <w:t>918.827.274</w:t>
              </w:r>
            </w:p>
          </w:tc>
          <w:tc>
            <w:tcPr>
              <w:tcW w:w="800" w:type="pct"/>
              <w:vAlign w:val="bottom"/>
            </w:tcPr>
            <w:p>
              <w:pPr>
                <w:spacing w:after="0" w:line="240"/>
                <w:jc w:val="right"/>
              </w:pPr>
              <w:r>
                <w:rPr>
                  <w:sz w:val="18"/>
                  <w:rFonts w:ascii="Calibri" w:hAnsi="Calibri" w:cs="Calibri"/>
                </w:rPr>
                <w:t>-41.096.845</w:t>
              </w:r>
            </w:p>
          </w:tc>
          <w:tc>
            <w:tcPr>
              <w:tcW w:w="800" w:type="pct"/>
              <w:vAlign w:val="bottom"/>
            </w:tcPr>
            <w:p>
              <w:pPr>
                <w:spacing w:after="0" w:line="240"/>
                <w:jc w:val="right"/>
              </w:pPr>
              <w:r>
                <w:rPr>
                  <w:sz w:val="18"/>
                  <w:rFonts w:ascii="Calibri" w:hAnsi="Calibri" w:cs="Calibri"/>
                </w:rPr>
                <w:t>877.730.429</w:t>
              </w:r>
            </w:p>
          </w:tc>
          <w:tc>
            <w:tcPr>
              <w:tcW w:w="400" w:type="pct"/>
              <w:vAlign w:val="bottom"/>
            </w:tcPr>
            <w:p>
              <w:pPr>
                <w:spacing w:after="0" w:line="240"/>
                <w:jc w:val="right"/>
              </w:pPr>
              <w:r>
                <w:rPr>
                  <w:sz w:val="18"/>
                  <w:rFonts w:ascii="Calibri" w:hAnsi="Calibri" w:cs="Calibri"/>
                </w:rPr>
                <w:t>95,5</w:t>
              </w:r>
            </w:p>
          </w:tc>
        </w:tr>
        <w:tr>
          <w:tc>
            <w:tcPr>
              <w:tcW w:w="2000" w:type="pct"/>
              <w:vAlign w:val="bottom"/>
            </w:tcPr>
            <w:p>
              <w:pPr>
                <w:spacing w:after="0" w:line="240"/>
                <w:jc w:val="left"/>
              </w:pPr>
              <w:r>
                <w:rPr>
                  <w:sz w:val="18"/>
                  <w:rFonts w:ascii="Calibri" w:hAnsi="Calibri" w:cs="Calibri"/>
                </w:rPr>
                <w:t>PRIHODI OD PRODAJE NEFINANCIJSKE IMOVINE</w:t>
              </w:r>
            </w:p>
          </w:tc>
          <w:tc>
            <w:tcPr>
              <w:tcW w:w="800" w:type="pct"/>
              <w:vAlign w:val="bottom"/>
            </w:tcPr>
            <w:p>
              <w:pPr>
                <w:spacing w:after="0" w:line="240"/>
                <w:jc w:val="right"/>
              </w:pPr>
              <w:r>
                <w:rPr>
                  <w:sz w:val="18"/>
                  <w:rFonts w:ascii="Calibri" w:hAnsi="Calibri" w:cs="Calibri"/>
                </w:rPr>
                <w:t>13.273</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13.273</w:t>
              </w:r>
            </w:p>
          </w:tc>
          <w:tc>
            <w:tcPr>
              <w:tcW w:w="400" w:type="pct"/>
              <w:vAlign w:val="bottom"/>
            </w:tcPr>
            <w:p>
              <w:pPr>
                <w:spacing w:after="0" w:line="240"/>
                <w:jc w:val="right"/>
              </w:pPr>
              <w:r>
                <w:rPr>
                  <w:sz w:val="18"/>
                  <w:rFonts w:ascii="Calibri" w:hAnsi="Calibri" w:cs="Calibri"/>
                </w:rPr>
                <w:t>100,0</w:t>
              </w:r>
            </w:p>
          </w:tc>
        </w:tr>
        <w:tr>
          <w:tc>
            <w:tcPr>
              <w:tcW w:w="2000" w:type="pct"/>
              <w:vAlign w:val="bottom"/>
            </w:tcPr>
            <w:p>
              <w:pPr>
                <w:spacing w:after="0" w:line="240"/>
                <w:jc w:val="left"/>
              </w:pPr>
              <w:r>
                <w:rPr>
                  <w:b/>
                  <w:sz w:val="18"/>
                  <w:rFonts w:ascii="Calibri" w:hAnsi="Calibri" w:cs="Calibri"/>
                </w:rPr>
                <w:t>UKUPNI PRIHODI</w:t>
              </w:r>
            </w:p>
          </w:tc>
          <w:tc>
            <w:tcPr>
              <w:tcW w:w="800" w:type="pct"/>
              <w:vAlign w:val="bottom"/>
            </w:tcPr>
            <w:p>
              <w:pPr>
                <w:spacing w:after="0" w:line="240"/>
                <w:jc w:val="right"/>
              </w:pPr>
              <w:r>
                <w:rPr>
                  <w:b/>
                  <w:sz w:val="18"/>
                  <w:rFonts w:ascii="Calibri" w:hAnsi="Calibri" w:cs="Calibri"/>
                </w:rPr>
                <w:t>918.840.547</w:t>
              </w:r>
            </w:p>
          </w:tc>
          <w:tc>
            <w:tcPr>
              <w:tcW w:w="800" w:type="pct"/>
              <w:vAlign w:val="bottom"/>
            </w:tcPr>
            <w:p>
              <w:pPr>
                <w:spacing w:after="0" w:line="240"/>
                <w:jc w:val="right"/>
              </w:pPr>
              <w:r>
                <w:rPr>
                  <w:b/>
                  <w:sz w:val="18"/>
                  <w:rFonts w:ascii="Calibri" w:hAnsi="Calibri" w:cs="Calibri"/>
                </w:rPr>
                <w:t>-41.096.845</w:t>
              </w:r>
            </w:p>
          </w:tc>
          <w:tc>
            <w:tcPr>
              <w:tcW w:w="800" w:type="pct"/>
              <w:vAlign w:val="bottom"/>
            </w:tcPr>
            <w:p>
              <w:pPr>
                <w:spacing w:after="0" w:line="240"/>
                <w:jc w:val="right"/>
              </w:pPr>
              <w:r>
                <w:rPr>
                  <w:b/>
                  <w:sz w:val="18"/>
                  <w:rFonts w:ascii="Calibri" w:hAnsi="Calibri" w:cs="Calibri"/>
                </w:rPr>
                <w:t>877.743.702</w:t>
              </w:r>
            </w:p>
          </w:tc>
          <w:tc>
            <w:tcPr>
              <w:tcW w:w="400" w:type="pct"/>
              <w:vAlign w:val="bottom"/>
            </w:tcPr>
            <w:p>
              <w:pPr>
                <w:spacing w:after="0" w:line="240"/>
                <w:jc w:val="right"/>
              </w:pPr>
              <w:r>
                <w:rPr>
                  <w:b/>
                  <w:sz w:val="18"/>
                  <w:rFonts w:ascii="Calibri" w:hAnsi="Calibri" w:cs="Calibri"/>
                </w:rPr>
                <w:t>95,5</w:t>
              </w:r>
            </w:p>
          </w:tc>
        </w:tr>
      </w:tbl>
      <w:p>
        <w:pPr>
          <w:spacing w:after="0" w:line="240"/>
        </w:pPr>
      </w:p>
      <w:p>
        <w:pPr>
          <w:spacing w:line="240"/>
          <w:jc w:val="both"/>
        </w:pPr>
        <w:r>
          <w:rPr>
            <w:rFonts w:ascii="Calibri" w:hAnsi="Calibri" w:cs="Calibri"/>
            <w:color w:val="000000"/>
            <w:sz w:val="22"/>
          </w:rPr>
          <w:t xml:space="preserve">Ukupno smanjenje prihoda poslovanja u iznosu od 41.096.845 EUR,
odnosno sa planiranih 918.827.274 EUR na 877.730.429 EUR, predstavlja rezultat smanjenja
prihoda od pomoći iz inozemstva i od subjekata unutar općeg proračuna u iznosu
od 50.831.233 EUR, prihoda od prodaje proizvoda i roba te pruženih usluga i
prihoda od donacija u iznosu od 1.186.587 EUR te povećanja prihoda od upravnih
i administrativnih pristojbi, pristojbi po posebnim propisima i naknada u
iznosu od 10.920.975 EUR. Najveće povećanje izvornih prihoda odnosi se na
naknadu za korištenje voda koje je ostvareno uslijed znatno većih obveza HEP-a
s osnova korištenja vodnih snaga za proizvodnju električne energije –
hidroelektrane. Ovaj prihod je teško planirati jer u cijelosti ovisi o
vremenskim prilikama i količini električne energije koja se u godini dana
proizvede u hidrocentralama. U
istom periodu prošle godine (15.09.2022.) naplaćeno je s navedene osnove 2.385.323,33 EUR,
dok je u 2023. godini naplaćeno 9.719.020,06 EUR, što je 7.333.696,73 EUR više. </w:t>
        </w:r>
        <w:r>
          <w:rPr>
            <w:rFonts w:ascii="Calibri" w:hAnsi="Calibri" w:cs="Calibri"/>
            <w:sz w:val="22"/>
          </w:rPr>
          <w:t xml:space="preserve">Naknada za
uređenje voda se plaća za sve nekretnine osim za poljoprivredno zemljište. Naplaćuje
se putem jedinica lokalne samouprave  (dalje u tekstu: JLS) uz komunalnu naknadu ili ju naplaćuju Hrvatske vode za JLS koje imaju manje od 2.000 stanovnika. Na temelju očevidnika komunalne naknade
vodi se očevidnik naknade za uređenje voda. Kako JLS-ovi ažuriraju očevidnike,
zadužuju nove obveznike i vrše naplatu a istovremeno Hrvatske vode kontroliraju
JLS-ove i potiču mjere naplate, bilježimo sve veći prihod naknade za uređenje
voda. JLS-ovi putem kojih smo u 2022. godine ostvarili 84,93 % ukupnog prihoda
naknade za uređenje voda, u ovoj su godini doznačili 77.203.152,33 EUR dok su prošle godine doznačili
76.236.323,66 EUR što ukazuje na ovogodišnje povećanje od 966.828,67 EUR. Za
očekivati je daljnji porast prihoda naknade za uređenje voda uslijed ažuriranja
očevidnika i angažmana Hrvatskih voda na kontrolama naplate. Vodni doprinos
bilježi porast prihoda u istom razdoblju prošle i ove godine u iznosu1.006.877,21 EUR. Povećanje je uslijed veće građevinske aktivnosti, kao i većeg broja izdanih rješenja o obračunu vodnoga doprinosa.</w:t>
        </w:r>
      </w:p>
      <w:p>
        <w:pPr>
          <w:spacing w:line="240"/>
          <w:jc w:val="both"/>
        </w:pPr>
        <w:r>
          <w:rPr>
            <w:rFonts w:ascii="Calibri" w:hAnsi="Calibri" w:cs="Calibri"/>
            <w:color w:val="000000"/>
            <w:sz w:val="22"/>
          </w:rPr>
          <w:t xml:space="preserve">U ukupnom iznosu smanjenja
prihoda poslovanja od 50.831.233 EUR, predloženo je smanjenje pomoći temeljem
prijenosa EU sredstava u iznosu od 37.918.886 EUR, od čega je 5.300.602 EUR s
osnova sredstava EU u okviru Operativnog programa "Konkurentnost i kohezija 2014-2020." za Projekt zaštite od poplava grada Ogulina i Projekt zaštite od poplava Karlovačko-sisačkog
područja, 856.072 EUR s osnova sredstava EU iz Fonda za pomorstvo i ribarstvo
za dovodne kanale ribnjaka i 4.370.332 EUR s osnova sredstava EU iz Fonda
solidarnosti Europske unije za sanaciju šteta od potresa na području Zagrebačke
i Sisačko-moslavačke županije. Smanjenje od 28.868.914 EUR sastoji se od 8.800.000
EUR s osnova sredstava EU iz Mehanizma za oporavak i otpornost za program
razvoja javne vodoopskrbe, 6.416.312 EUR s osnova EU sredstava iz Mehanizma za
otpornost i oporavak za program smanjenja rizika od katastrofa u sektoru
upravljanja vodama te 13.652.602 EUR s osnova EU sredstava iz Mehanizma za
oporavak i otpornost za svrhu provedbe programa vodnog gospodarstva kroz
projekte koji se prebacuju iz OPKK 2014. - 2020. u Mehanizam za otpornost i oporavak.  Povećanje pomoći temeljem prijenosa EU
sredstava je predloženo u iznosu od 1.477.034 EUR, od čega je iznos od 285.305
EUR za Projekt obnove riječnih tokova - Improve river life, a 1.191.729 EUR je tehnička pomoć za Hrvatske vode kao Posredničko tijelo razine2.</w:t>
        </w:r>
      </w:p>
      <w:p>
        <w:pPr>
          <w:spacing w:line="240"/>
          <w:jc w:val="both"/>
        </w:pPr>
        <w:r>
          <w:rPr>
            <w:rFonts w:ascii="Calibri" w:hAnsi="Calibri" w:cs="Calibri"/>
            <w:color w:val="000000"/>
            <w:sz w:val="22"/>
          </w:rPr>
          <w:t xml:space="preserve">Pomoći proračunu iz drugih
proračuna predlažu se smanjiti za 12.912.347 EUR, odnosno sa 194.349.086 EUR na
181.436.739 EUR. Spomenuti iznos odnosi se na učešća Državnog proračuna u
sufinanciranju EU projekata te su sukladni predloženom smanjenju pomoći temeljem
prijenosa EU sredstava.</w:t>
        </w:r>
      </w:p>
      <w:p>
        <w:pPr>
          <w:spacing w:line="240"/>
          <w:jc w:val="both"/>
        </w:pPr>
        <w:r>
          <w:rPr>
            <w:rFonts w:ascii="Calibri" w:hAnsi="Calibri" w:cs="Calibri"/>
            <w:color w:val="000000"/>
            <w:sz w:val="22"/>
          </w:rPr>
          <w:t xml:space="preserve">Prihodi od prodaje
proizvoda i robe te pruženih usluga i prihodi od donacija predlažu se smanjiti
u iznosu od 1.186.587 EUR kroz kapitalne donacije, odnosno učešće javnih
isporučitelja vodnih usluga u sufinanciranju EU projekata što je sukladno
smanjenju pomoći temeljem prijenosa EU sredstava. Prihodi od upravnih i
administrativnih pristojbi, pristojbi po posebnim propisima, odnosno prihodi
vodnog gospodarstva od vodnih naknada predlažu se povećati za 10.920.975 EUR
odnosno za 3,84%, od čega se iznos od 10.420.975 EUR odnosi na prihode od
vodnoga gospodarstva, odnosno na povećanje prihoda od naknade za korištenje
voda iznosom od 7.420.000 EUR u odnosu na planirano, povećanje prihoda od
naknade za uređenje voda iznosom 2.000.000 EUR sukladno intenzivnoj provedbi
mjera za naplatu istih i povećanje prihoda od vodnog doprinosa iznosom od 1.000.975 EUR sukladno izdanim rješenjima za nove građevine, a koja dospijevaju
na naplatu u 2023. godini. Ostali nespomenuti prihodi planiraju se povećati
iznosom od 500.000 EUR u odnosu na planirane. </w:t>
        </w:r>
      </w:p>
      <w:p>
        <w:pPr>
          <w:spacing w:line="240"/>
          <w:jc w:val="left"/>
        </w:pPr>
        <w:r>
          <w:rPr>
            <w:b/>
            <w:u w:val="single"/>
            <w:sz w:val="22"/>
            <w:rFonts w:ascii="Calibri" w:hAnsi="Calibri" w:cs="Calibri"/>
          </w:rPr>
          <w:br/>
          <w:t xml:space="preserve">RASHODI</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2023.</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2023.</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RASHODI POSLOVANJA</w:t>
              </w:r>
            </w:p>
          </w:tc>
          <w:tc>
            <w:tcPr>
              <w:tcW w:w="800" w:type="pct"/>
              <w:vAlign w:val="bottom"/>
            </w:tcPr>
            <w:p>
              <w:pPr>
                <w:spacing w:after="0" w:line="240"/>
                <w:jc w:val="right"/>
              </w:pPr>
              <w:r>
                <w:rPr>
                  <w:sz w:val="18"/>
                  <w:rFonts w:ascii="Calibri" w:hAnsi="Calibri" w:cs="Calibri"/>
                </w:rPr>
                <w:t>871.495.254</w:t>
              </w:r>
            </w:p>
          </w:tc>
          <w:tc>
            <w:tcPr>
              <w:tcW w:w="800" w:type="pct"/>
              <w:vAlign w:val="bottom"/>
            </w:tcPr>
            <w:p>
              <w:pPr>
                <w:spacing w:after="0" w:line="240"/>
                <w:jc w:val="right"/>
              </w:pPr>
              <w:r>
                <w:rPr>
                  <w:sz w:val="18"/>
                  <w:rFonts w:ascii="Calibri" w:hAnsi="Calibri" w:cs="Calibri"/>
                </w:rPr>
                <w:t>-33.026.405</w:t>
              </w:r>
            </w:p>
          </w:tc>
          <w:tc>
            <w:tcPr>
              <w:tcW w:w="800" w:type="pct"/>
              <w:vAlign w:val="bottom"/>
            </w:tcPr>
            <w:p>
              <w:pPr>
                <w:spacing w:after="0" w:line="240"/>
                <w:jc w:val="right"/>
              </w:pPr>
              <w:r>
                <w:rPr>
                  <w:sz w:val="18"/>
                  <w:rFonts w:ascii="Calibri" w:hAnsi="Calibri" w:cs="Calibri"/>
                </w:rPr>
                <w:t>838.468.849</w:t>
              </w:r>
            </w:p>
          </w:tc>
          <w:tc>
            <w:tcPr>
              <w:tcW w:w="400" w:type="pct"/>
              <w:vAlign w:val="bottom"/>
            </w:tcPr>
            <w:p>
              <w:pPr>
                <w:spacing w:after="0" w:line="240"/>
                <w:jc w:val="right"/>
              </w:pPr>
              <w:r>
                <w:rPr>
                  <w:sz w:val="18"/>
                  <w:rFonts w:ascii="Calibri" w:hAnsi="Calibri" w:cs="Calibri"/>
                </w:rPr>
                <w:t>96,2</w:t>
              </w:r>
            </w:p>
          </w:tc>
        </w:tr>
        <w:tr>
          <w:tc>
            <w:tcPr>
              <w:tcW w:w="2000" w:type="pct"/>
              <w:vAlign w:val="bottom"/>
            </w:tcPr>
            <w:p>
              <w:pPr>
                <w:spacing w:after="0" w:line="240"/>
                <w:jc w:val="left"/>
              </w:pPr>
              <w:r>
                <w:rPr>
                  <w:sz w:val="18"/>
                  <w:rFonts w:ascii="Calibri" w:hAnsi="Calibri" w:cs="Calibri"/>
                </w:rPr>
                <w:t>RASHODI ZA NABAVU NEFINANCIJSKE IMOVINE</w:t>
              </w:r>
            </w:p>
          </w:tc>
          <w:tc>
            <w:tcPr>
              <w:tcW w:w="800" w:type="pct"/>
              <w:vAlign w:val="bottom"/>
            </w:tcPr>
            <w:p>
              <w:pPr>
                <w:spacing w:after="0" w:line="240"/>
                <w:jc w:val="right"/>
              </w:pPr>
              <w:r>
                <w:rPr>
                  <w:sz w:val="18"/>
                  <w:rFonts w:ascii="Calibri" w:hAnsi="Calibri" w:cs="Calibri"/>
                </w:rPr>
                <w:t>87.808.479</w:t>
              </w:r>
            </w:p>
          </w:tc>
          <w:tc>
            <w:tcPr>
              <w:tcW w:w="800" w:type="pct"/>
              <w:vAlign w:val="bottom"/>
            </w:tcPr>
            <w:p>
              <w:pPr>
                <w:spacing w:after="0" w:line="240"/>
                <w:jc w:val="right"/>
              </w:pPr>
              <w:r>
                <w:rPr>
                  <w:sz w:val="18"/>
                  <w:rFonts w:ascii="Calibri" w:hAnsi="Calibri" w:cs="Calibri"/>
                </w:rPr>
                <w:t>-8.070.440</w:t>
              </w:r>
            </w:p>
          </w:tc>
          <w:tc>
            <w:tcPr>
              <w:tcW w:w="800" w:type="pct"/>
              <w:vAlign w:val="bottom"/>
            </w:tcPr>
            <w:p>
              <w:pPr>
                <w:spacing w:after="0" w:line="240"/>
                <w:jc w:val="right"/>
              </w:pPr>
              <w:r>
                <w:rPr>
                  <w:sz w:val="18"/>
                  <w:rFonts w:ascii="Calibri" w:hAnsi="Calibri" w:cs="Calibri"/>
                </w:rPr>
                <w:t>79.738.039</w:t>
              </w:r>
            </w:p>
          </w:tc>
          <w:tc>
            <w:tcPr>
              <w:tcW w:w="400" w:type="pct"/>
              <w:vAlign w:val="bottom"/>
            </w:tcPr>
            <w:p>
              <w:pPr>
                <w:spacing w:after="0" w:line="240"/>
                <w:jc w:val="right"/>
              </w:pPr>
              <w:r>
                <w:rPr>
                  <w:sz w:val="18"/>
                  <w:rFonts w:ascii="Calibri" w:hAnsi="Calibri" w:cs="Calibri"/>
                </w:rPr>
                <w:t>90,8</w:t>
              </w:r>
            </w:p>
          </w:tc>
        </w:tr>
        <w:tr>
          <w:tc>
            <w:tcPr>
              <w:tcW w:w="2000" w:type="pct"/>
              <w:vAlign w:val="bottom"/>
            </w:tcPr>
            <w:p>
              <w:pPr>
                <w:spacing w:after="0" w:line="240"/>
                <w:jc w:val="left"/>
              </w:pPr>
              <w:r>
                <w:rPr>
                  <w:b/>
                  <w:sz w:val="18"/>
                  <w:rFonts w:ascii="Calibri" w:hAnsi="Calibri" w:cs="Calibri"/>
                </w:rPr>
                <w:t>UKUPNI RASHODI</w:t>
              </w:r>
            </w:p>
          </w:tc>
          <w:tc>
            <w:tcPr>
              <w:tcW w:w="800" w:type="pct"/>
              <w:vAlign w:val="bottom"/>
            </w:tcPr>
            <w:p>
              <w:pPr>
                <w:spacing w:after="0" w:line="240"/>
                <w:jc w:val="right"/>
              </w:pPr>
              <w:r>
                <w:rPr>
                  <w:b/>
                  <w:sz w:val="18"/>
                  <w:rFonts w:ascii="Calibri" w:hAnsi="Calibri" w:cs="Calibri"/>
                </w:rPr>
                <w:t>959.303.733</w:t>
              </w:r>
            </w:p>
          </w:tc>
          <w:tc>
            <w:tcPr>
              <w:tcW w:w="800" w:type="pct"/>
              <w:vAlign w:val="bottom"/>
            </w:tcPr>
            <w:p>
              <w:pPr>
                <w:spacing w:after="0" w:line="240"/>
                <w:jc w:val="right"/>
              </w:pPr>
              <w:r>
                <w:rPr>
                  <w:b/>
                  <w:sz w:val="18"/>
                  <w:rFonts w:ascii="Calibri" w:hAnsi="Calibri" w:cs="Calibri"/>
                </w:rPr>
                <w:t>-41.096.845</w:t>
              </w:r>
            </w:p>
          </w:tc>
          <w:tc>
            <w:tcPr>
              <w:tcW w:w="800" w:type="pct"/>
              <w:vAlign w:val="bottom"/>
            </w:tcPr>
            <w:p>
              <w:pPr>
                <w:spacing w:after="0" w:line="240"/>
                <w:jc w:val="right"/>
              </w:pPr>
              <w:r>
                <w:rPr>
                  <w:b/>
                  <w:sz w:val="18"/>
                  <w:rFonts w:ascii="Calibri" w:hAnsi="Calibri" w:cs="Calibri"/>
                </w:rPr>
                <w:t>918.206.888</w:t>
              </w:r>
            </w:p>
          </w:tc>
          <w:tc>
            <w:tcPr>
              <w:tcW w:w="400" w:type="pct"/>
              <w:vAlign w:val="bottom"/>
            </w:tcPr>
            <w:p>
              <w:pPr>
                <w:spacing w:after="0" w:line="240"/>
                <w:jc w:val="right"/>
              </w:pPr>
              <w:r>
                <w:rPr>
                  <w:b/>
                  <w:sz w:val="18"/>
                  <w:rFonts w:ascii="Calibri" w:hAnsi="Calibri" w:cs="Calibri"/>
                </w:rPr>
                <w:t>95,7</w:t>
              </w:r>
            </w:p>
          </w:tc>
        </w:tr>
      </w:tbl>
      <w:p>
        <w:pPr>
          <w:spacing w:after="0" w:line="240"/>
        </w:pPr>
      </w:p>
      <w:p>
        <w:pPr>
          <w:spacing w:line="240"/>
          <w:jc w:val="both"/>
        </w:pPr>
        <w:r>
          <w:rPr>
            <w:rFonts w:ascii="Calibri" w:hAnsi="Calibri" w:cs="Calibri"/>
            <w:color w:val="000000"/>
            <w:sz w:val="22"/>
          </w:rPr>
          <w:t xml:space="preserve">Ukupni rashodi su
predloženi sa smanjenjem od 41.096.845 EUR, od čega se na smanjenje rashoda
poslovanja odnosi iznos od 33.026.405 EUR, a na smanjenje rashoda za
nefinancijsku imovinu iznos od 8.070.440 EUR, a sve sukladno smanjenju prihoda
i namjeni za koje su predviđeni.</w:t>
        </w:r>
      </w:p>
      <w:p>
        <w:pPr>
          <w:spacing w:line="240"/>
          <w:jc w:val="both"/>
        </w:pPr>
        <w:r>
          <w:rPr>
            <w:rFonts w:ascii="Calibri" w:hAnsi="Calibri" w:cs="Calibri"/>
            <w:color w:val="000000"/>
            <w:sz w:val="22"/>
          </w:rPr>
          <w:t xml:space="preserve">Rashodi za zaposlene su
povećani za 2,19% kako bi se do kraja godine osigurala dostatna sredstva za
ispunjenje svih obaveza za bruto plaće, doprinose na plaće i ostale rashode za
zaposlene. Materijalni rashodi su povećani za 8,22%, odnosno za 14.376.081 EUR.
Unutar ovih rashoda povećani su rashodi za zaposlene za 45.000 EUR, rashodi za
materijal i energiju 535.000 EUR, rashodi za usluge 13.796.081 EUR. </w:t>
        </w:r>
      </w:p>
      <w:p>
        <w:pPr>
          <w:spacing w:line="240"/>
          <w:jc w:val="both"/>
        </w:pPr>
        <w:r>
          <w:rPr>
            <w:rFonts w:ascii="Calibri" w:hAnsi="Calibri" w:cs="Calibri"/>
            <w:color w:val="000000"/>
            <w:sz w:val="22"/>
          </w:rPr>
          <w:t xml:space="preserve">U rashodima za usluge
najveće je povećanje usluga tekućeg i investicijskog održavanja od 9.986.971
EUR. Najveće predloženo povećanje ovih rashoda je u okviru programa Tekuće
tehničko i gospodarsko održavanje vodotka, vodnih građevina i vodnog dobra u
okviru aktivnosti Redovno održavanje vodotoka, vodnih građevina i vodnog dobra
koje se planira ostvartiti povećanim iznosom od 11.673.002 EUR, </w:t>
        </w:r>
        <w:r>
          <w:rPr>
            <w:rFonts w:ascii="Calibri" w:hAnsi="Calibri" w:cs="Calibri"/>
            <w:color w:val="000000"/>
            <w:sz w:val="22"/>
          </w:rPr>
          <w:t xml:space="preserve">dok ukupno predloženo
povećanje za ovu aktivnost iznosi 11.735.542 EUR, gdje je iznos od 62.540 EUR
predviđen za povećanje rashoda za komunalne usluge.</w:t>
        </w:r>
        <w:r>
          <w:rPr>
            <w:rFonts w:ascii="Calibri" w:hAnsi="Calibri" w:cs="Calibri"/>
            <w:color w:val="000000"/>
            <w:sz w:val="22"/>
          </w:rPr>
          <w:t xml:space="preserve"> Isto je nužno
za financiranje provedenih mjera obrane od poplava u svibnju i kolovozu ove
godine te za saniranje posljedica poplavnih događaja na regulacijskim i
zaštitnim vodnim građevinama diljem Republike Hrvatske, a u svrhu uspostave
funkcionalnog stanja zaštite korita vodotoka i sustava odvodnje od erozije uz
osiguranje protočnosti. U okviru aktivnosti Obnavljanje melioracijskih građevina
za odvodnju i navodnjavanje usluge tekućeg i investicijskog održavanja
smanjenje su za 1.686.031 EUR sukladno smanjenju očekivanih prihoda iz
Fonda za pomorstvo i ribarstvo za dovodne kanale ribnjaka.</w:t>
        </w:r>
      </w:p>
      <w:p>
        <w:pPr>
          <w:spacing w:line="240"/>
          <w:jc w:val="both"/>
        </w:pPr>
        <w:r>
          <w:rPr>
            <w:rFonts w:ascii="Calibri" w:hAnsi="Calibri" w:cs="Calibri"/>
            <w:color w:val="000000"/>
            <w:sz w:val="22"/>
          </w:rPr>
          <w:t xml:space="preserve">Unutar rashoda za usluge povećane
su zdravstvene i veterinarske usluge, intelektualne i osobne usluge, računalne
i ostale usluge, a sve sukladno procjeni potrebnih rashoda za funkcioniranje
potreba redovnog poslovanja.</w:t>
        </w:r>
      </w:p>
      <w:p>
        <w:pPr>
          <w:spacing w:line="240"/>
          <w:jc w:val="both"/>
        </w:pPr>
        <w:r>
          <w:rPr>
            <w:rFonts w:ascii="Calibri" w:hAnsi="Calibri" w:cs="Calibri"/>
            <w:color w:val="000000"/>
            <w:sz w:val="22"/>
          </w:rPr>
          <w:t xml:space="preserve">Financijski rashodi se
povećavaju za 1.429.000 EUR s osnova kamata za dugoročne kredite, radi porasta
varijabilne kamatne stope i obveze za kamate po novom zaduživanju odobrenom u
svibnju ove godine. </w:t>
        </w:r>
      </w:p>
      <w:p>
        <w:pPr>
          <w:spacing w:line="240"/>
          <w:jc w:val="both"/>
        </w:pPr>
        <w:r>
          <w:rPr>
            <w:rFonts w:ascii="Calibri" w:hAnsi="Calibri" w:cs="Calibri"/>
            <w:color w:val="000000"/>
            <w:sz w:val="22"/>
          </w:rPr>
          <w:t xml:space="preserve">Subvencije trgovačkim
društvima u javnom sektoru se smanjuju za 12.661 EUR sukladno ugovoru o
sufinanciranju „Vodovodu Korenica“ za mobilni uređaj u NP Plitvička jezera.</w:t>
        </w:r>
      </w:p>
      <w:p>
        <w:pPr>
          <w:spacing w:line="240"/>
          <w:jc w:val="both"/>
        </w:pPr>
        <w:r>
          <w:rPr>
            <w:rFonts w:ascii="Calibri" w:hAnsi="Calibri" w:cs="Calibri"/>
            <w:color w:val="000000"/>
            <w:sz w:val="22"/>
          </w:rPr>
          <w:t xml:space="preserve">Pomoći dane u inozemstvo i
unutar općeg proračuna se smanjuju za 1.549.324 EUR. Sukladno Planu poslovanja
Instituta za vode „Josip Juraj Strossmayer“ smanjuju se kapitalne i tekuće
pomoći za 547.908 EUR, a jedinicama lokalne samouprave za 800.000 EUR i to iz
razloga financiranja projekata sanacije klizišta iz drugog izvora putem javnog
poziva FSEU.2022.MINGOR.02. županijama. Investitorima u sustavima navodnjavanja
smanjuju se kapitalne pomoći za 301.416 EUR radi sporije dinamike realizacije
od planirane. </w:t>
        </w:r>
      </w:p>
      <w:p>
        <w:pPr>
          <w:spacing w:line="240"/>
          <w:jc w:val="both"/>
        </w:pPr>
        <w:r>
          <w:rPr>
            <w:rFonts w:ascii="Calibri" w:hAnsi="Calibri" w:cs="Calibri"/>
            <w:color w:val="000000"/>
            <w:sz w:val="22"/>
          </w:rPr>
          <w:t xml:space="preserve">U okviru ovih rashoda
dodan je iznos za projekt LIDAR „Multisenzorsko zračno snimanje Republike
Hrvatske za potrebe procjene smanjenja rizika od katastrofa“ gdje su Hrvatske
vode sufinancijer projekta u dijelu Multisenzorsko zračno snimanje Republike
Hrvatske.</w:t>
        </w:r>
      </w:p>
      <w:p>
        <w:pPr>
          <w:spacing w:line="240"/>
          <w:jc w:val="both"/>
        </w:pPr>
        <w:r>
          <w:rPr>
            <w:rFonts w:ascii="Calibri" w:hAnsi="Calibri" w:cs="Calibri"/>
            <w:color w:val="000000"/>
            <w:sz w:val="22"/>
          </w:rPr>
          <w:t xml:space="preserve">Ostali rashodi smanjuju se
za 47.919.501 EUR, što iznosi 7,40%, a odnose se na kapitalne pomoći kreditnim
i financijskim institucijama te trgovačkim društvima u javnom sektoru, a to su
javni isporučitelji vodnih usluga, investitori u ulaganjima u infrastrukturne
projekte. Smanjenje ovih rashoda je sukladno</w:t>
        </w:r>
        <w:r>
          <w:rPr>
            <w:rFonts w:ascii="Calibri" w:hAnsi="Calibri" w:cs="Calibri"/>
            <w:color w:val="000000"/>
            <w:sz w:val="22"/>
          </w:rPr>
          <w:t xml:space="preserve"> </w:t>
        </w:r>
        <w:r>
          <w:rPr>
            <w:rFonts w:ascii="Calibri" w:hAnsi="Calibri" w:cs="Calibri"/>
            <w:sz w:val="22"/>
          </w:rPr>
          <w:t xml:space="preserve">smanjenju prihoda za ove namjene</w:t>
        </w:r>
        <w:r>
          <w:rPr>
            <w:rFonts w:ascii="Calibri" w:hAnsi="Calibri" w:cs="Calibri"/>
            <w:sz w:val="22"/>
          </w:rPr>
          <w:t xml:space="preserve"> </w:t>
        </w:r>
        <w:r>
          <w:rPr>
            <w:rFonts w:ascii="Calibri" w:hAnsi="Calibri" w:cs="Calibri"/>
            <w:sz w:val="22"/>
          </w:rPr>
          <w:t xml:space="preserve">temeljem procjene moguće realizacija do kraja ove godine.</w:t>
        </w:r>
      </w:p>
      <w:p>
        <w:pPr>
          <w:spacing w:line="240"/>
          <w:jc w:val="both"/>
        </w:pPr>
        <w:r>
          <w:rPr>
            <w:rFonts w:ascii="Calibri" w:hAnsi="Calibri" w:cs="Calibri"/>
            <w:color w:val="000000"/>
            <w:sz w:val="22"/>
          </w:rPr>
          <w:t xml:space="preserve">Rashodi za nabavu
nefinancijske imovine se smanjuju za 8.070.440 EUR, što je 9,19%. Od toga,
smanjuju se rashodi za </w:t>
        </w:r>
        <w:r>
          <w:rPr>
            <w:rFonts w:ascii="Calibri" w:hAnsi="Calibri" w:cs="Calibri"/>
            <w:color w:val="000000"/>
            <w:sz w:val="22"/>
          </w:rPr>
          <w:t xml:space="preserve">nabavu proizvedene
dugotrajne imovine u iznosu od 5.521.516 EUR. Isto je rezultat povećanja
rashoda za poslovne objekte u iznosu od 1.732.863 EUR i smanjenja rashoda u
okviru aktivnosti IPA projekti i projekti iz EU fondova za projekte zaštite od
poplava grada Ogulina i zaštite od poplava Karlovačko-sisačkog područja,
proporcionalno smanjenju planiranih prihoda iz bespovratnih EU sredstava
(smanjenje u iznosu od 6.236.003 EUR), rashoda u okviru aktivnosti Projekti
navodnjavanja (smanjenje u iznosu od 598.941 EUR) i rashoda u okviru aktivnosti
Opremanje (smanjenje u iznosu od 419.435 EUR za nabavu ostale opreme koja će
biti realizirana u narednim godinama).</w:t>
        </w:r>
        <w:r>
          <w:rPr>
            <w:rFonts w:ascii="Calibri" w:hAnsi="Calibri" w:cs="Calibri"/>
            <w:color w:val="FF0000"/>
            <w:sz w:val="22"/>
          </w:rPr>
          <w:t xml:space="preserve"> </w:t>
        </w:r>
        <w:r>
          <w:rPr>
            <w:rFonts w:ascii="Calibri" w:hAnsi="Calibri" w:cs="Calibri"/>
            <w:color w:val="000000"/>
            <w:sz w:val="22"/>
          </w:rPr>
          <w:t xml:space="preserve">Rashodi za dodatna ulaganja na građevinskim objektima - vodnim
građevinama smanjuju se u iznosu od 2.548.924 EUR, a isti se odnose na ulaganja
u regulacijsko zaštitne vodne građevine čija planirana dinamika uslijed više
razdoblja obilnih i intenzivnih oborina nije moguća do kraja 2023. godine.</w:t>
        </w:r>
      </w:p>
      <w:p>
        <w:pPr>
          <w:spacing w:line="240"/>
          <w:jc w:val="left"/>
        </w:pPr>
        <w:r>
          <w:rPr>
            <w:b/>
            <w:u w:val="single"/>
            <w:sz w:val="22"/>
            <w:rFonts w:ascii="Calibri" w:hAnsi="Calibri" w:cs="Calibri"/>
          </w:rPr>
          <w:br/>
          <w:t xml:space="preserve">UKUPNI VIŠAK/MANJAK</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2023.</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2023.</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UKUPNI PRIHODI</w:t>
              </w:r>
            </w:p>
          </w:tc>
          <w:tc>
            <w:tcPr>
              <w:tcW w:w="800" w:type="pct"/>
              <w:vAlign w:val="bottom"/>
            </w:tcPr>
            <w:p>
              <w:pPr>
                <w:spacing w:after="0" w:line="240"/>
                <w:jc w:val="right"/>
              </w:pPr>
              <w:r>
                <w:rPr>
                  <w:sz w:val="18"/>
                  <w:rFonts w:ascii="Calibri" w:hAnsi="Calibri" w:cs="Calibri"/>
                </w:rPr>
                <w:t>918.840.547</w:t>
              </w:r>
            </w:p>
          </w:tc>
          <w:tc>
            <w:tcPr>
              <w:tcW w:w="800" w:type="pct"/>
              <w:vAlign w:val="bottom"/>
            </w:tcPr>
            <w:p>
              <w:pPr>
                <w:spacing w:after="0" w:line="240"/>
                <w:jc w:val="right"/>
              </w:pPr>
              <w:r>
                <w:rPr>
                  <w:sz w:val="18"/>
                  <w:rFonts w:ascii="Calibri" w:hAnsi="Calibri" w:cs="Calibri"/>
                </w:rPr>
                <w:t>-41.096.845</w:t>
              </w:r>
            </w:p>
          </w:tc>
          <w:tc>
            <w:tcPr>
              <w:tcW w:w="800" w:type="pct"/>
              <w:vAlign w:val="bottom"/>
            </w:tcPr>
            <w:p>
              <w:pPr>
                <w:spacing w:after="0" w:line="240"/>
                <w:jc w:val="right"/>
              </w:pPr>
              <w:r>
                <w:rPr>
                  <w:sz w:val="18"/>
                  <w:rFonts w:ascii="Calibri" w:hAnsi="Calibri" w:cs="Calibri"/>
                </w:rPr>
                <w:t>877.743.702</w:t>
              </w:r>
            </w:p>
          </w:tc>
          <w:tc>
            <w:tcPr>
              <w:tcW w:w="400" w:type="pct"/>
              <w:vAlign w:val="bottom"/>
            </w:tcPr>
            <w:p>
              <w:pPr>
                <w:spacing w:after="0" w:line="240"/>
                <w:jc w:val="right"/>
              </w:pPr>
              <w:r>
                <w:rPr>
                  <w:sz w:val="18"/>
                  <w:rFonts w:ascii="Calibri" w:hAnsi="Calibri" w:cs="Calibri"/>
                </w:rPr>
                <w:t>95,5</w:t>
              </w:r>
            </w:p>
          </w:tc>
        </w:tr>
        <w:tr>
          <w:tc>
            <w:tcPr>
              <w:tcW w:w="2000" w:type="pct"/>
              <w:vAlign w:val="bottom"/>
            </w:tcPr>
            <w:p>
              <w:pPr>
                <w:spacing w:after="0" w:line="240"/>
                <w:jc w:val="left"/>
              </w:pPr>
              <w:r>
                <w:rPr>
                  <w:sz w:val="18"/>
                  <w:rFonts w:ascii="Calibri" w:hAnsi="Calibri" w:cs="Calibri"/>
                </w:rPr>
                <w:t>UKUPNI RASHODI</w:t>
              </w:r>
            </w:p>
          </w:tc>
          <w:tc>
            <w:tcPr>
              <w:tcW w:w="800" w:type="pct"/>
              <w:vAlign w:val="bottom"/>
            </w:tcPr>
            <w:p>
              <w:pPr>
                <w:spacing w:after="0" w:line="240"/>
                <w:jc w:val="right"/>
              </w:pPr>
              <w:r>
                <w:rPr>
                  <w:sz w:val="18"/>
                  <w:rFonts w:ascii="Calibri" w:hAnsi="Calibri" w:cs="Calibri"/>
                </w:rPr>
                <w:t>959.303.733</w:t>
              </w:r>
            </w:p>
          </w:tc>
          <w:tc>
            <w:tcPr>
              <w:tcW w:w="800" w:type="pct"/>
              <w:vAlign w:val="bottom"/>
            </w:tcPr>
            <w:p>
              <w:pPr>
                <w:spacing w:after="0" w:line="240"/>
                <w:jc w:val="right"/>
              </w:pPr>
              <w:r>
                <w:rPr>
                  <w:sz w:val="18"/>
                  <w:rFonts w:ascii="Calibri" w:hAnsi="Calibri" w:cs="Calibri"/>
                </w:rPr>
                <w:t>-41.096.845</w:t>
              </w:r>
            </w:p>
          </w:tc>
          <w:tc>
            <w:tcPr>
              <w:tcW w:w="800" w:type="pct"/>
              <w:vAlign w:val="bottom"/>
            </w:tcPr>
            <w:p>
              <w:pPr>
                <w:spacing w:after="0" w:line="240"/>
                <w:jc w:val="right"/>
              </w:pPr>
              <w:r>
                <w:rPr>
                  <w:sz w:val="18"/>
                  <w:rFonts w:ascii="Calibri" w:hAnsi="Calibri" w:cs="Calibri"/>
                </w:rPr>
                <w:t>918.206.888</w:t>
              </w:r>
            </w:p>
          </w:tc>
          <w:tc>
            <w:tcPr>
              <w:tcW w:w="400" w:type="pct"/>
              <w:vAlign w:val="bottom"/>
            </w:tcPr>
            <w:p>
              <w:pPr>
                <w:spacing w:after="0" w:line="240"/>
                <w:jc w:val="right"/>
              </w:pPr>
              <w:r>
                <w:rPr>
                  <w:sz w:val="18"/>
                  <w:rFonts w:ascii="Calibri" w:hAnsi="Calibri" w:cs="Calibri"/>
                </w:rPr>
                <w:t>95,7</w:t>
              </w:r>
            </w:p>
          </w:tc>
        </w:tr>
        <w:tr>
          <w:tc>
            <w:tcPr>
              <w:tcW w:w="2000" w:type="pct"/>
              <w:vAlign w:val="bottom"/>
            </w:tcPr>
            <w:p>
              <w:pPr>
                <w:spacing w:after="0" w:line="240"/>
                <w:jc w:val="left"/>
              </w:pPr>
              <w:r>
                <w:rPr>
                  <w:b/>
                  <w:sz w:val="18"/>
                  <w:rFonts w:ascii="Calibri" w:hAnsi="Calibri" w:cs="Calibri"/>
                </w:rPr>
                <w:t>RAZLIKA - VIŠAK/MANJAK</w:t>
              </w:r>
            </w:p>
          </w:tc>
          <w:tc>
            <w:tcPr>
              <w:tcW w:w="800" w:type="pct"/>
              <w:vAlign w:val="bottom"/>
            </w:tcPr>
            <w:p>
              <w:pPr>
                <w:spacing w:after="0" w:line="240"/>
                <w:jc w:val="right"/>
              </w:pPr>
              <w:r>
                <w:rPr>
                  <w:b/>
                  <w:sz w:val="18"/>
                  <w:rFonts w:ascii="Calibri" w:hAnsi="Calibri" w:cs="Calibri"/>
                </w:rPr>
                <w:t>-40.463.186</w:t>
              </w:r>
            </w:p>
          </w:tc>
          <w:tc>
            <w:tcPr>
              <w:tcW w:w="800" w:type="pct"/>
              <w:vAlign w:val="bottom"/>
            </w:tcPr>
            <w:p>
              <w:pPr>
                <w:spacing w:after="0" w:line="240"/>
                <w:jc w:val="right"/>
              </w:pPr>
              <w:r>
                <w:rPr>
                  <w:b/>
                  <w:sz w:val="18"/>
                  <w:rFonts w:ascii="Calibri" w:hAnsi="Calibri" w:cs="Calibri"/>
                </w:rPr>
                <w:t>0</w:t>
              </w:r>
            </w:p>
          </w:tc>
          <w:tc>
            <w:tcPr>
              <w:tcW w:w="800" w:type="pct"/>
              <w:vAlign w:val="bottom"/>
            </w:tcPr>
            <w:p>
              <w:pPr>
                <w:spacing w:after="0" w:line="240"/>
                <w:jc w:val="right"/>
              </w:pPr>
              <w:r>
                <w:rPr>
                  <w:b/>
                  <w:sz w:val="18"/>
                  <w:rFonts w:ascii="Calibri" w:hAnsi="Calibri" w:cs="Calibri"/>
                </w:rPr>
                <w:t>-40.463.186</w:t>
              </w:r>
            </w:p>
          </w:tc>
          <w:tc>
            <w:tcPr>
              <w:tcW w:w="400" w:type="pct"/>
              <w:vAlign w:val="bottom"/>
            </w:tcPr>
            <w:p>
              <w:pPr>
                <w:spacing w:after="0" w:line="240"/>
                <w:jc w:val="right"/>
              </w:pPr>
              <w:r>
                <w:rPr>
                  <w:b/>
                  <w:sz w:val="18"/>
                  <w:rFonts w:ascii="Calibri" w:hAnsi="Calibri" w:cs="Calibri"/>
                </w:rPr>
                <w:t>100,0</w:t>
              </w:r>
            </w:p>
          </w:tc>
        </w:tr>
      </w:tbl>
      <w:p>
        <w:pPr>
          <w:spacing w:after="0" w:line="240"/>
        </w:pPr>
      </w:p>
      <w:p>
        <w:pPr>
          <w:spacing w:line="240"/>
          <w:jc w:val="both"/>
        </w:pPr>
        <w:r>
          <w:rPr>
            <w:rFonts w:ascii="Calibri" w:hAnsi="Calibri" w:cs="Calibri"/>
            <w:sz w:val="22"/>
          </w:rPr>
          <w:t xml:space="preserve">Prijedlogom Izmjena i dopuna Financijskog
plana Hrvatskih voda za 2023. godinu prihodi i rashodi poslovanja rezultiraju manjkom
u iznosu od 40.463.186 EUR koji u odnosu na usvojeni plan ostaje nepromijenjen.</w:t>
        </w:r>
      </w:p>
      <w:p>
        <w:pPr>
          <w:spacing w:line="240"/>
          <w:jc w:val="left"/>
        </w:pPr>
        <w:r>
          <w:rPr>
            <w:b/>
            <w:u w:val="single"/>
            <w:sz w:val="22"/>
            <w:rFonts w:ascii="Calibri" w:hAnsi="Calibri" w:cs="Calibri"/>
          </w:rPr>
          <w:br/>
          <w:t xml:space="preserve">RAČUN FINANCIRANJA</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2023.</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2023.</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PRIMICI OD FINANCIJSKE IMOVINE I ZADUŽIVANJA</w:t>
              </w:r>
            </w:p>
          </w:tc>
          <w:tc>
            <w:tcPr>
              <w:tcW w:w="800" w:type="pct"/>
              <w:vAlign w:val="bottom"/>
            </w:tcPr>
            <w:p>
              <w:pPr>
                <w:spacing w:after="0" w:line="240"/>
                <w:jc w:val="right"/>
              </w:pPr>
              <w:r>
                <w:rPr>
                  <w:sz w:val="18"/>
                  <w:rFonts w:ascii="Calibri" w:hAnsi="Calibri" w:cs="Calibri"/>
                </w:rPr>
                <w:t>79.633.685</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79.633.685</w:t>
              </w:r>
            </w:p>
          </w:tc>
          <w:tc>
            <w:tcPr>
              <w:tcW w:w="400" w:type="pct"/>
              <w:vAlign w:val="bottom"/>
            </w:tcPr>
            <w:p>
              <w:pPr>
                <w:spacing w:after="0" w:line="240"/>
                <w:jc w:val="right"/>
              </w:pPr>
              <w:r>
                <w:rPr>
                  <w:sz w:val="18"/>
                  <w:rFonts w:ascii="Calibri" w:hAnsi="Calibri" w:cs="Calibri"/>
                </w:rPr>
                <w:t>100,0</w:t>
              </w:r>
            </w:p>
          </w:tc>
        </w:tr>
        <w:tr>
          <w:tc>
            <w:tcPr>
              <w:tcW w:w="2000" w:type="pct"/>
              <w:vAlign w:val="bottom"/>
            </w:tcPr>
            <w:p>
              <w:pPr>
                <w:spacing w:after="0" w:line="240"/>
                <w:jc w:val="left"/>
              </w:pPr>
              <w:r>
                <w:rPr>
                  <w:sz w:val="18"/>
                  <w:rFonts w:ascii="Calibri" w:hAnsi="Calibri" w:cs="Calibri"/>
                </w:rPr>
                <w:t>IZDACI ZA FINANCIJSKU IMOVINU I OTPLATE ZAJMOVA</w:t>
              </w:r>
            </w:p>
          </w:tc>
          <w:tc>
            <w:tcPr>
              <w:tcW w:w="800" w:type="pct"/>
              <w:vAlign w:val="bottom"/>
            </w:tcPr>
            <w:p>
              <w:pPr>
                <w:spacing w:after="0" w:line="240"/>
                <w:jc w:val="right"/>
              </w:pPr>
              <w:r>
                <w:rPr>
                  <w:sz w:val="18"/>
                  <w:rFonts w:ascii="Calibri" w:hAnsi="Calibri" w:cs="Calibri"/>
                </w:rPr>
                <w:t>46.585.706</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46.585.706</w:t>
              </w:r>
            </w:p>
          </w:tc>
          <w:tc>
            <w:tcPr>
              <w:tcW w:w="400" w:type="pct"/>
              <w:vAlign w:val="bottom"/>
            </w:tcPr>
            <w:p>
              <w:pPr>
                <w:spacing w:after="0" w:line="240"/>
                <w:jc w:val="right"/>
              </w:pPr>
              <w:r>
                <w:rPr>
                  <w:sz w:val="18"/>
                  <w:rFonts w:ascii="Calibri" w:hAnsi="Calibri" w:cs="Calibri"/>
                </w:rPr>
                <w:t>100,0</w:t>
              </w:r>
            </w:p>
          </w:tc>
        </w:tr>
        <w:tr>
          <w:tc>
            <w:tcPr>
              <w:tcW w:w="2000" w:type="pct"/>
              <w:vAlign w:val="bottom"/>
            </w:tcPr>
            <w:p>
              <w:pPr>
                <w:spacing w:after="0" w:line="240"/>
                <w:jc w:val="left"/>
              </w:pPr>
              <w:r>
                <w:rPr>
                  <w:sz w:val="18"/>
                  <w:rFonts w:ascii="Calibri" w:hAnsi="Calibri" w:cs="Calibri"/>
                </w:rPr>
                <w:t>PRIJENOS SREDSTAVA IZ PRETHODNE GODINE</w:t>
              </w:r>
            </w:p>
          </w:tc>
          <w:tc>
            <w:tcPr>
              <w:tcW w:w="800" w:type="pct"/>
              <w:vAlign w:val="bottom"/>
            </w:tcPr>
            <w:p>
              <w:pPr>
                <w:spacing w:after="0" w:line="240"/>
                <w:jc w:val="right"/>
              </w:pPr>
              <w:r>
                <w:rPr>
                  <w:sz w:val="18"/>
                  <w:rFonts w:ascii="Calibri" w:hAnsi="Calibri" w:cs="Calibri"/>
                </w:rPr>
                <w:t>7.415.207</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7.415.207</w:t>
              </w:r>
            </w:p>
          </w:tc>
          <w:tc>
            <w:tcPr>
              <w:tcW w:w="400" w:type="pct"/>
              <w:vAlign w:val="bottom"/>
            </w:tcPr>
            <w:p>
              <w:pPr>
                <w:spacing w:after="0" w:line="240"/>
                <w:jc w:val="right"/>
              </w:pPr>
              <w:r>
                <w:rPr>
                  <w:sz w:val="18"/>
                  <w:rFonts w:ascii="Calibri" w:hAnsi="Calibri" w:cs="Calibri"/>
                </w:rPr>
                <w:t>100,0</w:t>
              </w:r>
            </w:p>
          </w:tc>
        </w:tr>
        <w:tr>
          <w:tc>
            <w:tcPr>
              <w:tcW w:w="2000" w:type="pct"/>
              <w:vAlign w:val="bottom"/>
            </w:tcPr>
            <w:p>
              <w:pPr>
                <w:spacing w:after="0" w:line="240"/>
                <w:jc w:val="left"/>
              </w:pPr>
              <w:r>
                <w:rPr>
                  <w:sz w:val="18"/>
                  <w:rFonts w:ascii="Calibri" w:hAnsi="Calibri" w:cs="Calibri"/>
                </w:rPr>
                <w:t>PRIJENOS SREDSTAVA U SLJEDEĆU GODINU</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0</w:t>
              </w:r>
            </w:p>
          </w:tc>
          <w:tc>
            <w:tcPr>
              <w:tcW w:w="400" w:type="pct"/>
              <w:vAlign w:val="bottom"/>
            </w:tcPr>
            <w:p>
              <w:pPr>
                <w:spacing w:after="0" w:line="240"/>
                <w:jc w:val="right"/>
              </w:pPr>
              <w:r>
                <w:rPr>
                  <w:sz w:val="18"/>
                  <w:rFonts w:ascii="Calibri" w:hAnsi="Calibri" w:cs="Calibri"/>
                </w:rPr>
                <w:t/>
              </w:r>
            </w:p>
          </w:tc>
        </w:tr>
        <w:tr>
          <w:tc>
            <w:tcPr>
              <w:tcW w:w="2000" w:type="pct"/>
              <w:vAlign w:val="bottom"/>
            </w:tcPr>
            <w:p>
              <w:pPr>
                <w:spacing w:after="0" w:line="240"/>
                <w:jc w:val="left"/>
              </w:pPr>
              <w:r>
                <w:rPr>
                  <w:b/>
                  <w:sz w:val="18"/>
                  <w:rFonts w:ascii="Calibri" w:hAnsi="Calibri" w:cs="Calibri"/>
                </w:rPr>
                <w:t>NETO FINANCIRANJE</w:t>
              </w:r>
            </w:p>
          </w:tc>
          <w:tc>
            <w:tcPr>
              <w:tcW w:w="800" w:type="pct"/>
              <w:vAlign w:val="bottom"/>
            </w:tcPr>
            <w:p>
              <w:pPr>
                <w:spacing w:after="0" w:line="240"/>
                <w:jc w:val="right"/>
              </w:pPr>
              <w:r>
                <w:rPr>
                  <w:b/>
                  <w:sz w:val="18"/>
                  <w:rFonts w:ascii="Calibri" w:hAnsi="Calibri" w:cs="Calibri"/>
                </w:rPr>
                <w:t>40.463.186</w:t>
              </w:r>
            </w:p>
          </w:tc>
          <w:tc>
            <w:tcPr>
              <w:tcW w:w="800" w:type="pct"/>
              <w:vAlign w:val="bottom"/>
            </w:tcPr>
            <w:p>
              <w:pPr>
                <w:spacing w:after="0" w:line="240"/>
                <w:jc w:val="right"/>
              </w:pPr>
              <w:r>
                <w:rPr>
                  <w:b/>
                  <w:sz w:val="18"/>
                  <w:rFonts w:ascii="Calibri" w:hAnsi="Calibri" w:cs="Calibri"/>
                </w:rPr>
                <w:t>0</w:t>
              </w:r>
            </w:p>
          </w:tc>
          <w:tc>
            <w:tcPr>
              <w:tcW w:w="800" w:type="pct"/>
              <w:vAlign w:val="bottom"/>
            </w:tcPr>
            <w:p>
              <w:pPr>
                <w:spacing w:after="0" w:line="240"/>
                <w:jc w:val="right"/>
              </w:pPr>
              <w:r>
                <w:rPr>
                  <w:b/>
                  <w:sz w:val="18"/>
                  <w:rFonts w:ascii="Calibri" w:hAnsi="Calibri" w:cs="Calibri"/>
                </w:rPr>
                <w:t>40.463.186</w:t>
              </w:r>
            </w:p>
          </w:tc>
          <w:tc>
            <w:tcPr>
              <w:tcW w:w="400" w:type="pct"/>
              <w:vAlign w:val="bottom"/>
            </w:tcPr>
            <w:p>
              <w:pPr>
                <w:spacing w:after="0" w:line="240"/>
                <w:jc w:val="right"/>
              </w:pPr>
              <w:r>
                <w:rPr>
                  <w:b/>
                  <w:sz w:val="18"/>
                  <w:rFonts w:ascii="Calibri" w:hAnsi="Calibri" w:cs="Calibri"/>
                </w:rPr>
                <w:t>100,0</w:t>
              </w:r>
            </w:p>
          </w:tc>
        </w:tr>
      </w:tbl>
      <w:p>
        <w:pPr>
          <w:spacing w:after="0" w:line="240"/>
        </w:pPr>
      </w:p>
      <w:p>
        <w:pPr>
          <w:spacing w:line="240"/>
          <w:jc w:val="both"/>
        </w:pPr>
        <w:r>
          <w:rPr>
            <w:rFonts w:ascii="Calibri" w:hAnsi="Calibri" w:cs="Calibri"/>
            <w:color w:val="000000"/>
            <w:sz w:val="22"/>
          </w:rPr>
          <w:t xml:space="preserve">Ukupni primici od financijske
imovine i zaduživanja, te izdaci za financijsku imovinu i otplate zajmova ovim prijedlogom
Izmjena i dopuna financijskog plana Hrvatskih voda za 2023. i projekcija plana
za 2024. i 2025. godinu se ne mijenjaju. </w:t>
        </w:r>
      </w:p>
    </w:sectPr>
  </w:body>
</w:document>
</file>

<file path=word/footer1.xml><?xml version="1.0" encoding="utf-8"?>
<w:ftr xmlns:w="http://schemas.openxmlformats.org/wordprocessingml/2006/main"/>
</file>

<file path=word/footer2.xml><?xml version="1.0" encoding="utf-8"?>
<w:ftr xmlns:w="http://schemas.openxmlformats.org/wordprocessingml/2006/main">
  <w:p>
    <w:pPr>
      <w:pStyle w:val="Footer"/>
      <w:jc w:val="right"/>
    </w:pPr>
    <w:r>
      <w:fldSimple w:instr="Page"/>
    </w:r>
  </w:p>
</w:ftr>
</file>

<file path=word/_rels/document.xml.rels>&#65279;<?xml version="1.0" encoding="utf-8"?><Relationships xmlns="http://schemas.openxmlformats.org/package/2006/relationships"><Relationship Type="http://schemas.openxmlformats.org/officeDocument/2006/relationships/footer" Target="/word/footer1.xml" Id="r97" /><Relationship Type="http://schemas.openxmlformats.org/officeDocument/2006/relationships/footer" Target="/word/footer2.xml" Id="r98" /></Relationships>
</file>