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739" w:rsidRDefault="008F66DC">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IZMJENA I DOPUNA FINANCIJSKOG PLANA HRVATSKE AGENCIJE ZA OSIGURANJE DEPOZITA ZA </w:t>
      </w:r>
      <w:bookmarkStart w:id="0" w:name="_GoBack"/>
      <w:bookmarkEnd w:id="0"/>
      <w:r>
        <w:rPr>
          <w:rFonts w:ascii="Calibri" w:hAnsi="Calibri" w:cs="Calibri"/>
          <w:b/>
          <w:sz w:val="28"/>
        </w:rPr>
        <w:t>2023. GODINU I PROJEKCIJA PLANA ZA 2024. I 2025. GODINU</w:t>
      </w:r>
      <w:r>
        <w:rPr>
          <w:rFonts w:ascii="Calibri" w:hAnsi="Calibri" w:cs="Calibri"/>
          <w:b/>
          <w:sz w:val="28"/>
        </w:rPr>
        <w:br w:type="page"/>
      </w:r>
    </w:p>
    <w:p w:rsidR="00173739" w:rsidRDefault="008F66DC">
      <w:pPr>
        <w:spacing w:line="240" w:lineRule="auto"/>
      </w:pPr>
      <w:r>
        <w:rPr>
          <w:rFonts w:ascii="Calibri" w:hAnsi="Calibri" w:cs="Calibri"/>
          <w:b/>
          <w:u w:val="single"/>
        </w:rPr>
        <w:lastRenderedPageBreak/>
        <w:br/>
        <w:t>UVOD</w:t>
      </w:r>
    </w:p>
    <w:p w:rsidR="00173739" w:rsidRDefault="008F66DC">
      <w:pPr>
        <w:spacing w:line="240" w:lineRule="auto"/>
        <w:jc w:val="both"/>
      </w:pPr>
      <w:r>
        <w:rPr>
          <w:rFonts w:ascii="Calibri" w:hAnsi="Calibri" w:cs="Calibri"/>
        </w:rPr>
        <w:t>HRVATSKA AGENCIJA ZA OSIGURANJE DEPOZITA je specijalizirana financijska institucija, koja osigurava depozite u kreditnim institucijama i upravlja sustavom osiguranja depozita i Fondom osiguranja depozita u Republici Hrvatskoj sukladno Zakonu o sustavu osiguranju depozita (NN 146/20, 119/22), upravlja sanacijskim fondom sukladno Zakonu o sanaciji kreditnih institucija i investicijskih društava (NN 146/20, 21/22) te provodi ovlasti u postupcima prisilne likvidacije kreditnih institucija sukladno Zakonu o prisilnoj likvidaciji kreditnih institucija (NN 146/20).</w:t>
      </w:r>
    </w:p>
    <w:p w:rsidR="00173739" w:rsidRDefault="008F66DC">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173739">
        <w:tc>
          <w:tcPr>
            <w:tcW w:w="2000" w:type="pct"/>
            <w:shd w:val="clear" w:color="auto" w:fill="BCDFFB"/>
            <w:vAlign w:val="center"/>
          </w:tcPr>
          <w:p w:rsidR="00173739" w:rsidRDefault="00173739">
            <w:pPr>
              <w:spacing w:after="0" w:line="240" w:lineRule="auto"/>
              <w:jc w:val="center"/>
            </w:pP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Plan za 2023.</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173739" w:rsidRDefault="008F66DC">
            <w:pPr>
              <w:spacing w:after="0" w:line="240" w:lineRule="auto"/>
              <w:jc w:val="center"/>
            </w:pPr>
            <w:r>
              <w:rPr>
                <w:rFonts w:ascii="Calibri" w:hAnsi="Calibri" w:cs="Calibri"/>
                <w:b/>
                <w:sz w:val="18"/>
              </w:rPr>
              <w:t>Indeks</w:t>
            </w:r>
          </w:p>
        </w:tc>
      </w:tr>
      <w:tr w:rsidR="00173739">
        <w:tc>
          <w:tcPr>
            <w:tcW w:w="2000" w:type="pct"/>
            <w:vAlign w:val="bottom"/>
          </w:tcPr>
          <w:p w:rsidR="00173739" w:rsidRDefault="008F66DC">
            <w:pPr>
              <w:spacing w:after="0" w:line="240" w:lineRule="auto"/>
            </w:pPr>
            <w:r>
              <w:rPr>
                <w:rFonts w:ascii="Calibri" w:hAnsi="Calibri" w:cs="Calibri"/>
                <w:sz w:val="18"/>
              </w:rPr>
              <w:t>PRIHODI POSLOVANJA</w:t>
            </w:r>
          </w:p>
        </w:tc>
        <w:tc>
          <w:tcPr>
            <w:tcW w:w="800" w:type="pct"/>
            <w:vAlign w:val="bottom"/>
          </w:tcPr>
          <w:p w:rsidR="00173739" w:rsidRDefault="008F66DC">
            <w:pPr>
              <w:spacing w:after="0" w:line="240" w:lineRule="auto"/>
              <w:jc w:val="right"/>
            </w:pPr>
            <w:r>
              <w:rPr>
                <w:rFonts w:ascii="Calibri" w:hAnsi="Calibri" w:cs="Calibri"/>
                <w:sz w:val="18"/>
              </w:rPr>
              <w:t>25.653.760</w:t>
            </w:r>
          </w:p>
        </w:tc>
        <w:tc>
          <w:tcPr>
            <w:tcW w:w="800" w:type="pct"/>
            <w:vAlign w:val="bottom"/>
          </w:tcPr>
          <w:p w:rsidR="00173739" w:rsidRDefault="008F66DC">
            <w:pPr>
              <w:spacing w:after="0" w:line="240" w:lineRule="auto"/>
              <w:jc w:val="right"/>
            </w:pPr>
            <w:r>
              <w:rPr>
                <w:rFonts w:ascii="Calibri" w:hAnsi="Calibri" w:cs="Calibri"/>
                <w:sz w:val="18"/>
              </w:rPr>
              <w:t>9.137.731</w:t>
            </w:r>
          </w:p>
        </w:tc>
        <w:tc>
          <w:tcPr>
            <w:tcW w:w="800" w:type="pct"/>
            <w:vAlign w:val="bottom"/>
          </w:tcPr>
          <w:p w:rsidR="00173739" w:rsidRDefault="008F66DC">
            <w:pPr>
              <w:spacing w:after="0" w:line="240" w:lineRule="auto"/>
              <w:jc w:val="right"/>
            </w:pPr>
            <w:r>
              <w:rPr>
                <w:rFonts w:ascii="Calibri" w:hAnsi="Calibri" w:cs="Calibri"/>
                <w:sz w:val="18"/>
              </w:rPr>
              <w:t>34.791.491</w:t>
            </w:r>
          </w:p>
        </w:tc>
        <w:tc>
          <w:tcPr>
            <w:tcW w:w="400" w:type="pct"/>
            <w:vAlign w:val="bottom"/>
          </w:tcPr>
          <w:p w:rsidR="00173739" w:rsidRDefault="008F66DC">
            <w:pPr>
              <w:spacing w:after="0" w:line="240" w:lineRule="auto"/>
              <w:jc w:val="right"/>
            </w:pPr>
            <w:r>
              <w:rPr>
                <w:rFonts w:ascii="Calibri" w:hAnsi="Calibri" w:cs="Calibri"/>
                <w:sz w:val="18"/>
              </w:rPr>
              <w:t>135,6</w:t>
            </w:r>
          </w:p>
        </w:tc>
      </w:tr>
      <w:tr w:rsidR="00173739">
        <w:tc>
          <w:tcPr>
            <w:tcW w:w="2000" w:type="pct"/>
            <w:vAlign w:val="bottom"/>
          </w:tcPr>
          <w:p w:rsidR="00173739" w:rsidRDefault="008F66DC">
            <w:pPr>
              <w:spacing w:after="0" w:line="240" w:lineRule="auto"/>
            </w:pPr>
            <w:r>
              <w:rPr>
                <w:rFonts w:ascii="Calibri" w:hAnsi="Calibri" w:cs="Calibri"/>
                <w:sz w:val="18"/>
              </w:rPr>
              <w:t>PRIHODI OD PRODAJE NEFINANCIJSKE IMOVINE</w:t>
            </w:r>
          </w:p>
        </w:tc>
        <w:tc>
          <w:tcPr>
            <w:tcW w:w="800" w:type="pct"/>
            <w:vAlign w:val="bottom"/>
          </w:tcPr>
          <w:p w:rsidR="00173739" w:rsidRPr="008F66DC" w:rsidRDefault="008F66DC">
            <w:pPr>
              <w:spacing w:after="0" w:line="240" w:lineRule="auto"/>
              <w:jc w:val="right"/>
              <w:rPr>
                <w:rFonts w:ascii="Calibri" w:hAnsi="Calibri" w:cs="Calibri"/>
                <w:sz w:val="18"/>
              </w:rPr>
            </w:pPr>
            <w:r w:rsidRPr="008F66DC">
              <w:rPr>
                <w:rFonts w:ascii="Calibri" w:hAnsi="Calibri" w:cs="Calibri"/>
                <w:sz w:val="18"/>
              </w:rPr>
              <w:t>0</w:t>
            </w:r>
          </w:p>
        </w:tc>
        <w:tc>
          <w:tcPr>
            <w:tcW w:w="800" w:type="pct"/>
            <w:vAlign w:val="bottom"/>
          </w:tcPr>
          <w:p w:rsidR="00173739" w:rsidRPr="008F66DC" w:rsidRDefault="008F66DC">
            <w:pPr>
              <w:spacing w:after="0" w:line="240" w:lineRule="auto"/>
              <w:jc w:val="right"/>
              <w:rPr>
                <w:rFonts w:ascii="Calibri" w:hAnsi="Calibri" w:cs="Calibri"/>
                <w:sz w:val="18"/>
              </w:rPr>
            </w:pPr>
            <w:r w:rsidRPr="008F66DC">
              <w:rPr>
                <w:rFonts w:ascii="Calibri" w:hAnsi="Calibri" w:cs="Calibri"/>
                <w:sz w:val="18"/>
              </w:rPr>
              <w:t>0</w:t>
            </w:r>
          </w:p>
        </w:tc>
        <w:tc>
          <w:tcPr>
            <w:tcW w:w="800" w:type="pct"/>
            <w:vAlign w:val="bottom"/>
          </w:tcPr>
          <w:p w:rsidR="00173739" w:rsidRPr="008F66DC" w:rsidRDefault="008F66DC">
            <w:pPr>
              <w:spacing w:after="0" w:line="240" w:lineRule="auto"/>
              <w:jc w:val="right"/>
              <w:rPr>
                <w:rFonts w:ascii="Calibri" w:hAnsi="Calibri" w:cs="Calibri"/>
                <w:sz w:val="18"/>
              </w:rPr>
            </w:pPr>
            <w:r w:rsidRPr="008F66DC">
              <w:rPr>
                <w:rFonts w:ascii="Calibri" w:hAnsi="Calibri" w:cs="Calibri"/>
                <w:sz w:val="18"/>
              </w:rPr>
              <w:t>0</w:t>
            </w:r>
          </w:p>
        </w:tc>
        <w:tc>
          <w:tcPr>
            <w:tcW w:w="400" w:type="pct"/>
            <w:vAlign w:val="bottom"/>
          </w:tcPr>
          <w:p w:rsidR="00173739" w:rsidRDefault="00173739">
            <w:pPr>
              <w:spacing w:after="0" w:line="240" w:lineRule="auto"/>
              <w:jc w:val="right"/>
            </w:pPr>
          </w:p>
        </w:tc>
      </w:tr>
      <w:tr w:rsidR="00173739">
        <w:tc>
          <w:tcPr>
            <w:tcW w:w="2000" w:type="pct"/>
            <w:vAlign w:val="bottom"/>
          </w:tcPr>
          <w:p w:rsidR="00173739" w:rsidRDefault="008F66DC">
            <w:pPr>
              <w:spacing w:after="0" w:line="240" w:lineRule="auto"/>
            </w:pPr>
            <w:r>
              <w:rPr>
                <w:rFonts w:ascii="Calibri" w:hAnsi="Calibri" w:cs="Calibri"/>
                <w:b/>
                <w:sz w:val="18"/>
              </w:rPr>
              <w:t>UKUPNI PRIHODI</w:t>
            </w:r>
          </w:p>
        </w:tc>
        <w:tc>
          <w:tcPr>
            <w:tcW w:w="800" w:type="pct"/>
            <w:vAlign w:val="bottom"/>
          </w:tcPr>
          <w:p w:rsidR="00173739" w:rsidRDefault="008F66DC">
            <w:pPr>
              <w:spacing w:after="0" w:line="240" w:lineRule="auto"/>
              <w:jc w:val="right"/>
            </w:pPr>
            <w:r>
              <w:rPr>
                <w:rFonts w:ascii="Calibri" w:hAnsi="Calibri" w:cs="Calibri"/>
                <w:b/>
                <w:sz w:val="18"/>
              </w:rPr>
              <w:t>25.653.760</w:t>
            </w:r>
          </w:p>
        </w:tc>
        <w:tc>
          <w:tcPr>
            <w:tcW w:w="800" w:type="pct"/>
            <w:vAlign w:val="bottom"/>
          </w:tcPr>
          <w:p w:rsidR="00173739" w:rsidRDefault="008F66DC">
            <w:pPr>
              <w:spacing w:after="0" w:line="240" w:lineRule="auto"/>
              <w:jc w:val="right"/>
            </w:pPr>
            <w:r>
              <w:rPr>
                <w:rFonts w:ascii="Calibri" w:hAnsi="Calibri" w:cs="Calibri"/>
                <w:b/>
                <w:sz w:val="18"/>
              </w:rPr>
              <w:t>9.137.731</w:t>
            </w:r>
          </w:p>
        </w:tc>
        <w:tc>
          <w:tcPr>
            <w:tcW w:w="800" w:type="pct"/>
            <w:vAlign w:val="bottom"/>
          </w:tcPr>
          <w:p w:rsidR="00173739" w:rsidRDefault="008F66DC">
            <w:pPr>
              <w:spacing w:after="0" w:line="240" w:lineRule="auto"/>
              <w:jc w:val="right"/>
            </w:pPr>
            <w:r>
              <w:rPr>
                <w:rFonts w:ascii="Calibri" w:hAnsi="Calibri" w:cs="Calibri"/>
                <w:b/>
                <w:sz w:val="18"/>
              </w:rPr>
              <w:t>34.791.491</w:t>
            </w:r>
          </w:p>
        </w:tc>
        <w:tc>
          <w:tcPr>
            <w:tcW w:w="400" w:type="pct"/>
            <w:vAlign w:val="bottom"/>
          </w:tcPr>
          <w:p w:rsidR="00173739" w:rsidRDefault="008F66DC">
            <w:pPr>
              <w:spacing w:after="0" w:line="240" w:lineRule="auto"/>
              <w:jc w:val="right"/>
            </w:pPr>
            <w:r>
              <w:rPr>
                <w:rFonts w:ascii="Calibri" w:hAnsi="Calibri" w:cs="Calibri"/>
                <w:b/>
                <w:sz w:val="18"/>
              </w:rPr>
              <w:t>135,6</w:t>
            </w:r>
          </w:p>
        </w:tc>
      </w:tr>
    </w:tbl>
    <w:p w:rsidR="00173739" w:rsidRDefault="00173739">
      <w:pPr>
        <w:spacing w:after="0" w:line="240" w:lineRule="auto"/>
      </w:pPr>
    </w:p>
    <w:p w:rsidR="008F66DC" w:rsidRDefault="008F66DC">
      <w:pPr>
        <w:spacing w:line="240" w:lineRule="auto"/>
        <w:jc w:val="both"/>
        <w:rPr>
          <w:rFonts w:ascii="Calibri" w:hAnsi="Calibri" w:cs="Calibri"/>
        </w:rPr>
      </w:pPr>
      <w:r>
        <w:rPr>
          <w:rFonts w:ascii="Calibri" w:hAnsi="Calibri" w:cs="Calibri"/>
        </w:rPr>
        <w:t>Ukupni prihodi Agencije u odnosu na izvorno planirana sredstva u iznosu od 25.653.760 EUR povećani su za 9.137.731 EUR i u novom planu iznose 34.791.491 EUR. Povećanje je posljedica povećanja prihoda od naplate iz stečajnih i likvidacijskih postupaka koji u novom planu iznose 9.588.107 EUR, prihoda od kamata na oročena sredstava i depozite po viđenju u iznosu 220.690 EUR te povećanja prihoda od sanacijskog doprinosa koji i novom planu iznose 719.044 EUR, a što je razlika između predviđenog i stvarno naplaćenog. </w:t>
      </w:r>
    </w:p>
    <w:p w:rsidR="00173739" w:rsidRDefault="008F66DC">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173739">
        <w:tc>
          <w:tcPr>
            <w:tcW w:w="2000" w:type="pct"/>
            <w:shd w:val="clear" w:color="auto" w:fill="BCDFFB"/>
            <w:vAlign w:val="center"/>
          </w:tcPr>
          <w:p w:rsidR="00173739" w:rsidRDefault="00173739">
            <w:pPr>
              <w:spacing w:after="0" w:line="240" w:lineRule="auto"/>
              <w:jc w:val="center"/>
            </w:pP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Plan za 2023.</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173739" w:rsidRDefault="008F66DC">
            <w:pPr>
              <w:spacing w:after="0" w:line="240" w:lineRule="auto"/>
              <w:jc w:val="center"/>
            </w:pPr>
            <w:r>
              <w:rPr>
                <w:rFonts w:ascii="Calibri" w:hAnsi="Calibri" w:cs="Calibri"/>
                <w:b/>
                <w:sz w:val="18"/>
              </w:rPr>
              <w:t>Indeks</w:t>
            </w:r>
          </w:p>
        </w:tc>
      </w:tr>
      <w:tr w:rsidR="00173739">
        <w:tc>
          <w:tcPr>
            <w:tcW w:w="2000" w:type="pct"/>
            <w:vAlign w:val="bottom"/>
          </w:tcPr>
          <w:p w:rsidR="00173739" w:rsidRDefault="008F66DC">
            <w:pPr>
              <w:spacing w:after="0" w:line="240" w:lineRule="auto"/>
            </w:pPr>
            <w:r>
              <w:rPr>
                <w:rFonts w:ascii="Calibri" w:hAnsi="Calibri" w:cs="Calibri"/>
                <w:sz w:val="18"/>
              </w:rPr>
              <w:t>RASHODI POSLOVANJA</w:t>
            </w:r>
          </w:p>
        </w:tc>
        <w:tc>
          <w:tcPr>
            <w:tcW w:w="800" w:type="pct"/>
            <w:vAlign w:val="bottom"/>
          </w:tcPr>
          <w:p w:rsidR="00173739" w:rsidRDefault="008F66DC">
            <w:pPr>
              <w:spacing w:after="0" w:line="240" w:lineRule="auto"/>
              <w:jc w:val="right"/>
            </w:pPr>
            <w:r>
              <w:rPr>
                <w:rFonts w:ascii="Calibri" w:hAnsi="Calibri" w:cs="Calibri"/>
                <w:sz w:val="18"/>
              </w:rPr>
              <w:t>1.341.148</w:t>
            </w:r>
          </w:p>
        </w:tc>
        <w:tc>
          <w:tcPr>
            <w:tcW w:w="800" w:type="pct"/>
            <w:vAlign w:val="bottom"/>
          </w:tcPr>
          <w:p w:rsidR="00173739" w:rsidRDefault="008F66DC">
            <w:pPr>
              <w:spacing w:after="0" w:line="240" w:lineRule="auto"/>
              <w:jc w:val="right"/>
            </w:pPr>
            <w:r>
              <w:rPr>
                <w:rFonts w:ascii="Calibri" w:hAnsi="Calibri" w:cs="Calibri"/>
                <w:sz w:val="18"/>
              </w:rPr>
              <w:t>1.297.277</w:t>
            </w:r>
          </w:p>
        </w:tc>
        <w:tc>
          <w:tcPr>
            <w:tcW w:w="800" w:type="pct"/>
            <w:vAlign w:val="bottom"/>
          </w:tcPr>
          <w:p w:rsidR="00173739" w:rsidRDefault="008F66DC">
            <w:pPr>
              <w:spacing w:after="0" w:line="240" w:lineRule="auto"/>
              <w:jc w:val="right"/>
            </w:pPr>
            <w:r>
              <w:rPr>
                <w:rFonts w:ascii="Calibri" w:hAnsi="Calibri" w:cs="Calibri"/>
                <w:sz w:val="18"/>
              </w:rPr>
              <w:t>2.638.425</w:t>
            </w:r>
          </w:p>
        </w:tc>
        <w:tc>
          <w:tcPr>
            <w:tcW w:w="400" w:type="pct"/>
            <w:vAlign w:val="bottom"/>
          </w:tcPr>
          <w:p w:rsidR="00173739" w:rsidRDefault="008F66DC">
            <w:pPr>
              <w:spacing w:after="0" w:line="240" w:lineRule="auto"/>
              <w:jc w:val="right"/>
            </w:pPr>
            <w:r>
              <w:rPr>
                <w:rFonts w:ascii="Calibri" w:hAnsi="Calibri" w:cs="Calibri"/>
                <w:sz w:val="18"/>
              </w:rPr>
              <w:t>196,7</w:t>
            </w:r>
          </w:p>
        </w:tc>
      </w:tr>
      <w:tr w:rsidR="00173739">
        <w:tc>
          <w:tcPr>
            <w:tcW w:w="2000" w:type="pct"/>
            <w:vAlign w:val="bottom"/>
          </w:tcPr>
          <w:p w:rsidR="00173739" w:rsidRDefault="008F66DC">
            <w:pPr>
              <w:spacing w:after="0" w:line="240" w:lineRule="auto"/>
            </w:pPr>
            <w:r>
              <w:rPr>
                <w:rFonts w:ascii="Calibri" w:hAnsi="Calibri" w:cs="Calibri"/>
                <w:sz w:val="18"/>
              </w:rPr>
              <w:t>RASHODI ZA NABAVU NEFINANCIJSKE IMOVINE</w:t>
            </w:r>
          </w:p>
        </w:tc>
        <w:tc>
          <w:tcPr>
            <w:tcW w:w="800" w:type="pct"/>
            <w:vAlign w:val="bottom"/>
          </w:tcPr>
          <w:p w:rsidR="00173739" w:rsidRDefault="008F66DC">
            <w:pPr>
              <w:spacing w:after="0" w:line="240" w:lineRule="auto"/>
              <w:jc w:val="right"/>
            </w:pPr>
            <w:r>
              <w:rPr>
                <w:rFonts w:ascii="Calibri" w:hAnsi="Calibri" w:cs="Calibri"/>
                <w:sz w:val="18"/>
              </w:rPr>
              <w:t>223.782</w:t>
            </w:r>
          </w:p>
        </w:tc>
        <w:tc>
          <w:tcPr>
            <w:tcW w:w="800" w:type="pct"/>
            <w:vAlign w:val="bottom"/>
          </w:tcPr>
          <w:p w:rsidR="00173739" w:rsidRDefault="008F66DC">
            <w:pPr>
              <w:spacing w:after="0" w:line="240" w:lineRule="auto"/>
              <w:jc w:val="right"/>
            </w:pPr>
            <w:r>
              <w:rPr>
                <w:rFonts w:ascii="Calibri" w:hAnsi="Calibri" w:cs="Calibri"/>
                <w:sz w:val="18"/>
              </w:rPr>
              <w:t>0</w:t>
            </w:r>
          </w:p>
        </w:tc>
        <w:tc>
          <w:tcPr>
            <w:tcW w:w="800" w:type="pct"/>
            <w:vAlign w:val="bottom"/>
          </w:tcPr>
          <w:p w:rsidR="00173739" w:rsidRDefault="008F66DC">
            <w:pPr>
              <w:spacing w:after="0" w:line="240" w:lineRule="auto"/>
              <w:jc w:val="right"/>
            </w:pPr>
            <w:r>
              <w:rPr>
                <w:rFonts w:ascii="Calibri" w:hAnsi="Calibri" w:cs="Calibri"/>
                <w:sz w:val="18"/>
              </w:rPr>
              <w:t>223.782</w:t>
            </w:r>
          </w:p>
        </w:tc>
        <w:tc>
          <w:tcPr>
            <w:tcW w:w="400" w:type="pct"/>
            <w:vAlign w:val="bottom"/>
          </w:tcPr>
          <w:p w:rsidR="00173739" w:rsidRDefault="008F66DC">
            <w:pPr>
              <w:spacing w:after="0" w:line="240" w:lineRule="auto"/>
              <w:jc w:val="right"/>
            </w:pPr>
            <w:r>
              <w:rPr>
                <w:rFonts w:ascii="Calibri" w:hAnsi="Calibri" w:cs="Calibri"/>
                <w:sz w:val="18"/>
              </w:rPr>
              <w:t>100,0</w:t>
            </w:r>
          </w:p>
        </w:tc>
      </w:tr>
      <w:tr w:rsidR="00173739">
        <w:tc>
          <w:tcPr>
            <w:tcW w:w="2000" w:type="pct"/>
            <w:vAlign w:val="bottom"/>
          </w:tcPr>
          <w:p w:rsidR="00173739" w:rsidRDefault="008F66DC">
            <w:pPr>
              <w:spacing w:after="0" w:line="240" w:lineRule="auto"/>
            </w:pPr>
            <w:r>
              <w:rPr>
                <w:rFonts w:ascii="Calibri" w:hAnsi="Calibri" w:cs="Calibri"/>
                <w:b/>
                <w:sz w:val="18"/>
              </w:rPr>
              <w:t>UKUPNI RASHODI</w:t>
            </w:r>
          </w:p>
        </w:tc>
        <w:tc>
          <w:tcPr>
            <w:tcW w:w="800" w:type="pct"/>
            <w:vAlign w:val="bottom"/>
          </w:tcPr>
          <w:p w:rsidR="00173739" w:rsidRDefault="008F66DC">
            <w:pPr>
              <w:spacing w:after="0" w:line="240" w:lineRule="auto"/>
              <w:jc w:val="right"/>
            </w:pPr>
            <w:r>
              <w:rPr>
                <w:rFonts w:ascii="Calibri" w:hAnsi="Calibri" w:cs="Calibri"/>
                <w:b/>
                <w:sz w:val="18"/>
              </w:rPr>
              <w:t>1.564.930</w:t>
            </w:r>
          </w:p>
        </w:tc>
        <w:tc>
          <w:tcPr>
            <w:tcW w:w="800" w:type="pct"/>
            <w:vAlign w:val="bottom"/>
          </w:tcPr>
          <w:p w:rsidR="00173739" w:rsidRDefault="008F66DC">
            <w:pPr>
              <w:spacing w:after="0" w:line="240" w:lineRule="auto"/>
              <w:jc w:val="right"/>
            </w:pPr>
            <w:r>
              <w:rPr>
                <w:rFonts w:ascii="Calibri" w:hAnsi="Calibri" w:cs="Calibri"/>
                <w:b/>
                <w:sz w:val="18"/>
              </w:rPr>
              <w:t>1.297.277</w:t>
            </w:r>
          </w:p>
        </w:tc>
        <w:tc>
          <w:tcPr>
            <w:tcW w:w="800" w:type="pct"/>
            <w:vAlign w:val="bottom"/>
          </w:tcPr>
          <w:p w:rsidR="00173739" w:rsidRDefault="008F66DC">
            <w:pPr>
              <w:spacing w:after="0" w:line="240" w:lineRule="auto"/>
              <w:jc w:val="right"/>
            </w:pPr>
            <w:r>
              <w:rPr>
                <w:rFonts w:ascii="Calibri" w:hAnsi="Calibri" w:cs="Calibri"/>
                <w:b/>
                <w:sz w:val="18"/>
              </w:rPr>
              <w:t>2.862.207</w:t>
            </w:r>
          </w:p>
        </w:tc>
        <w:tc>
          <w:tcPr>
            <w:tcW w:w="400" w:type="pct"/>
            <w:vAlign w:val="bottom"/>
          </w:tcPr>
          <w:p w:rsidR="00173739" w:rsidRDefault="008F66DC">
            <w:pPr>
              <w:spacing w:after="0" w:line="240" w:lineRule="auto"/>
              <w:jc w:val="right"/>
            </w:pPr>
            <w:r>
              <w:rPr>
                <w:rFonts w:ascii="Calibri" w:hAnsi="Calibri" w:cs="Calibri"/>
                <w:b/>
                <w:sz w:val="18"/>
              </w:rPr>
              <w:t>182,9</w:t>
            </w:r>
          </w:p>
        </w:tc>
      </w:tr>
    </w:tbl>
    <w:p w:rsidR="00173739" w:rsidRDefault="00173739">
      <w:pPr>
        <w:spacing w:after="0" w:line="240" w:lineRule="auto"/>
      </w:pPr>
    </w:p>
    <w:p w:rsidR="00173739" w:rsidRDefault="008F66DC">
      <w:pPr>
        <w:spacing w:line="240" w:lineRule="auto"/>
        <w:jc w:val="both"/>
      </w:pPr>
      <w:r>
        <w:rPr>
          <w:rFonts w:ascii="Calibri" w:hAnsi="Calibri" w:cs="Calibri"/>
        </w:rPr>
        <w:t>Ukupni rashodi Agencije u odnosu na izvorno planirana sredstva u iznosu od 1.341.148 EUR povećani su za 1.297.277 EUR i u novom planu iznose 2.638.425 EUR. Povećanje se odnosi na troškove proizašle iz okončanja sudskih postupaka proizašlih iz sanacije, stečajeva i likvidacije banaka, čije trajanje i ishod nije moguće predvidjeti niti  Agencija na njih može utjecati te uvođenja naknade Središnje klirinškog depozitarnog društva koja se odnosi na održavanje pozicije vrijednosnih papira na računu ulagatelja kod navedene institucije.</w:t>
      </w:r>
    </w:p>
    <w:p w:rsidR="00173739" w:rsidRDefault="008F66DC">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173739">
        <w:tc>
          <w:tcPr>
            <w:tcW w:w="2000" w:type="pct"/>
            <w:shd w:val="clear" w:color="auto" w:fill="BCDFFB"/>
            <w:vAlign w:val="center"/>
          </w:tcPr>
          <w:p w:rsidR="00173739" w:rsidRDefault="00173739">
            <w:pPr>
              <w:spacing w:after="0" w:line="240" w:lineRule="auto"/>
              <w:jc w:val="center"/>
            </w:pP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Plan za 2023.</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173739" w:rsidRDefault="008F66DC">
            <w:pPr>
              <w:spacing w:after="0" w:line="240" w:lineRule="auto"/>
              <w:jc w:val="center"/>
            </w:pPr>
            <w:r>
              <w:rPr>
                <w:rFonts w:ascii="Calibri" w:hAnsi="Calibri" w:cs="Calibri"/>
                <w:b/>
                <w:sz w:val="18"/>
              </w:rPr>
              <w:t>Indeks</w:t>
            </w:r>
          </w:p>
        </w:tc>
      </w:tr>
      <w:tr w:rsidR="00173739">
        <w:tc>
          <w:tcPr>
            <w:tcW w:w="2000" w:type="pct"/>
            <w:vAlign w:val="bottom"/>
          </w:tcPr>
          <w:p w:rsidR="00173739" w:rsidRDefault="008F66DC">
            <w:pPr>
              <w:spacing w:after="0" w:line="240" w:lineRule="auto"/>
            </w:pPr>
            <w:r>
              <w:rPr>
                <w:rFonts w:ascii="Calibri" w:hAnsi="Calibri" w:cs="Calibri"/>
                <w:sz w:val="18"/>
              </w:rPr>
              <w:t>UKUPNI PRIHODI</w:t>
            </w:r>
          </w:p>
        </w:tc>
        <w:tc>
          <w:tcPr>
            <w:tcW w:w="800" w:type="pct"/>
            <w:vAlign w:val="bottom"/>
          </w:tcPr>
          <w:p w:rsidR="00173739" w:rsidRDefault="008F66DC">
            <w:pPr>
              <w:spacing w:after="0" w:line="240" w:lineRule="auto"/>
              <w:jc w:val="right"/>
            </w:pPr>
            <w:r>
              <w:rPr>
                <w:rFonts w:ascii="Calibri" w:hAnsi="Calibri" w:cs="Calibri"/>
                <w:sz w:val="18"/>
              </w:rPr>
              <w:t>25.653.760</w:t>
            </w:r>
          </w:p>
        </w:tc>
        <w:tc>
          <w:tcPr>
            <w:tcW w:w="800" w:type="pct"/>
            <w:vAlign w:val="bottom"/>
          </w:tcPr>
          <w:p w:rsidR="00173739" w:rsidRDefault="008F66DC">
            <w:pPr>
              <w:spacing w:after="0" w:line="240" w:lineRule="auto"/>
              <w:jc w:val="right"/>
            </w:pPr>
            <w:r>
              <w:rPr>
                <w:rFonts w:ascii="Calibri" w:hAnsi="Calibri" w:cs="Calibri"/>
                <w:sz w:val="18"/>
              </w:rPr>
              <w:t>9.137.731</w:t>
            </w:r>
          </w:p>
        </w:tc>
        <w:tc>
          <w:tcPr>
            <w:tcW w:w="800" w:type="pct"/>
            <w:vAlign w:val="bottom"/>
          </w:tcPr>
          <w:p w:rsidR="00173739" w:rsidRDefault="008F66DC">
            <w:pPr>
              <w:spacing w:after="0" w:line="240" w:lineRule="auto"/>
              <w:jc w:val="right"/>
            </w:pPr>
            <w:r>
              <w:rPr>
                <w:rFonts w:ascii="Calibri" w:hAnsi="Calibri" w:cs="Calibri"/>
                <w:sz w:val="18"/>
              </w:rPr>
              <w:t>34.791.491</w:t>
            </w:r>
          </w:p>
        </w:tc>
        <w:tc>
          <w:tcPr>
            <w:tcW w:w="400" w:type="pct"/>
            <w:vAlign w:val="bottom"/>
          </w:tcPr>
          <w:p w:rsidR="00173739" w:rsidRDefault="008F66DC">
            <w:pPr>
              <w:spacing w:after="0" w:line="240" w:lineRule="auto"/>
              <w:jc w:val="right"/>
            </w:pPr>
            <w:r>
              <w:rPr>
                <w:rFonts w:ascii="Calibri" w:hAnsi="Calibri" w:cs="Calibri"/>
                <w:sz w:val="18"/>
              </w:rPr>
              <w:t>135,6</w:t>
            </w:r>
          </w:p>
        </w:tc>
      </w:tr>
      <w:tr w:rsidR="00173739">
        <w:tc>
          <w:tcPr>
            <w:tcW w:w="2000" w:type="pct"/>
            <w:vAlign w:val="bottom"/>
          </w:tcPr>
          <w:p w:rsidR="00173739" w:rsidRDefault="008F66DC">
            <w:pPr>
              <w:spacing w:after="0" w:line="240" w:lineRule="auto"/>
            </w:pPr>
            <w:r>
              <w:rPr>
                <w:rFonts w:ascii="Calibri" w:hAnsi="Calibri" w:cs="Calibri"/>
                <w:sz w:val="18"/>
              </w:rPr>
              <w:t>UKUPNI RASHODI</w:t>
            </w:r>
          </w:p>
        </w:tc>
        <w:tc>
          <w:tcPr>
            <w:tcW w:w="800" w:type="pct"/>
            <w:vAlign w:val="bottom"/>
          </w:tcPr>
          <w:p w:rsidR="00173739" w:rsidRDefault="008F66DC">
            <w:pPr>
              <w:spacing w:after="0" w:line="240" w:lineRule="auto"/>
              <w:jc w:val="right"/>
            </w:pPr>
            <w:r>
              <w:rPr>
                <w:rFonts w:ascii="Calibri" w:hAnsi="Calibri" w:cs="Calibri"/>
                <w:sz w:val="18"/>
              </w:rPr>
              <w:t>1.564.930</w:t>
            </w:r>
          </w:p>
        </w:tc>
        <w:tc>
          <w:tcPr>
            <w:tcW w:w="800" w:type="pct"/>
            <w:vAlign w:val="bottom"/>
          </w:tcPr>
          <w:p w:rsidR="00173739" w:rsidRDefault="008F66DC">
            <w:pPr>
              <w:spacing w:after="0" w:line="240" w:lineRule="auto"/>
              <w:jc w:val="right"/>
            </w:pPr>
            <w:r>
              <w:rPr>
                <w:rFonts w:ascii="Calibri" w:hAnsi="Calibri" w:cs="Calibri"/>
                <w:sz w:val="18"/>
              </w:rPr>
              <w:t>1.297.277</w:t>
            </w:r>
          </w:p>
        </w:tc>
        <w:tc>
          <w:tcPr>
            <w:tcW w:w="800" w:type="pct"/>
            <w:vAlign w:val="bottom"/>
          </w:tcPr>
          <w:p w:rsidR="00173739" w:rsidRDefault="008F66DC">
            <w:pPr>
              <w:spacing w:after="0" w:line="240" w:lineRule="auto"/>
              <w:jc w:val="right"/>
            </w:pPr>
            <w:r>
              <w:rPr>
                <w:rFonts w:ascii="Calibri" w:hAnsi="Calibri" w:cs="Calibri"/>
                <w:sz w:val="18"/>
              </w:rPr>
              <w:t>2.862.207</w:t>
            </w:r>
          </w:p>
        </w:tc>
        <w:tc>
          <w:tcPr>
            <w:tcW w:w="400" w:type="pct"/>
            <w:vAlign w:val="bottom"/>
          </w:tcPr>
          <w:p w:rsidR="00173739" w:rsidRDefault="008F66DC">
            <w:pPr>
              <w:spacing w:after="0" w:line="240" w:lineRule="auto"/>
              <w:jc w:val="right"/>
            </w:pPr>
            <w:r>
              <w:rPr>
                <w:rFonts w:ascii="Calibri" w:hAnsi="Calibri" w:cs="Calibri"/>
                <w:sz w:val="18"/>
              </w:rPr>
              <w:t>182,9</w:t>
            </w:r>
          </w:p>
        </w:tc>
      </w:tr>
      <w:tr w:rsidR="00173739">
        <w:tc>
          <w:tcPr>
            <w:tcW w:w="2000" w:type="pct"/>
            <w:vAlign w:val="bottom"/>
          </w:tcPr>
          <w:p w:rsidR="00173739" w:rsidRDefault="008F66DC">
            <w:pPr>
              <w:spacing w:after="0" w:line="240" w:lineRule="auto"/>
            </w:pPr>
            <w:r>
              <w:rPr>
                <w:rFonts w:ascii="Calibri" w:hAnsi="Calibri" w:cs="Calibri"/>
                <w:b/>
                <w:sz w:val="18"/>
              </w:rPr>
              <w:t>RAZLIKA - VIŠAK/MANJAK</w:t>
            </w:r>
          </w:p>
        </w:tc>
        <w:tc>
          <w:tcPr>
            <w:tcW w:w="800" w:type="pct"/>
            <w:vAlign w:val="bottom"/>
          </w:tcPr>
          <w:p w:rsidR="00173739" w:rsidRDefault="008F66DC">
            <w:pPr>
              <w:spacing w:after="0" w:line="240" w:lineRule="auto"/>
              <w:jc w:val="right"/>
            </w:pPr>
            <w:r>
              <w:rPr>
                <w:rFonts w:ascii="Calibri" w:hAnsi="Calibri" w:cs="Calibri"/>
                <w:b/>
                <w:sz w:val="18"/>
              </w:rPr>
              <w:t>24.088.830</w:t>
            </w:r>
          </w:p>
        </w:tc>
        <w:tc>
          <w:tcPr>
            <w:tcW w:w="800" w:type="pct"/>
            <w:vAlign w:val="bottom"/>
          </w:tcPr>
          <w:p w:rsidR="00173739" w:rsidRDefault="008F66DC">
            <w:pPr>
              <w:spacing w:after="0" w:line="240" w:lineRule="auto"/>
              <w:jc w:val="right"/>
            </w:pPr>
            <w:r>
              <w:rPr>
                <w:rFonts w:ascii="Calibri" w:hAnsi="Calibri" w:cs="Calibri"/>
                <w:b/>
                <w:sz w:val="18"/>
              </w:rPr>
              <w:t>7.840.454</w:t>
            </w:r>
          </w:p>
        </w:tc>
        <w:tc>
          <w:tcPr>
            <w:tcW w:w="800" w:type="pct"/>
            <w:vAlign w:val="bottom"/>
          </w:tcPr>
          <w:p w:rsidR="00173739" w:rsidRDefault="008F66DC">
            <w:pPr>
              <w:spacing w:after="0" w:line="240" w:lineRule="auto"/>
              <w:jc w:val="right"/>
            </w:pPr>
            <w:r>
              <w:rPr>
                <w:rFonts w:ascii="Calibri" w:hAnsi="Calibri" w:cs="Calibri"/>
                <w:b/>
                <w:sz w:val="18"/>
              </w:rPr>
              <w:t>31.929.284</w:t>
            </w:r>
          </w:p>
        </w:tc>
        <w:tc>
          <w:tcPr>
            <w:tcW w:w="400" w:type="pct"/>
            <w:vAlign w:val="bottom"/>
          </w:tcPr>
          <w:p w:rsidR="00173739" w:rsidRDefault="008F66DC">
            <w:pPr>
              <w:spacing w:after="0" w:line="240" w:lineRule="auto"/>
              <w:jc w:val="right"/>
            </w:pPr>
            <w:r>
              <w:rPr>
                <w:rFonts w:ascii="Calibri" w:hAnsi="Calibri" w:cs="Calibri"/>
                <w:b/>
                <w:sz w:val="18"/>
              </w:rPr>
              <w:t>132,5</w:t>
            </w:r>
          </w:p>
        </w:tc>
      </w:tr>
    </w:tbl>
    <w:p w:rsidR="00173739" w:rsidRDefault="00173739">
      <w:pPr>
        <w:spacing w:after="0" w:line="240" w:lineRule="auto"/>
      </w:pPr>
    </w:p>
    <w:p w:rsidR="00173739" w:rsidRDefault="008F66DC">
      <w:pPr>
        <w:spacing w:line="240" w:lineRule="auto"/>
        <w:jc w:val="both"/>
      </w:pPr>
      <w:r>
        <w:rPr>
          <w:rFonts w:ascii="Calibri" w:hAnsi="Calibri" w:cs="Calibri"/>
        </w:rPr>
        <w:t>Povećanje viška prihoda nad rashodima posljedica je većeg porasta prihoda u odnosu na troškove u ovom razdoblju.</w:t>
      </w:r>
    </w:p>
    <w:p w:rsidR="008F66DC" w:rsidRDefault="008F66DC">
      <w:pPr>
        <w:spacing w:line="240" w:lineRule="auto"/>
        <w:rPr>
          <w:rFonts w:ascii="Calibri" w:hAnsi="Calibri" w:cs="Calibri"/>
          <w:b/>
          <w:u w:val="single"/>
        </w:rPr>
      </w:pPr>
      <w:r>
        <w:rPr>
          <w:rFonts w:ascii="Calibri" w:hAnsi="Calibri" w:cs="Calibri"/>
          <w:b/>
          <w:u w:val="single"/>
        </w:rPr>
        <w:br/>
      </w:r>
    </w:p>
    <w:p w:rsidR="00173739" w:rsidRDefault="008F66DC">
      <w:pPr>
        <w:spacing w:line="240" w:lineRule="auto"/>
      </w:pPr>
      <w:r>
        <w:rPr>
          <w:rFonts w:ascii="Calibri" w:hAnsi="Calibri" w:cs="Calibri"/>
          <w:b/>
          <w:u w:val="single"/>
        </w:rPr>
        <w:lastRenderedPageBreak/>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173739">
        <w:tc>
          <w:tcPr>
            <w:tcW w:w="2000" w:type="pct"/>
            <w:shd w:val="clear" w:color="auto" w:fill="BCDFFB"/>
            <w:vAlign w:val="center"/>
          </w:tcPr>
          <w:p w:rsidR="00173739" w:rsidRDefault="00173739">
            <w:pPr>
              <w:spacing w:after="0" w:line="240" w:lineRule="auto"/>
              <w:jc w:val="center"/>
            </w:pP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Plan za 2023.</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173739" w:rsidRDefault="008F66DC">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173739" w:rsidRDefault="008F66DC">
            <w:pPr>
              <w:spacing w:after="0" w:line="240" w:lineRule="auto"/>
              <w:jc w:val="center"/>
            </w:pPr>
            <w:r>
              <w:rPr>
                <w:rFonts w:ascii="Calibri" w:hAnsi="Calibri" w:cs="Calibri"/>
                <w:b/>
                <w:sz w:val="18"/>
              </w:rPr>
              <w:t>Indeks</w:t>
            </w:r>
          </w:p>
        </w:tc>
      </w:tr>
      <w:tr w:rsidR="00173739">
        <w:tc>
          <w:tcPr>
            <w:tcW w:w="2000" w:type="pct"/>
            <w:vAlign w:val="bottom"/>
          </w:tcPr>
          <w:p w:rsidR="00173739" w:rsidRDefault="008F66DC">
            <w:pPr>
              <w:spacing w:after="0" w:line="240" w:lineRule="auto"/>
            </w:pPr>
            <w:r>
              <w:rPr>
                <w:rFonts w:ascii="Calibri" w:hAnsi="Calibri" w:cs="Calibri"/>
                <w:sz w:val="18"/>
              </w:rPr>
              <w:t>PRIMICI OD FINANCIJSKE IMOVINE I ZADUŽIVANJA</w:t>
            </w:r>
          </w:p>
        </w:tc>
        <w:tc>
          <w:tcPr>
            <w:tcW w:w="800" w:type="pct"/>
            <w:vAlign w:val="bottom"/>
          </w:tcPr>
          <w:p w:rsidR="00173739" w:rsidRDefault="008F66DC">
            <w:pPr>
              <w:spacing w:after="0" w:line="240" w:lineRule="auto"/>
              <w:jc w:val="right"/>
            </w:pPr>
            <w:r>
              <w:rPr>
                <w:rFonts w:ascii="Calibri" w:hAnsi="Calibri" w:cs="Calibri"/>
                <w:sz w:val="18"/>
              </w:rPr>
              <w:t>0</w:t>
            </w:r>
          </w:p>
        </w:tc>
        <w:tc>
          <w:tcPr>
            <w:tcW w:w="800" w:type="pct"/>
            <w:vAlign w:val="bottom"/>
          </w:tcPr>
          <w:p w:rsidR="00173739" w:rsidRDefault="008F66DC">
            <w:pPr>
              <w:spacing w:after="0" w:line="240" w:lineRule="auto"/>
              <w:jc w:val="right"/>
            </w:pPr>
            <w:r>
              <w:rPr>
                <w:rFonts w:ascii="Calibri" w:hAnsi="Calibri" w:cs="Calibri"/>
                <w:sz w:val="18"/>
              </w:rPr>
              <w:t>0</w:t>
            </w:r>
          </w:p>
        </w:tc>
        <w:tc>
          <w:tcPr>
            <w:tcW w:w="800" w:type="pct"/>
            <w:vAlign w:val="bottom"/>
          </w:tcPr>
          <w:p w:rsidR="00173739" w:rsidRDefault="008F66DC">
            <w:pPr>
              <w:spacing w:after="0" w:line="240" w:lineRule="auto"/>
              <w:jc w:val="right"/>
            </w:pPr>
            <w:r>
              <w:rPr>
                <w:rFonts w:ascii="Calibri" w:hAnsi="Calibri" w:cs="Calibri"/>
                <w:sz w:val="18"/>
              </w:rPr>
              <w:t>0</w:t>
            </w:r>
          </w:p>
        </w:tc>
        <w:tc>
          <w:tcPr>
            <w:tcW w:w="400" w:type="pct"/>
            <w:vAlign w:val="bottom"/>
          </w:tcPr>
          <w:p w:rsidR="00173739" w:rsidRDefault="00173739">
            <w:pPr>
              <w:spacing w:after="0" w:line="240" w:lineRule="auto"/>
              <w:jc w:val="right"/>
            </w:pPr>
          </w:p>
        </w:tc>
      </w:tr>
      <w:tr w:rsidR="00173739">
        <w:tc>
          <w:tcPr>
            <w:tcW w:w="2000" w:type="pct"/>
            <w:vAlign w:val="bottom"/>
          </w:tcPr>
          <w:p w:rsidR="00173739" w:rsidRDefault="008F66DC">
            <w:pPr>
              <w:spacing w:after="0" w:line="240" w:lineRule="auto"/>
            </w:pPr>
            <w:r>
              <w:rPr>
                <w:rFonts w:ascii="Calibri" w:hAnsi="Calibri" w:cs="Calibri"/>
                <w:sz w:val="18"/>
              </w:rPr>
              <w:t>IZDACI ZA FINANCIJSKU IMOVINU I OTPLATE ZAJMOVA</w:t>
            </w:r>
          </w:p>
        </w:tc>
        <w:tc>
          <w:tcPr>
            <w:tcW w:w="800" w:type="pct"/>
            <w:vAlign w:val="bottom"/>
          </w:tcPr>
          <w:p w:rsidR="00173739" w:rsidRDefault="008F66DC">
            <w:pPr>
              <w:spacing w:after="0" w:line="240" w:lineRule="auto"/>
              <w:jc w:val="right"/>
            </w:pPr>
            <w:r>
              <w:rPr>
                <w:rFonts w:ascii="Calibri" w:hAnsi="Calibri" w:cs="Calibri"/>
                <w:sz w:val="18"/>
              </w:rPr>
              <w:t>14.989.000</w:t>
            </w:r>
          </w:p>
        </w:tc>
        <w:tc>
          <w:tcPr>
            <w:tcW w:w="800" w:type="pct"/>
            <w:vAlign w:val="bottom"/>
          </w:tcPr>
          <w:p w:rsidR="00173739" w:rsidRDefault="008F66DC">
            <w:pPr>
              <w:spacing w:after="0" w:line="240" w:lineRule="auto"/>
              <w:jc w:val="right"/>
            </w:pPr>
            <w:r>
              <w:rPr>
                <w:rFonts w:ascii="Calibri" w:hAnsi="Calibri" w:cs="Calibri"/>
                <w:sz w:val="18"/>
              </w:rPr>
              <w:t>37.630</w:t>
            </w:r>
          </w:p>
        </w:tc>
        <w:tc>
          <w:tcPr>
            <w:tcW w:w="800" w:type="pct"/>
            <w:vAlign w:val="bottom"/>
          </w:tcPr>
          <w:p w:rsidR="00173739" w:rsidRDefault="008F66DC">
            <w:pPr>
              <w:spacing w:after="0" w:line="240" w:lineRule="auto"/>
              <w:jc w:val="right"/>
            </w:pPr>
            <w:r>
              <w:rPr>
                <w:rFonts w:ascii="Calibri" w:hAnsi="Calibri" w:cs="Calibri"/>
                <w:sz w:val="18"/>
              </w:rPr>
              <w:t>15.026.630</w:t>
            </w:r>
          </w:p>
        </w:tc>
        <w:tc>
          <w:tcPr>
            <w:tcW w:w="400" w:type="pct"/>
            <w:vAlign w:val="bottom"/>
          </w:tcPr>
          <w:p w:rsidR="00173739" w:rsidRDefault="008F66DC">
            <w:pPr>
              <w:spacing w:after="0" w:line="240" w:lineRule="auto"/>
              <w:jc w:val="right"/>
            </w:pPr>
            <w:r>
              <w:rPr>
                <w:rFonts w:ascii="Calibri" w:hAnsi="Calibri" w:cs="Calibri"/>
                <w:sz w:val="18"/>
              </w:rPr>
              <w:t>100,3</w:t>
            </w:r>
          </w:p>
        </w:tc>
      </w:tr>
      <w:tr w:rsidR="00173739">
        <w:tc>
          <w:tcPr>
            <w:tcW w:w="2000" w:type="pct"/>
            <w:vAlign w:val="bottom"/>
          </w:tcPr>
          <w:p w:rsidR="00173739" w:rsidRDefault="008F66DC">
            <w:pPr>
              <w:spacing w:after="0" w:line="240" w:lineRule="auto"/>
            </w:pPr>
            <w:r>
              <w:rPr>
                <w:rFonts w:ascii="Calibri" w:hAnsi="Calibri" w:cs="Calibri"/>
                <w:sz w:val="18"/>
              </w:rPr>
              <w:t>PRIJENOS SREDSTAVA IZ PRETHODNE GODINE</w:t>
            </w:r>
          </w:p>
        </w:tc>
        <w:tc>
          <w:tcPr>
            <w:tcW w:w="800" w:type="pct"/>
            <w:vAlign w:val="bottom"/>
          </w:tcPr>
          <w:p w:rsidR="00173739" w:rsidRDefault="008F66DC">
            <w:pPr>
              <w:spacing w:after="0" w:line="240" w:lineRule="auto"/>
              <w:jc w:val="right"/>
            </w:pPr>
            <w:r>
              <w:rPr>
                <w:rFonts w:ascii="Calibri" w:hAnsi="Calibri" w:cs="Calibri"/>
                <w:sz w:val="18"/>
              </w:rPr>
              <w:t>10.398.149</w:t>
            </w:r>
          </w:p>
        </w:tc>
        <w:tc>
          <w:tcPr>
            <w:tcW w:w="800" w:type="pct"/>
            <w:vAlign w:val="bottom"/>
          </w:tcPr>
          <w:p w:rsidR="00173739" w:rsidRDefault="008F66DC">
            <w:pPr>
              <w:spacing w:after="0" w:line="240" w:lineRule="auto"/>
              <w:jc w:val="right"/>
            </w:pPr>
            <w:r>
              <w:rPr>
                <w:rFonts w:ascii="Calibri" w:hAnsi="Calibri" w:cs="Calibri"/>
                <w:sz w:val="18"/>
              </w:rPr>
              <w:t>-1.717.025</w:t>
            </w:r>
          </w:p>
        </w:tc>
        <w:tc>
          <w:tcPr>
            <w:tcW w:w="800" w:type="pct"/>
            <w:vAlign w:val="bottom"/>
          </w:tcPr>
          <w:p w:rsidR="00173739" w:rsidRDefault="008F66DC">
            <w:pPr>
              <w:spacing w:after="0" w:line="240" w:lineRule="auto"/>
              <w:jc w:val="right"/>
            </w:pPr>
            <w:r>
              <w:rPr>
                <w:rFonts w:ascii="Calibri" w:hAnsi="Calibri" w:cs="Calibri"/>
                <w:sz w:val="18"/>
              </w:rPr>
              <w:t>8.681.124</w:t>
            </w:r>
          </w:p>
        </w:tc>
        <w:tc>
          <w:tcPr>
            <w:tcW w:w="400" w:type="pct"/>
            <w:vAlign w:val="bottom"/>
          </w:tcPr>
          <w:p w:rsidR="00173739" w:rsidRDefault="008F66DC">
            <w:pPr>
              <w:spacing w:after="0" w:line="240" w:lineRule="auto"/>
              <w:jc w:val="right"/>
            </w:pPr>
            <w:r>
              <w:rPr>
                <w:rFonts w:ascii="Calibri" w:hAnsi="Calibri" w:cs="Calibri"/>
                <w:sz w:val="18"/>
              </w:rPr>
              <w:t>83,5</w:t>
            </w:r>
          </w:p>
        </w:tc>
      </w:tr>
      <w:tr w:rsidR="00173739">
        <w:tc>
          <w:tcPr>
            <w:tcW w:w="2000" w:type="pct"/>
            <w:vAlign w:val="bottom"/>
          </w:tcPr>
          <w:p w:rsidR="00173739" w:rsidRDefault="008F66DC">
            <w:pPr>
              <w:spacing w:after="0" w:line="240" w:lineRule="auto"/>
            </w:pPr>
            <w:r>
              <w:rPr>
                <w:rFonts w:ascii="Calibri" w:hAnsi="Calibri" w:cs="Calibri"/>
                <w:sz w:val="18"/>
              </w:rPr>
              <w:t>PRIJENOS SREDSTAVA U SLJEDEĆU GODINU</w:t>
            </w:r>
          </w:p>
        </w:tc>
        <w:tc>
          <w:tcPr>
            <w:tcW w:w="800" w:type="pct"/>
            <w:vAlign w:val="bottom"/>
          </w:tcPr>
          <w:p w:rsidR="00173739" w:rsidRDefault="008F66DC">
            <w:pPr>
              <w:spacing w:after="0" w:line="240" w:lineRule="auto"/>
              <w:jc w:val="right"/>
            </w:pPr>
            <w:r>
              <w:rPr>
                <w:rFonts w:ascii="Calibri" w:hAnsi="Calibri" w:cs="Calibri"/>
                <w:sz w:val="18"/>
              </w:rPr>
              <w:t>-19.497.979</w:t>
            </w:r>
          </w:p>
        </w:tc>
        <w:tc>
          <w:tcPr>
            <w:tcW w:w="800" w:type="pct"/>
            <w:vAlign w:val="bottom"/>
          </w:tcPr>
          <w:p w:rsidR="00173739" w:rsidRDefault="008F66DC">
            <w:pPr>
              <w:spacing w:after="0" w:line="240" w:lineRule="auto"/>
              <w:jc w:val="right"/>
            </w:pPr>
            <w:r>
              <w:rPr>
                <w:rFonts w:ascii="Calibri" w:hAnsi="Calibri" w:cs="Calibri"/>
                <w:sz w:val="18"/>
              </w:rPr>
              <w:t>-6.085.799</w:t>
            </w:r>
          </w:p>
        </w:tc>
        <w:tc>
          <w:tcPr>
            <w:tcW w:w="800" w:type="pct"/>
            <w:vAlign w:val="bottom"/>
          </w:tcPr>
          <w:p w:rsidR="00173739" w:rsidRDefault="008F66DC">
            <w:pPr>
              <w:spacing w:after="0" w:line="240" w:lineRule="auto"/>
              <w:jc w:val="right"/>
            </w:pPr>
            <w:r>
              <w:rPr>
                <w:rFonts w:ascii="Calibri" w:hAnsi="Calibri" w:cs="Calibri"/>
                <w:sz w:val="18"/>
              </w:rPr>
              <w:t>-25.583.778</w:t>
            </w:r>
          </w:p>
        </w:tc>
        <w:tc>
          <w:tcPr>
            <w:tcW w:w="400" w:type="pct"/>
            <w:vAlign w:val="bottom"/>
          </w:tcPr>
          <w:p w:rsidR="00173739" w:rsidRDefault="008F66DC">
            <w:pPr>
              <w:spacing w:after="0" w:line="240" w:lineRule="auto"/>
              <w:jc w:val="right"/>
            </w:pPr>
            <w:r>
              <w:rPr>
                <w:rFonts w:ascii="Calibri" w:hAnsi="Calibri" w:cs="Calibri"/>
                <w:sz w:val="18"/>
              </w:rPr>
              <w:t>131,2</w:t>
            </w:r>
          </w:p>
        </w:tc>
      </w:tr>
      <w:tr w:rsidR="00173739">
        <w:tc>
          <w:tcPr>
            <w:tcW w:w="2000" w:type="pct"/>
            <w:vAlign w:val="bottom"/>
          </w:tcPr>
          <w:p w:rsidR="00173739" w:rsidRDefault="008F66DC">
            <w:pPr>
              <w:spacing w:after="0" w:line="240" w:lineRule="auto"/>
            </w:pPr>
            <w:r>
              <w:rPr>
                <w:rFonts w:ascii="Calibri" w:hAnsi="Calibri" w:cs="Calibri"/>
                <w:b/>
                <w:sz w:val="18"/>
              </w:rPr>
              <w:t>NETO FINANCIRANJE</w:t>
            </w:r>
          </w:p>
        </w:tc>
        <w:tc>
          <w:tcPr>
            <w:tcW w:w="800" w:type="pct"/>
            <w:vAlign w:val="bottom"/>
          </w:tcPr>
          <w:p w:rsidR="00173739" w:rsidRDefault="008F66DC">
            <w:pPr>
              <w:spacing w:after="0" w:line="240" w:lineRule="auto"/>
              <w:jc w:val="right"/>
            </w:pPr>
            <w:r>
              <w:rPr>
                <w:rFonts w:ascii="Calibri" w:hAnsi="Calibri" w:cs="Calibri"/>
                <w:b/>
                <w:sz w:val="18"/>
              </w:rPr>
              <w:t>-24.088.830</w:t>
            </w:r>
          </w:p>
        </w:tc>
        <w:tc>
          <w:tcPr>
            <w:tcW w:w="800" w:type="pct"/>
            <w:vAlign w:val="bottom"/>
          </w:tcPr>
          <w:p w:rsidR="00173739" w:rsidRDefault="008F66DC">
            <w:pPr>
              <w:spacing w:after="0" w:line="240" w:lineRule="auto"/>
              <w:jc w:val="right"/>
            </w:pPr>
            <w:r>
              <w:rPr>
                <w:rFonts w:ascii="Calibri" w:hAnsi="Calibri" w:cs="Calibri"/>
                <w:b/>
                <w:sz w:val="18"/>
              </w:rPr>
              <w:t>-7.840.454</w:t>
            </w:r>
          </w:p>
        </w:tc>
        <w:tc>
          <w:tcPr>
            <w:tcW w:w="800" w:type="pct"/>
            <w:vAlign w:val="bottom"/>
          </w:tcPr>
          <w:p w:rsidR="00173739" w:rsidRDefault="008F66DC">
            <w:pPr>
              <w:spacing w:after="0" w:line="240" w:lineRule="auto"/>
              <w:jc w:val="right"/>
            </w:pPr>
            <w:r>
              <w:rPr>
                <w:rFonts w:ascii="Calibri" w:hAnsi="Calibri" w:cs="Calibri"/>
                <w:b/>
                <w:sz w:val="18"/>
              </w:rPr>
              <w:t>-31.929.284</w:t>
            </w:r>
          </w:p>
        </w:tc>
        <w:tc>
          <w:tcPr>
            <w:tcW w:w="400" w:type="pct"/>
            <w:vAlign w:val="bottom"/>
          </w:tcPr>
          <w:p w:rsidR="00173739" w:rsidRDefault="008F66DC">
            <w:pPr>
              <w:spacing w:after="0" w:line="240" w:lineRule="auto"/>
              <w:jc w:val="right"/>
            </w:pPr>
            <w:r>
              <w:rPr>
                <w:rFonts w:ascii="Calibri" w:hAnsi="Calibri" w:cs="Calibri"/>
                <w:b/>
                <w:sz w:val="18"/>
              </w:rPr>
              <w:t>132,5</w:t>
            </w:r>
          </w:p>
        </w:tc>
      </w:tr>
    </w:tbl>
    <w:p w:rsidR="00173739" w:rsidRDefault="00173739">
      <w:pPr>
        <w:spacing w:after="0" w:line="240" w:lineRule="auto"/>
      </w:pPr>
    </w:p>
    <w:p w:rsidR="00173739" w:rsidRDefault="008F66DC">
      <w:pPr>
        <w:spacing w:line="240" w:lineRule="auto"/>
        <w:jc w:val="both"/>
      </w:pPr>
      <w:r>
        <w:rPr>
          <w:rFonts w:ascii="Calibri" w:hAnsi="Calibri" w:cs="Calibri"/>
        </w:rPr>
        <w:t>Povećanje izdataka za financijsku imovinu posljedica je razlike između planiranog i stvarno uplaćenog sanacijskog doprinosa Jedinstvenom sanacijskom fondu, a prema obračunu Jedinstvenog sanacijskog odbora.</w:t>
      </w:r>
    </w:p>
    <w:sectPr w:rsidR="00173739">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7DC" w:rsidRDefault="008F66DC">
      <w:pPr>
        <w:spacing w:after="0" w:line="240" w:lineRule="auto"/>
      </w:pPr>
      <w:r>
        <w:separator/>
      </w:r>
    </w:p>
  </w:endnote>
  <w:endnote w:type="continuationSeparator" w:id="0">
    <w:p w:rsidR="004347DC" w:rsidRDefault="008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739" w:rsidRDefault="008F66DC">
    <w:pPr>
      <w:jc w:val="right"/>
    </w:pPr>
    <w:r>
      <w:fldChar w:fldCharType="begin"/>
    </w:r>
    <w:r>
      <w:instrText>Page</w:instrText>
    </w:r>
    <w:r>
      <w:fldChar w:fldCharType="separate"/>
    </w:r>
    <w:r w:rsidR="00E74F3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7DC" w:rsidRDefault="008F66DC">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7DC" w:rsidRDefault="008F66DC">
      <w:pPr>
        <w:spacing w:after="0" w:line="240" w:lineRule="auto"/>
      </w:pPr>
      <w:r>
        <w:separator/>
      </w:r>
    </w:p>
  </w:footnote>
  <w:footnote w:type="continuationSeparator" w:id="0">
    <w:p w:rsidR="004347DC" w:rsidRDefault="008F66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73739"/>
    <w:rsid w:val="00173739"/>
    <w:rsid w:val="004347DC"/>
    <w:rsid w:val="008F66DC"/>
    <w:rsid w:val="00E74F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6175A-0F89-4618-86D6-87162E34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2023-10-10T14:25:00Z</dcterms:created>
  <dcterms:modified xsi:type="dcterms:W3CDTF">2023-10-11T12:46:00Z</dcterms:modified>
</cp:coreProperties>
</file>