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25948" w:rsidRPr="009B5CBF" w:rsidRDefault="00025948" w:rsidP="00025948">
      <w:pPr>
        <w:rPr>
          <w:lang w:val="hr-HR"/>
        </w:rPr>
      </w:pPr>
    </w:p>
    <w:p w:rsidR="00025948" w:rsidRPr="009B5CBF" w:rsidRDefault="00025948" w:rsidP="00025948">
      <w:pPr>
        <w:rPr>
          <w:lang w:val="hr-HR"/>
        </w:rPr>
      </w:pPr>
    </w:p>
    <w:p w:rsidR="00025948" w:rsidRPr="009B5CBF" w:rsidRDefault="00025948" w:rsidP="00025948">
      <w:pPr>
        <w:rPr>
          <w:lang w:val="hr-HR"/>
        </w:rPr>
      </w:pPr>
    </w:p>
    <w:p w:rsidR="00025948" w:rsidRDefault="00025948" w:rsidP="00025948">
      <w:pPr>
        <w:rPr>
          <w:lang w:val="hr-HR"/>
        </w:rPr>
      </w:pPr>
    </w:p>
    <w:p w:rsidR="0049458F" w:rsidRDefault="0049458F" w:rsidP="00025948">
      <w:pPr>
        <w:rPr>
          <w:lang w:val="hr-HR"/>
        </w:rPr>
      </w:pPr>
    </w:p>
    <w:p w:rsidR="0049458F" w:rsidRDefault="0049458F" w:rsidP="00025948">
      <w:pPr>
        <w:rPr>
          <w:lang w:val="hr-HR"/>
        </w:rPr>
      </w:pPr>
    </w:p>
    <w:p w:rsidR="0049458F" w:rsidRDefault="0049458F" w:rsidP="00025948">
      <w:pPr>
        <w:rPr>
          <w:lang w:val="hr-HR"/>
        </w:rPr>
      </w:pPr>
    </w:p>
    <w:p w:rsidR="0049458F" w:rsidRPr="009B5CBF" w:rsidRDefault="0049458F" w:rsidP="00025948">
      <w:pPr>
        <w:rPr>
          <w:lang w:val="hr-HR"/>
        </w:rPr>
      </w:pPr>
    </w:p>
    <w:p w:rsidR="00025948" w:rsidRPr="009B5CBF" w:rsidRDefault="00025948" w:rsidP="00025948">
      <w:pPr>
        <w:rPr>
          <w:lang w:val="hr-HR"/>
        </w:rPr>
      </w:pPr>
    </w:p>
    <w:p w:rsidR="00025948" w:rsidRPr="009B5CBF" w:rsidRDefault="00025948" w:rsidP="00025948">
      <w:pPr>
        <w:rPr>
          <w:lang w:val="hr-HR"/>
        </w:rPr>
      </w:pPr>
    </w:p>
    <w:p w:rsidR="00025948" w:rsidRPr="009B5CBF" w:rsidRDefault="00025948" w:rsidP="00025948">
      <w:pPr>
        <w:rPr>
          <w:lang w:val="hr-HR"/>
        </w:rPr>
      </w:pPr>
    </w:p>
    <w:p w:rsidR="0049458F" w:rsidRDefault="0049458F" w:rsidP="0049458F">
      <w:pPr>
        <w:jc w:val="center"/>
        <w:rPr>
          <w:lang w:val="hr-HR"/>
        </w:rPr>
      </w:pPr>
      <w:r w:rsidRPr="001908B3">
        <w:rPr>
          <w:rFonts w:ascii="Times New Roman" w:hAnsi="Times New Roman" w:cs="Times New Roman"/>
          <w:b/>
          <w:sz w:val="24"/>
          <w:szCs w:val="24"/>
          <w:lang w:val="hr-HR"/>
        </w:rPr>
        <w:t>OBRAZLOŽENJE PRIJEDLOGA IZMJENA I DOPUNA DRŽAVNOG PRORAČUNA REPUBLIKE HRVATSKE I FINANCIJSKIH PLANOVA IZVANPRORAČUNSKIH KORISNIKA ZA 2023. GODINU</w:t>
      </w:r>
    </w:p>
    <w:p w:rsidR="0049458F" w:rsidRPr="0049458F" w:rsidRDefault="0049458F" w:rsidP="0049458F">
      <w:pPr>
        <w:rPr>
          <w:lang w:val="hr-HR"/>
        </w:rPr>
      </w:pPr>
    </w:p>
    <w:p w:rsidR="00025948" w:rsidRPr="009B5CBF" w:rsidRDefault="00025948" w:rsidP="00025948">
      <w:pPr>
        <w:rPr>
          <w:lang w:val="hr-HR"/>
        </w:rPr>
      </w:pPr>
    </w:p>
    <w:p w:rsidR="00025948" w:rsidRPr="009B5CBF" w:rsidRDefault="00025948" w:rsidP="00025948">
      <w:pPr>
        <w:rPr>
          <w:lang w:val="hr-HR"/>
        </w:rPr>
      </w:pPr>
    </w:p>
    <w:p w:rsidR="00025948" w:rsidRPr="009B5CBF" w:rsidRDefault="00025948" w:rsidP="00025948">
      <w:pPr>
        <w:rPr>
          <w:lang w:val="hr-HR"/>
        </w:rPr>
      </w:pPr>
    </w:p>
    <w:p w:rsidR="0072362F" w:rsidRPr="009B5CBF" w:rsidRDefault="0072362F" w:rsidP="00025948">
      <w:pPr>
        <w:rPr>
          <w:lang w:val="hr-HR"/>
        </w:rPr>
      </w:pPr>
    </w:p>
    <w:p w:rsidR="0072362F" w:rsidRPr="009B5CBF" w:rsidRDefault="0072362F" w:rsidP="00025948">
      <w:pPr>
        <w:rPr>
          <w:lang w:val="hr-HR"/>
        </w:rPr>
      </w:pPr>
    </w:p>
    <w:p w:rsidR="00025948" w:rsidRPr="009B5CBF" w:rsidRDefault="00025948" w:rsidP="00025948">
      <w:pPr>
        <w:rPr>
          <w:lang w:val="hr-HR"/>
        </w:rPr>
      </w:pPr>
    </w:p>
    <w:p w:rsidR="00025948" w:rsidRPr="009B5CBF" w:rsidRDefault="00025948" w:rsidP="00025948">
      <w:pPr>
        <w:rPr>
          <w:lang w:val="hr-HR"/>
        </w:rPr>
      </w:pPr>
    </w:p>
    <w:p w:rsidR="00025948" w:rsidRPr="009B5CBF" w:rsidRDefault="00025948" w:rsidP="00025948">
      <w:pPr>
        <w:rPr>
          <w:lang w:val="hr-HR"/>
        </w:rPr>
      </w:pPr>
    </w:p>
    <w:p w:rsidR="00025948" w:rsidRPr="009B5CBF" w:rsidRDefault="00025948" w:rsidP="00025948">
      <w:pPr>
        <w:rPr>
          <w:lang w:val="hr-HR"/>
        </w:rPr>
      </w:pPr>
    </w:p>
    <w:p w:rsidR="00025948" w:rsidRPr="009B5CBF" w:rsidRDefault="00025948" w:rsidP="00025948">
      <w:pPr>
        <w:rPr>
          <w:lang w:val="hr-HR"/>
        </w:rPr>
      </w:pPr>
    </w:p>
    <w:p w:rsidR="00025948" w:rsidRPr="009B5CBF" w:rsidRDefault="00025948" w:rsidP="00025948">
      <w:pPr>
        <w:jc w:val="center"/>
        <w:rPr>
          <w:lang w:val="hr-HR"/>
        </w:rPr>
        <w:sectPr w:rsidR="00025948" w:rsidRPr="009B5CBF" w:rsidSect="00927736">
          <w:footerReference w:type="default" r:id="rId8"/>
          <w:pgSz w:w="11906" w:h="16838"/>
          <w:pgMar w:top="1417" w:right="1417" w:bottom="1417" w:left="1417" w:header="708" w:footer="708" w:gutter="0"/>
          <w:cols w:space="708"/>
          <w:titlePg/>
          <w:docGrid w:linePitch="360"/>
        </w:sectPr>
      </w:pPr>
    </w:p>
    <w:sdt>
      <w:sdtPr>
        <w:rPr>
          <w:rFonts w:asciiTheme="minorHAnsi" w:eastAsiaTheme="minorHAnsi" w:hAnsiTheme="minorHAnsi" w:cstheme="minorBidi"/>
          <w:b w:val="0"/>
          <w:bCs w:val="0"/>
          <w:color w:val="auto"/>
          <w:sz w:val="22"/>
          <w:szCs w:val="22"/>
          <w:lang w:val="hr-HR" w:eastAsia="en-US"/>
        </w:rPr>
        <w:id w:val="-1530321216"/>
        <w:docPartObj>
          <w:docPartGallery w:val="Table of Contents"/>
          <w:docPartUnique/>
        </w:docPartObj>
      </w:sdtPr>
      <w:sdtEndPr/>
      <w:sdtContent>
        <w:p w:rsidR="00025948" w:rsidRPr="009B5CBF" w:rsidRDefault="00025948">
          <w:pPr>
            <w:pStyle w:val="TOCHeading"/>
            <w:rPr>
              <w:lang w:val="hr-HR"/>
            </w:rPr>
          </w:pPr>
          <w:r w:rsidRPr="009B5CBF">
            <w:rPr>
              <w:lang w:val="hr-HR"/>
            </w:rPr>
            <w:t>Sadržaj</w:t>
          </w:r>
        </w:p>
        <w:p w:rsidR="00025948" w:rsidRPr="009B5CBF" w:rsidRDefault="00025948" w:rsidP="00025948">
          <w:pPr>
            <w:rPr>
              <w:lang w:val="hr-HR" w:eastAsia="ja-JP"/>
            </w:rPr>
          </w:pPr>
        </w:p>
        <w:p w:rsidR="00FB5ADB" w:rsidRDefault="00025948">
          <w:pPr>
            <w:pStyle w:val="TOC1"/>
            <w:tabs>
              <w:tab w:val="left" w:pos="440"/>
              <w:tab w:val="right" w:leader="dot" w:pos="9062"/>
            </w:tabs>
            <w:rPr>
              <w:rFonts w:eastAsiaTheme="minorEastAsia"/>
              <w:noProof/>
              <w:lang w:val="hr-HR" w:eastAsia="hr-HR"/>
            </w:rPr>
          </w:pPr>
          <w:r w:rsidRPr="009B5CBF">
            <w:rPr>
              <w:lang w:val="hr-HR"/>
            </w:rPr>
            <w:fldChar w:fldCharType="begin"/>
          </w:r>
          <w:r w:rsidRPr="009B5CBF">
            <w:rPr>
              <w:lang w:val="hr-HR"/>
            </w:rPr>
            <w:instrText xml:space="preserve"> TOC \o "1-3" \h \z \u </w:instrText>
          </w:r>
          <w:r w:rsidRPr="009B5CBF">
            <w:rPr>
              <w:lang w:val="hr-HR"/>
            </w:rPr>
            <w:fldChar w:fldCharType="separate"/>
          </w:r>
          <w:hyperlink w:anchor="_Toc147939399" w:history="1">
            <w:r w:rsidR="00FB5ADB" w:rsidRPr="006370CA">
              <w:rPr>
                <w:rStyle w:val="Hyperlink"/>
                <w:noProof/>
                <w:lang w:val="hr-HR"/>
              </w:rPr>
              <w:t>1.</w:t>
            </w:r>
            <w:r w:rsidR="00FB5ADB">
              <w:rPr>
                <w:rFonts w:eastAsiaTheme="minorEastAsia"/>
                <w:noProof/>
                <w:lang w:val="hr-HR" w:eastAsia="hr-HR"/>
              </w:rPr>
              <w:tab/>
            </w:r>
            <w:r w:rsidR="00FB5ADB" w:rsidRPr="006370CA">
              <w:rPr>
                <w:rStyle w:val="Hyperlink"/>
                <w:noProof/>
                <w:lang w:val="hr-HR"/>
              </w:rPr>
              <w:t>UVOD</w:t>
            </w:r>
            <w:r w:rsidR="00FB5ADB">
              <w:rPr>
                <w:noProof/>
                <w:webHidden/>
              </w:rPr>
              <w:tab/>
            </w:r>
            <w:r w:rsidR="00FB5ADB">
              <w:rPr>
                <w:noProof/>
                <w:webHidden/>
              </w:rPr>
              <w:fldChar w:fldCharType="begin"/>
            </w:r>
            <w:r w:rsidR="00FB5ADB">
              <w:rPr>
                <w:noProof/>
                <w:webHidden/>
              </w:rPr>
              <w:instrText xml:space="preserve"> PAGEREF _Toc147939399 \h </w:instrText>
            </w:r>
            <w:r w:rsidR="00FB5ADB">
              <w:rPr>
                <w:noProof/>
                <w:webHidden/>
              </w:rPr>
            </w:r>
            <w:r w:rsidR="00FB5ADB">
              <w:rPr>
                <w:noProof/>
                <w:webHidden/>
              </w:rPr>
              <w:fldChar w:fldCharType="separate"/>
            </w:r>
            <w:r w:rsidR="00653031">
              <w:rPr>
                <w:noProof/>
                <w:webHidden/>
              </w:rPr>
              <w:t>3</w:t>
            </w:r>
            <w:r w:rsidR="00FB5ADB">
              <w:rPr>
                <w:noProof/>
                <w:webHidden/>
              </w:rPr>
              <w:fldChar w:fldCharType="end"/>
            </w:r>
          </w:hyperlink>
        </w:p>
        <w:p w:rsidR="00FB5ADB" w:rsidRDefault="00653031">
          <w:pPr>
            <w:pStyle w:val="TOC1"/>
            <w:tabs>
              <w:tab w:val="left" w:pos="440"/>
              <w:tab w:val="right" w:leader="dot" w:pos="9062"/>
            </w:tabs>
            <w:rPr>
              <w:rFonts w:eastAsiaTheme="minorEastAsia"/>
              <w:noProof/>
              <w:lang w:val="hr-HR" w:eastAsia="hr-HR"/>
            </w:rPr>
          </w:pPr>
          <w:hyperlink w:anchor="_Toc147939400" w:history="1">
            <w:r w:rsidR="00FB5ADB" w:rsidRPr="006370CA">
              <w:rPr>
                <w:rStyle w:val="Hyperlink"/>
                <w:noProof/>
                <w:lang w:val="hr-HR"/>
              </w:rPr>
              <w:t>2.</w:t>
            </w:r>
            <w:r w:rsidR="00FB5ADB">
              <w:rPr>
                <w:rFonts w:eastAsiaTheme="minorEastAsia"/>
                <w:noProof/>
                <w:lang w:val="hr-HR" w:eastAsia="hr-HR"/>
              </w:rPr>
              <w:tab/>
            </w:r>
            <w:r w:rsidR="00FB5ADB" w:rsidRPr="006370CA">
              <w:rPr>
                <w:rStyle w:val="Hyperlink"/>
                <w:noProof/>
                <w:lang w:val="hr-HR"/>
              </w:rPr>
              <w:t>MAKROEKONOMSKI OKVIR</w:t>
            </w:r>
            <w:r w:rsidR="00FB5ADB">
              <w:rPr>
                <w:noProof/>
                <w:webHidden/>
              </w:rPr>
              <w:tab/>
            </w:r>
            <w:r w:rsidR="00FB5ADB">
              <w:rPr>
                <w:noProof/>
                <w:webHidden/>
              </w:rPr>
              <w:fldChar w:fldCharType="begin"/>
            </w:r>
            <w:r w:rsidR="00FB5ADB">
              <w:rPr>
                <w:noProof/>
                <w:webHidden/>
              </w:rPr>
              <w:instrText xml:space="preserve"> PAGEREF _Toc147939400 \h </w:instrText>
            </w:r>
            <w:r w:rsidR="00FB5ADB">
              <w:rPr>
                <w:noProof/>
                <w:webHidden/>
              </w:rPr>
            </w:r>
            <w:r w:rsidR="00FB5ADB">
              <w:rPr>
                <w:noProof/>
                <w:webHidden/>
              </w:rPr>
              <w:fldChar w:fldCharType="separate"/>
            </w:r>
            <w:r>
              <w:rPr>
                <w:noProof/>
                <w:webHidden/>
              </w:rPr>
              <w:t>5</w:t>
            </w:r>
            <w:r w:rsidR="00FB5ADB">
              <w:rPr>
                <w:noProof/>
                <w:webHidden/>
              </w:rPr>
              <w:fldChar w:fldCharType="end"/>
            </w:r>
          </w:hyperlink>
        </w:p>
        <w:p w:rsidR="00FB5ADB" w:rsidRDefault="00653031">
          <w:pPr>
            <w:pStyle w:val="TOC1"/>
            <w:tabs>
              <w:tab w:val="left" w:pos="440"/>
              <w:tab w:val="right" w:leader="dot" w:pos="9062"/>
            </w:tabs>
            <w:rPr>
              <w:rFonts w:eastAsiaTheme="minorEastAsia"/>
              <w:noProof/>
              <w:lang w:val="hr-HR" w:eastAsia="hr-HR"/>
            </w:rPr>
          </w:pPr>
          <w:hyperlink w:anchor="_Toc147939401" w:history="1">
            <w:r w:rsidR="00FB5ADB" w:rsidRPr="006370CA">
              <w:rPr>
                <w:rStyle w:val="Hyperlink"/>
                <w:noProof/>
                <w:lang w:val="hr-HR"/>
              </w:rPr>
              <w:t>3.</w:t>
            </w:r>
            <w:r w:rsidR="00FB5ADB">
              <w:rPr>
                <w:rFonts w:eastAsiaTheme="minorEastAsia"/>
                <w:noProof/>
                <w:lang w:val="hr-HR" w:eastAsia="hr-HR"/>
              </w:rPr>
              <w:tab/>
            </w:r>
            <w:r w:rsidR="00FB5ADB" w:rsidRPr="006370CA">
              <w:rPr>
                <w:rStyle w:val="Hyperlink"/>
                <w:noProof/>
                <w:lang w:val="hr-HR"/>
              </w:rPr>
              <w:t>PRIHODI DRŽAVNOG PRORAČUNA</w:t>
            </w:r>
            <w:r w:rsidR="00FB5ADB">
              <w:rPr>
                <w:noProof/>
                <w:webHidden/>
              </w:rPr>
              <w:tab/>
            </w:r>
            <w:r w:rsidR="00FB5ADB">
              <w:rPr>
                <w:noProof/>
                <w:webHidden/>
              </w:rPr>
              <w:fldChar w:fldCharType="begin"/>
            </w:r>
            <w:r w:rsidR="00FB5ADB">
              <w:rPr>
                <w:noProof/>
                <w:webHidden/>
              </w:rPr>
              <w:instrText xml:space="preserve"> PAGEREF _Toc147939401 \h </w:instrText>
            </w:r>
            <w:r w:rsidR="00FB5ADB">
              <w:rPr>
                <w:noProof/>
                <w:webHidden/>
              </w:rPr>
            </w:r>
            <w:r w:rsidR="00FB5ADB">
              <w:rPr>
                <w:noProof/>
                <w:webHidden/>
              </w:rPr>
              <w:fldChar w:fldCharType="separate"/>
            </w:r>
            <w:r>
              <w:rPr>
                <w:noProof/>
                <w:webHidden/>
              </w:rPr>
              <w:t>7</w:t>
            </w:r>
            <w:r w:rsidR="00FB5ADB">
              <w:rPr>
                <w:noProof/>
                <w:webHidden/>
              </w:rPr>
              <w:fldChar w:fldCharType="end"/>
            </w:r>
          </w:hyperlink>
        </w:p>
        <w:p w:rsidR="00FB5ADB" w:rsidRDefault="00653031">
          <w:pPr>
            <w:pStyle w:val="TOC1"/>
            <w:tabs>
              <w:tab w:val="left" w:pos="440"/>
              <w:tab w:val="right" w:leader="dot" w:pos="9062"/>
            </w:tabs>
            <w:rPr>
              <w:rFonts w:eastAsiaTheme="minorEastAsia"/>
              <w:noProof/>
              <w:lang w:val="hr-HR" w:eastAsia="hr-HR"/>
            </w:rPr>
          </w:pPr>
          <w:hyperlink w:anchor="_Toc147939402" w:history="1">
            <w:r w:rsidR="00FB5ADB" w:rsidRPr="006370CA">
              <w:rPr>
                <w:rStyle w:val="Hyperlink"/>
                <w:noProof/>
                <w:lang w:val="hr-HR"/>
              </w:rPr>
              <w:t>4.</w:t>
            </w:r>
            <w:r w:rsidR="00FB5ADB">
              <w:rPr>
                <w:rFonts w:eastAsiaTheme="minorEastAsia"/>
                <w:noProof/>
                <w:lang w:val="hr-HR" w:eastAsia="hr-HR"/>
              </w:rPr>
              <w:tab/>
            </w:r>
            <w:r w:rsidR="00FB5ADB" w:rsidRPr="006370CA">
              <w:rPr>
                <w:rStyle w:val="Hyperlink"/>
                <w:noProof/>
                <w:lang w:val="hr-HR"/>
              </w:rPr>
              <w:t>RASHODI DRŽAVNOG PRORAČUNA</w:t>
            </w:r>
            <w:r w:rsidR="00FB5ADB">
              <w:rPr>
                <w:noProof/>
                <w:webHidden/>
              </w:rPr>
              <w:tab/>
            </w:r>
            <w:r w:rsidR="00FB5ADB">
              <w:rPr>
                <w:noProof/>
                <w:webHidden/>
              </w:rPr>
              <w:fldChar w:fldCharType="begin"/>
            </w:r>
            <w:r w:rsidR="00FB5ADB">
              <w:rPr>
                <w:noProof/>
                <w:webHidden/>
              </w:rPr>
              <w:instrText xml:space="preserve"> PAGEREF _Toc147939402 \h </w:instrText>
            </w:r>
            <w:r w:rsidR="00FB5ADB">
              <w:rPr>
                <w:noProof/>
                <w:webHidden/>
              </w:rPr>
            </w:r>
            <w:r w:rsidR="00FB5ADB">
              <w:rPr>
                <w:noProof/>
                <w:webHidden/>
              </w:rPr>
              <w:fldChar w:fldCharType="separate"/>
            </w:r>
            <w:r>
              <w:rPr>
                <w:noProof/>
                <w:webHidden/>
              </w:rPr>
              <w:t>11</w:t>
            </w:r>
            <w:r w:rsidR="00FB5ADB">
              <w:rPr>
                <w:noProof/>
                <w:webHidden/>
              </w:rPr>
              <w:fldChar w:fldCharType="end"/>
            </w:r>
          </w:hyperlink>
          <w:bookmarkStart w:id="0" w:name="_GoBack"/>
          <w:bookmarkEnd w:id="0"/>
        </w:p>
        <w:p w:rsidR="00FB5ADB" w:rsidRDefault="00653031">
          <w:pPr>
            <w:pStyle w:val="TOC2"/>
            <w:tabs>
              <w:tab w:val="left" w:pos="880"/>
              <w:tab w:val="right" w:leader="dot" w:pos="9062"/>
            </w:tabs>
            <w:rPr>
              <w:rFonts w:eastAsiaTheme="minorEastAsia"/>
              <w:noProof/>
              <w:lang w:val="hr-HR" w:eastAsia="hr-HR"/>
            </w:rPr>
          </w:pPr>
          <w:hyperlink w:anchor="_Toc147939403" w:history="1">
            <w:r w:rsidR="00FB5ADB" w:rsidRPr="006370CA">
              <w:rPr>
                <w:rStyle w:val="Hyperlink"/>
                <w:rFonts w:cstheme="minorHAnsi"/>
                <w:noProof/>
                <w:lang w:val="hr-HR"/>
              </w:rPr>
              <w:t>4.1.</w:t>
            </w:r>
            <w:r w:rsidR="00FB5ADB">
              <w:rPr>
                <w:rFonts w:eastAsiaTheme="minorEastAsia"/>
                <w:noProof/>
                <w:lang w:val="hr-HR" w:eastAsia="hr-HR"/>
              </w:rPr>
              <w:tab/>
            </w:r>
            <w:r w:rsidR="00FB5ADB" w:rsidRPr="006370CA">
              <w:rPr>
                <w:rStyle w:val="Hyperlink"/>
                <w:rFonts w:cstheme="minorHAnsi"/>
                <w:noProof/>
                <w:lang w:val="hr-HR"/>
              </w:rPr>
              <w:t>Obrazloženje rashoda po ekonomskoj klasifikaciji</w:t>
            </w:r>
            <w:r w:rsidR="00FB5ADB">
              <w:rPr>
                <w:noProof/>
                <w:webHidden/>
              </w:rPr>
              <w:tab/>
            </w:r>
            <w:r w:rsidR="00FB5ADB">
              <w:rPr>
                <w:noProof/>
                <w:webHidden/>
              </w:rPr>
              <w:fldChar w:fldCharType="begin"/>
            </w:r>
            <w:r w:rsidR="00FB5ADB">
              <w:rPr>
                <w:noProof/>
                <w:webHidden/>
              </w:rPr>
              <w:instrText xml:space="preserve"> PAGEREF _Toc147939403 \h </w:instrText>
            </w:r>
            <w:r w:rsidR="00FB5ADB">
              <w:rPr>
                <w:noProof/>
                <w:webHidden/>
              </w:rPr>
            </w:r>
            <w:r w:rsidR="00FB5ADB">
              <w:rPr>
                <w:noProof/>
                <w:webHidden/>
              </w:rPr>
              <w:fldChar w:fldCharType="separate"/>
            </w:r>
            <w:r>
              <w:rPr>
                <w:noProof/>
                <w:webHidden/>
              </w:rPr>
              <w:t>13</w:t>
            </w:r>
            <w:r w:rsidR="00FB5ADB">
              <w:rPr>
                <w:noProof/>
                <w:webHidden/>
              </w:rPr>
              <w:fldChar w:fldCharType="end"/>
            </w:r>
          </w:hyperlink>
        </w:p>
        <w:p w:rsidR="00FB5ADB" w:rsidRDefault="00653031">
          <w:pPr>
            <w:pStyle w:val="TOC2"/>
            <w:tabs>
              <w:tab w:val="left" w:pos="880"/>
              <w:tab w:val="right" w:leader="dot" w:pos="9062"/>
            </w:tabs>
            <w:rPr>
              <w:rFonts w:eastAsiaTheme="minorEastAsia"/>
              <w:noProof/>
              <w:lang w:val="hr-HR" w:eastAsia="hr-HR"/>
            </w:rPr>
          </w:pPr>
          <w:hyperlink w:anchor="_Toc147939404" w:history="1">
            <w:r w:rsidR="00FB5ADB" w:rsidRPr="006370CA">
              <w:rPr>
                <w:rStyle w:val="Hyperlink"/>
                <w:rFonts w:cstheme="minorHAnsi"/>
                <w:noProof/>
                <w:lang w:val="hr-HR"/>
              </w:rPr>
              <w:t>4.2.</w:t>
            </w:r>
            <w:r w:rsidR="00FB5ADB">
              <w:rPr>
                <w:rFonts w:eastAsiaTheme="minorEastAsia"/>
                <w:noProof/>
                <w:lang w:val="hr-HR" w:eastAsia="hr-HR"/>
              </w:rPr>
              <w:tab/>
            </w:r>
            <w:r w:rsidR="00FB5ADB" w:rsidRPr="006370CA">
              <w:rPr>
                <w:rStyle w:val="Hyperlink"/>
                <w:rFonts w:cstheme="minorHAnsi"/>
                <w:noProof/>
                <w:lang w:val="hr-HR"/>
              </w:rPr>
              <w:t>Obrazloženje rashoda po funkcijskoj klasifikaciji</w:t>
            </w:r>
            <w:r w:rsidR="00FB5ADB">
              <w:rPr>
                <w:noProof/>
                <w:webHidden/>
              </w:rPr>
              <w:tab/>
            </w:r>
            <w:r w:rsidR="00FB5ADB">
              <w:rPr>
                <w:noProof/>
                <w:webHidden/>
              </w:rPr>
              <w:fldChar w:fldCharType="begin"/>
            </w:r>
            <w:r w:rsidR="00FB5ADB">
              <w:rPr>
                <w:noProof/>
                <w:webHidden/>
              </w:rPr>
              <w:instrText xml:space="preserve"> PAGEREF _Toc147939404 \h </w:instrText>
            </w:r>
            <w:r w:rsidR="00FB5ADB">
              <w:rPr>
                <w:noProof/>
                <w:webHidden/>
              </w:rPr>
            </w:r>
            <w:r w:rsidR="00FB5ADB">
              <w:rPr>
                <w:noProof/>
                <w:webHidden/>
              </w:rPr>
              <w:fldChar w:fldCharType="separate"/>
            </w:r>
            <w:r>
              <w:rPr>
                <w:noProof/>
                <w:webHidden/>
              </w:rPr>
              <w:t>15</w:t>
            </w:r>
            <w:r w:rsidR="00FB5ADB">
              <w:rPr>
                <w:noProof/>
                <w:webHidden/>
              </w:rPr>
              <w:fldChar w:fldCharType="end"/>
            </w:r>
          </w:hyperlink>
        </w:p>
        <w:p w:rsidR="00FB5ADB" w:rsidRDefault="00653031">
          <w:pPr>
            <w:pStyle w:val="TOC2"/>
            <w:tabs>
              <w:tab w:val="left" w:pos="880"/>
              <w:tab w:val="right" w:leader="dot" w:pos="9062"/>
            </w:tabs>
            <w:rPr>
              <w:rFonts w:eastAsiaTheme="minorEastAsia"/>
              <w:noProof/>
              <w:lang w:val="hr-HR" w:eastAsia="hr-HR"/>
            </w:rPr>
          </w:pPr>
          <w:hyperlink w:anchor="_Toc147939405" w:history="1">
            <w:r w:rsidR="00FB5ADB" w:rsidRPr="006370CA">
              <w:rPr>
                <w:rStyle w:val="Hyperlink"/>
                <w:rFonts w:cstheme="minorHAnsi"/>
                <w:noProof/>
                <w:lang w:val="hr-HR"/>
              </w:rPr>
              <w:t>4.3.</w:t>
            </w:r>
            <w:r w:rsidR="00FB5ADB">
              <w:rPr>
                <w:rFonts w:eastAsiaTheme="minorEastAsia"/>
                <w:noProof/>
                <w:lang w:val="hr-HR" w:eastAsia="hr-HR"/>
              </w:rPr>
              <w:tab/>
            </w:r>
            <w:r w:rsidR="00FB5ADB" w:rsidRPr="006370CA">
              <w:rPr>
                <w:rStyle w:val="Hyperlink"/>
                <w:rFonts w:cstheme="minorHAnsi"/>
                <w:noProof/>
                <w:lang w:val="hr-HR"/>
              </w:rPr>
              <w:t>Obrazloženje rashoda po izvorima financiranja</w:t>
            </w:r>
            <w:r w:rsidR="00FB5ADB">
              <w:rPr>
                <w:noProof/>
                <w:webHidden/>
              </w:rPr>
              <w:tab/>
            </w:r>
            <w:r w:rsidR="00FB5ADB">
              <w:rPr>
                <w:noProof/>
                <w:webHidden/>
              </w:rPr>
              <w:fldChar w:fldCharType="begin"/>
            </w:r>
            <w:r w:rsidR="00FB5ADB">
              <w:rPr>
                <w:noProof/>
                <w:webHidden/>
              </w:rPr>
              <w:instrText xml:space="preserve"> PAGEREF _Toc147939405 \h </w:instrText>
            </w:r>
            <w:r w:rsidR="00FB5ADB">
              <w:rPr>
                <w:noProof/>
                <w:webHidden/>
              </w:rPr>
            </w:r>
            <w:r w:rsidR="00FB5ADB">
              <w:rPr>
                <w:noProof/>
                <w:webHidden/>
              </w:rPr>
              <w:fldChar w:fldCharType="separate"/>
            </w:r>
            <w:r>
              <w:rPr>
                <w:noProof/>
                <w:webHidden/>
              </w:rPr>
              <w:t>16</w:t>
            </w:r>
            <w:r w:rsidR="00FB5ADB">
              <w:rPr>
                <w:noProof/>
                <w:webHidden/>
              </w:rPr>
              <w:fldChar w:fldCharType="end"/>
            </w:r>
          </w:hyperlink>
        </w:p>
        <w:p w:rsidR="00FB5ADB" w:rsidRDefault="00653031">
          <w:pPr>
            <w:pStyle w:val="TOC1"/>
            <w:tabs>
              <w:tab w:val="left" w:pos="440"/>
              <w:tab w:val="right" w:leader="dot" w:pos="9062"/>
            </w:tabs>
            <w:rPr>
              <w:rFonts w:eastAsiaTheme="minorEastAsia"/>
              <w:noProof/>
              <w:lang w:val="hr-HR" w:eastAsia="hr-HR"/>
            </w:rPr>
          </w:pPr>
          <w:hyperlink w:anchor="_Toc147939406" w:history="1">
            <w:r w:rsidR="00FB5ADB" w:rsidRPr="006370CA">
              <w:rPr>
                <w:rStyle w:val="Hyperlink"/>
                <w:noProof/>
                <w:lang w:val="hr-HR"/>
              </w:rPr>
              <w:t>5.</w:t>
            </w:r>
            <w:r w:rsidR="00FB5ADB">
              <w:rPr>
                <w:rFonts w:eastAsiaTheme="minorEastAsia"/>
                <w:noProof/>
                <w:lang w:val="hr-HR" w:eastAsia="hr-HR"/>
              </w:rPr>
              <w:tab/>
            </w:r>
            <w:r w:rsidR="00FB5ADB" w:rsidRPr="006370CA">
              <w:rPr>
                <w:rStyle w:val="Hyperlink"/>
                <w:noProof/>
                <w:lang w:val="hr-HR"/>
              </w:rPr>
              <w:t>UKUPNI MANJAK DRŽAVNOG PRORAČUNA</w:t>
            </w:r>
            <w:r w:rsidR="00FB5ADB">
              <w:rPr>
                <w:noProof/>
                <w:webHidden/>
              </w:rPr>
              <w:tab/>
            </w:r>
            <w:r w:rsidR="00FB5ADB">
              <w:rPr>
                <w:noProof/>
                <w:webHidden/>
              </w:rPr>
              <w:fldChar w:fldCharType="begin"/>
            </w:r>
            <w:r w:rsidR="00FB5ADB">
              <w:rPr>
                <w:noProof/>
                <w:webHidden/>
              </w:rPr>
              <w:instrText xml:space="preserve"> PAGEREF _Toc147939406 \h </w:instrText>
            </w:r>
            <w:r w:rsidR="00FB5ADB">
              <w:rPr>
                <w:noProof/>
                <w:webHidden/>
              </w:rPr>
            </w:r>
            <w:r w:rsidR="00FB5ADB">
              <w:rPr>
                <w:noProof/>
                <w:webHidden/>
              </w:rPr>
              <w:fldChar w:fldCharType="separate"/>
            </w:r>
            <w:r>
              <w:rPr>
                <w:noProof/>
                <w:webHidden/>
              </w:rPr>
              <w:t>17</w:t>
            </w:r>
            <w:r w:rsidR="00FB5ADB">
              <w:rPr>
                <w:noProof/>
                <w:webHidden/>
              </w:rPr>
              <w:fldChar w:fldCharType="end"/>
            </w:r>
          </w:hyperlink>
        </w:p>
        <w:p w:rsidR="00FB5ADB" w:rsidRDefault="00653031">
          <w:pPr>
            <w:pStyle w:val="TOC1"/>
            <w:tabs>
              <w:tab w:val="left" w:pos="440"/>
              <w:tab w:val="right" w:leader="dot" w:pos="9062"/>
            </w:tabs>
            <w:rPr>
              <w:rFonts w:eastAsiaTheme="minorEastAsia"/>
              <w:noProof/>
              <w:lang w:val="hr-HR" w:eastAsia="hr-HR"/>
            </w:rPr>
          </w:pPr>
          <w:hyperlink w:anchor="_Toc147939407" w:history="1">
            <w:r w:rsidR="00FB5ADB" w:rsidRPr="006370CA">
              <w:rPr>
                <w:rStyle w:val="Hyperlink"/>
                <w:noProof/>
                <w:lang w:val="hr-HR"/>
              </w:rPr>
              <w:t>6.</w:t>
            </w:r>
            <w:r w:rsidR="00FB5ADB">
              <w:rPr>
                <w:rFonts w:eastAsiaTheme="minorEastAsia"/>
                <w:noProof/>
                <w:lang w:val="hr-HR" w:eastAsia="hr-HR"/>
              </w:rPr>
              <w:tab/>
            </w:r>
            <w:r w:rsidR="00FB5ADB" w:rsidRPr="006370CA">
              <w:rPr>
                <w:rStyle w:val="Hyperlink"/>
                <w:noProof/>
                <w:lang w:val="hr-HR"/>
              </w:rPr>
              <w:t>RAČUN FINANCIRANJA DRŽAVNOG PRORAČUNA</w:t>
            </w:r>
            <w:r w:rsidR="00FB5ADB">
              <w:rPr>
                <w:noProof/>
                <w:webHidden/>
              </w:rPr>
              <w:tab/>
            </w:r>
            <w:r w:rsidR="00FB5ADB">
              <w:rPr>
                <w:noProof/>
                <w:webHidden/>
              </w:rPr>
              <w:fldChar w:fldCharType="begin"/>
            </w:r>
            <w:r w:rsidR="00FB5ADB">
              <w:rPr>
                <w:noProof/>
                <w:webHidden/>
              </w:rPr>
              <w:instrText xml:space="preserve"> PAGEREF _Toc147939407 \h </w:instrText>
            </w:r>
            <w:r w:rsidR="00FB5ADB">
              <w:rPr>
                <w:noProof/>
                <w:webHidden/>
              </w:rPr>
            </w:r>
            <w:r w:rsidR="00FB5ADB">
              <w:rPr>
                <w:noProof/>
                <w:webHidden/>
              </w:rPr>
              <w:fldChar w:fldCharType="separate"/>
            </w:r>
            <w:r>
              <w:rPr>
                <w:noProof/>
                <w:webHidden/>
              </w:rPr>
              <w:t>18</w:t>
            </w:r>
            <w:r w:rsidR="00FB5ADB">
              <w:rPr>
                <w:noProof/>
                <w:webHidden/>
              </w:rPr>
              <w:fldChar w:fldCharType="end"/>
            </w:r>
          </w:hyperlink>
        </w:p>
        <w:p w:rsidR="00FB5ADB" w:rsidRDefault="00653031">
          <w:pPr>
            <w:pStyle w:val="TOC1"/>
            <w:tabs>
              <w:tab w:val="left" w:pos="440"/>
              <w:tab w:val="right" w:leader="dot" w:pos="9062"/>
            </w:tabs>
            <w:rPr>
              <w:rFonts w:eastAsiaTheme="minorEastAsia"/>
              <w:noProof/>
              <w:lang w:val="hr-HR" w:eastAsia="hr-HR"/>
            </w:rPr>
          </w:pPr>
          <w:hyperlink w:anchor="_Toc147939408" w:history="1">
            <w:r w:rsidR="00FB5ADB" w:rsidRPr="006370CA">
              <w:rPr>
                <w:rStyle w:val="Hyperlink"/>
                <w:noProof/>
                <w:lang w:val="hr-HR"/>
              </w:rPr>
              <w:t>7.</w:t>
            </w:r>
            <w:r w:rsidR="00FB5ADB">
              <w:rPr>
                <w:rFonts w:eastAsiaTheme="minorEastAsia"/>
                <w:noProof/>
                <w:lang w:val="hr-HR" w:eastAsia="hr-HR"/>
              </w:rPr>
              <w:tab/>
            </w:r>
            <w:r w:rsidR="00FB5ADB" w:rsidRPr="006370CA">
              <w:rPr>
                <w:rStyle w:val="Hyperlink"/>
                <w:noProof/>
                <w:lang w:val="hr-HR"/>
              </w:rPr>
              <w:t>PROCJENA UKUPNOG MANJKA PRORAČUNA OPĆE DRŽAVE</w:t>
            </w:r>
            <w:r w:rsidR="00FB5ADB">
              <w:rPr>
                <w:noProof/>
                <w:webHidden/>
              </w:rPr>
              <w:tab/>
            </w:r>
            <w:r w:rsidR="00FB5ADB">
              <w:rPr>
                <w:noProof/>
                <w:webHidden/>
              </w:rPr>
              <w:fldChar w:fldCharType="begin"/>
            </w:r>
            <w:r w:rsidR="00FB5ADB">
              <w:rPr>
                <w:noProof/>
                <w:webHidden/>
              </w:rPr>
              <w:instrText xml:space="preserve"> PAGEREF _Toc147939408 \h </w:instrText>
            </w:r>
            <w:r w:rsidR="00FB5ADB">
              <w:rPr>
                <w:noProof/>
                <w:webHidden/>
              </w:rPr>
            </w:r>
            <w:r w:rsidR="00FB5ADB">
              <w:rPr>
                <w:noProof/>
                <w:webHidden/>
              </w:rPr>
              <w:fldChar w:fldCharType="separate"/>
            </w:r>
            <w:r>
              <w:rPr>
                <w:noProof/>
                <w:webHidden/>
              </w:rPr>
              <w:t>20</w:t>
            </w:r>
            <w:r w:rsidR="00FB5ADB">
              <w:rPr>
                <w:noProof/>
                <w:webHidden/>
              </w:rPr>
              <w:fldChar w:fldCharType="end"/>
            </w:r>
          </w:hyperlink>
        </w:p>
        <w:p w:rsidR="00025948" w:rsidRPr="009B5CBF" w:rsidRDefault="00025948">
          <w:pPr>
            <w:rPr>
              <w:lang w:val="hr-HR"/>
            </w:rPr>
          </w:pPr>
          <w:r w:rsidRPr="009B5CBF">
            <w:rPr>
              <w:b/>
              <w:bCs/>
              <w:lang w:val="hr-HR"/>
            </w:rPr>
            <w:fldChar w:fldCharType="end"/>
          </w:r>
        </w:p>
      </w:sdtContent>
    </w:sdt>
    <w:p w:rsidR="00C062D4" w:rsidRPr="009B5CBF" w:rsidRDefault="00C062D4" w:rsidP="00025948">
      <w:pPr>
        <w:rPr>
          <w:lang w:val="hr-HR"/>
        </w:rPr>
      </w:pPr>
    </w:p>
    <w:p w:rsidR="00025948" w:rsidRPr="009B5CBF" w:rsidRDefault="00025948" w:rsidP="00025948">
      <w:pPr>
        <w:rPr>
          <w:lang w:val="hr-HR"/>
        </w:rPr>
      </w:pPr>
      <w:r w:rsidRPr="009B5CBF">
        <w:rPr>
          <w:lang w:val="hr-HR"/>
        </w:rPr>
        <w:br w:type="page"/>
      </w:r>
    </w:p>
    <w:p w:rsidR="008F77E8" w:rsidRDefault="00025948" w:rsidP="0033243E">
      <w:pPr>
        <w:pStyle w:val="Heading1"/>
        <w:numPr>
          <w:ilvl w:val="0"/>
          <w:numId w:val="1"/>
        </w:numPr>
        <w:spacing w:after="240"/>
        <w:rPr>
          <w:lang w:val="hr-HR"/>
        </w:rPr>
      </w:pPr>
      <w:bookmarkStart w:id="1" w:name="_Toc468888687"/>
      <w:bookmarkStart w:id="2" w:name="_Toc147939399"/>
      <w:r w:rsidRPr="009B5CBF">
        <w:rPr>
          <w:lang w:val="hr-HR"/>
        </w:rPr>
        <w:lastRenderedPageBreak/>
        <w:t>UVOD</w:t>
      </w:r>
      <w:bookmarkEnd w:id="1"/>
      <w:bookmarkEnd w:id="2"/>
    </w:p>
    <w:p w:rsidR="00530EA6" w:rsidRPr="00530EA6" w:rsidRDefault="00530EA6" w:rsidP="00530EA6">
      <w:pPr>
        <w:rPr>
          <w:lang w:val="hr-HR"/>
        </w:rPr>
      </w:pPr>
    </w:p>
    <w:p w:rsidR="00530EA6" w:rsidRPr="00530EA6" w:rsidRDefault="00530EA6" w:rsidP="00530EA6">
      <w:pPr>
        <w:jc w:val="both"/>
        <w:rPr>
          <w:lang w:val="hr-HR"/>
        </w:rPr>
      </w:pPr>
      <w:r w:rsidRPr="00530EA6">
        <w:rPr>
          <w:lang w:val="hr-HR"/>
        </w:rPr>
        <w:t>Nakon snažnog post-pandemijskog oporavka i rasta realnog bruto domaćeg proizvoda (BDP) blago iznad 6% u prethodnoj godini, hrvatsko gospodarstvo u 2023. godini i dalje karakteriziraju razmjerno povoljna kretanja usprkos negativnim pritiscima visoke inflacije, zaoštravanja monetarne politike i oslabljene dinamike vanjske potražnje. Tako se u 2023. godini predviđa rast realnog BDP-a od 2,8%, posebice potaknut rastom osobne potrošnje ali i snažnim doprinosom uvoza roba i usluga kao i izvoza usluga. U istom razdoblju očekuje se i usporavanje inflacije, mjerene indeksom potrošačkih cijena, na 8%, pod utjecajem smanjenja cijena energenata i primarnih sirovina na svjetskim tržištima kao i provedbe mjera Vlade RH s ciljem ublažavanja rasta cijena. Tržište rada i dalje karakteriziraju pozitivna očekivanja uz prisutne trendove manjka radne snage, visoke potražnje za radom i zapošljavanja radnika iz trećih zemalja te se stoga očekuje snažan rast zaposlenosti od 2,4% i bruto plaća zaposlenih u pravnim osobama od čak 14,6%.</w:t>
      </w:r>
    </w:p>
    <w:p w:rsidR="00530EA6" w:rsidRPr="00530EA6" w:rsidRDefault="00530EA6" w:rsidP="00530EA6">
      <w:pPr>
        <w:jc w:val="both"/>
        <w:rPr>
          <w:lang w:val="hr-HR"/>
        </w:rPr>
      </w:pPr>
      <w:r w:rsidRPr="00530EA6">
        <w:rPr>
          <w:lang w:val="hr-HR"/>
        </w:rPr>
        <w:t>Ovako projicirana makroekonomska kretanja odražavaju se i u očekivanom kretanju fiskalnih pokazatelja. Tako je prihodna strana proračuna određena očekivanim kretanjem gospodarske aktivnosti, cjelogodišnjim učinkom poreznih izmjena provedenih 2022. godine te naporima u svrhu ublažavanja inflatornih pritisaka na građane i gospodarstvo. Navedeno uključuje i fiskalne učinke produljenja privremeno snižene stope PDV-a od 5% na isporuku plina, grijanja iz toplinskih stanica, ogrjevnog drva, peleta, briketa i sječke do kraja ožujka 2024. godine te uredbu kojom se reguliraju cijene naftnih derivata. Ovim Izmjenama i dopunama Državnog proračuna za 2023. godinu ukupni prihodi povećavaju za 1,1 milijardu eura, odnosno s 26,6 milijardi eura na 27,7 milijardi eura. Promatrano u apsolutnim iznosima, povećanje proračunskih prihoda temelji se prvenstveno na povećanju poreznih prihoda i to PDV-a</w:t>
      </w:r>
      <w:r w:rsidR="009472B4">
        <w:rPr>
          <w:lang w:val="hr-HR"/>
        </w:rPr>
        <w:t>,</w:t>
      </w:r>
      <w:r w:rsidRPr="00530EA6">
        <w:rPr>
          <w:lang w:val="hr-HR"/>
        </w:rPr>
        <w:t xml:space="preserve"> poreza na dobit kao i posebnih poreza i trošarina. Od ostalih prihoda poslovanja značajno rastu prihodi iz nadležnog proračuna i od HZZO-a, prihodi od upravnih i administrativnih pristojbi te prihodi od imovine. S druge strane, smanjuju se prihodi od pomoći sukladno dinamici korištenja EU sredstava. </w:t>
      </w:r>
    </w:p>
    <w:p w:rsidR="00530EA6" w:rsidRPr="00530EA6" w:rsidRDefault="00530EA6" w:rsidP="00530EA6">
      <w:pPr>
        <w:jc w:val="both"/>
        <w:rPr>
          <w:lang w:val="hr-HR"/>
        </w:rPr>
      </w:pPr>
      <w:r w:rsidRPr="00530EA6">
        <w:rPr>
          <w:lang w:val="hr-HR"/>
        </w:rPr>
        <w:t xml:space="preserve">Dinamika kretanja rashoda obilježena je naporima Vlade RH s ciljem osiguranja odgovarajućeg standarda za sve građane posebice uključujući zaštitu ranjivih skupina društva, kao i stvaranje ozračja poticajnog za zasnivanje obitelji te kvalitetan život i rad u RH. Tako se ovim Izmjenama i dopunama Državnog proračuna za 2023. godinu ukupni rashodi povećavaju za 1,2 milijarde eura tj. sa 28,1 milijardi eura na 29,3 milijarde eura. Pri tome se najznačajnija povećanja odnose na mirovine i mirovinska primanja, nastavak sanacije šteta od potresa te dodatna sredstava za 5. paket mjera Vlade RH u svrhu zaštite kućanstava i gospodarstva od rasta cijena. Ovdje valja spomenuti i rast socijalnih pomoći i naknada, financiranje besplatnog obroka za osnovnoškolce te naknade za dodatni rodiljni dopust. Bilježi se i rast rashoda za zaposlene posebice slijedom povećanja koeficijenata složenosti poslova te isplate dodataka na plaće u državnoj i javnoj upravi. Isplatit će se i pomoći poljoprivrednicima za ublažavanje posljedica prirodnih nepogoda te posljedica svinjske kuge. Nadalje, u sektoru prometa, potrebno je istaknuti dodatna sredstva za naknadu u cijeni goriva za HC d.o.o te HŽ infrastrukturu d.o.o., izgradnju plinovoda Zlobin- Bosiljevo i povećanje kapaciteta LNG terminala te poticanje željezničkog putničkog prijevoza kao i upravljanje i regulaciju željezničkog prometa. </w:t>
      </w:r>
    </w:p>
    <w:p w:rsidR="00530EA6" w:rsidRPr="00530EA6" w:rsidRDefault="00530EA6" w:rsidP="00530EA6">
      <w:pPr>
        <w:jc w:val="both"/>
        <w:rPr>
          <w:lang w:val="hr-HR"/>
        </w:rPr>
      </w:pPr>
      <w:r w:rsidRPr="00530EA6">
        <w:rPr>
          <w:lang w:val="hr-HR"/>
        </w:rPr>
        <w:lastRenderedPageBreak/>
        <w:t>Uzevši u obzir opisanu dinamiku kretanja prihoda i rashoda, očekuje se da će manjak proračuna opće države prema ESA 2010 metodologiji iznositi 235 milijuna eura ili 0,3% BDP-a. Temeljem ovakvog kretanja fiskalnog salda, planirani udio javnog duga u BDP-u u 2023. godini zabilježit će smanjenje za 7,5 postotnih bodova u odnosu na prethodnu godinu te će iznositi 60,7% BDP-a.</w:t>
      </w:r>
    </w:p>
    <w:p w:rsidR="0033243E" w:rsidRPr="0033243E" w:rsidRDefault="0033243E" w:rsidP="0033243E">
      <w:pPr>
        <w:rPr>
          <w:lang w:val="hr-HR"/>
        </w:rPr>
      </w:pPr>
      <w:r>
        <w:rPr>
          <w:lang w:val="hr-HR"/>
        </w:rPr>
        <w:br w:type="page"/>
      </w:r>
    </w:p>
    <w:p w:rsidR="00025948" w:rsidRPr="009B5CBF" w:rsidRDefault="00025948" w:rsidP="00025948">
      <w:pPr>
        <w:pStyle w:val="Heading1"/>
        <w:numPr>
          <w:ilvl w:val="0"/>
          <w:numId w:val="1"/>
        </w:numPr>
        <w:rPr>
          <w:lang w:val="hr-HR"/>
        </w:rPr>
      </w:pPr>
      <w:bookmarkStart w:id="3" w:name="_Toc381720705"/>
      <w:bookmarkStart w:id="4" w:name="_Toc497069941"/>
      <w:bookmarkStart w:id="5" w:name="_Toc147939400"/>
      <w:r w:rsidRPr="009B5CBF">
        <w:rPr>
          <w:lang w:val="hr-HR"/>
        </w:rPr>
        <w:lastRenderedPageBreak/>
        <w:t>MAKROEKONOMSKI OKVIR</w:t>
      </w:r>
      <w:bookmarkEnd w:id="3"/>
      <w:bookmarkEnd w:id="4"/>
      <w:bookmarkEnd w:id="5"/>
    </w:p>
    <w:p w:rsidR="004C0D92" w:rsidRDefault="004C0D92" w:rsidP="00196F0D">
      <w:pPr>
        <w:jc w:val="both"/>
        <w:rPr>
          <w:rFonts w:cs="Times New Roman"/>
          <w:lang w:val="hr-HR"/>
        </w:rPr>
      </w:pPr>
    </w:p>
    <w:p w:rsidR="00BE257E" w:rsidRPr="00BE257E" w:rsidRDefault="00BE257E" w:rsidP="00077291">
      <w:pPr>
        <w:jc w:val="both"/>
        <w:rPr>
          <w:lang w:val="hr-HR"/>
        </w:rPr>
      </w:pPr>
      <w:r w:rsidRPr="00493977">
        <w:rPr>
          <w:lang w:val="hr-HR"/>
        </w:rPr>
        <w:t>Makroekonomski okvir sastavljen je u listopadu ove godine. Vanjske pretpostavke za izradu makroekonomskih projekcija preuzete su iz projekcija Europske središnje banke (</w:t>
      </w:r>
      <w:r w:rsidRPr="00493977">
        <w:rPr>
          <w:i/>
          <w:lang w:val="hr-HR"/>
        </w:rPr>
        <w:t>ECB staff macroeconomic projections for the euro area, September 2023</w:t>
      </w:r>
      <w:r w:rsidRPr="00493977">
        <w:rPr>
          <w:lang w:val="hr-HR"/>
        </w:rPr>
        <w:t>), Consensus Forecasts</w:t>
      </w:r>
      <w:r w:rsidRPr="00155D89">
        <w:rPr>
          <w:lang w:val="hr-HR"/>
        </w:rPr>
        <w:t xml:space="preserve"> (</w:t>
      </w:r>
      <w:r w:rsidRPr="00155D89">
        <w:rPr>
          <w:i/>
          <w:lang w:val="hr-HR"/>
        </w:rPr>
        <w:t>Eastern Europe i G-7 &amp; Western Europe</w:t>
      </w:r>
      <w:r w:rsidRPr="00155D89">
        <w:rPr>
          <w:lang w:val="hr-HR"/>
        </w:rPr>
        <w:t>) i EK (</w:t>
      </w:r>
      <w:r>
        <w:rPr>
          <w:i/>
          <w:lang w:val="hr-HR"/>
        </w:rPr>
        <w:t xml:space="preserve">Summer 2023 European Economic </w:t>
      </w:r>
      <w:r w:rsidRPr="00155D89">
        <w:rPr>
          <w:i/>
          <w:lang w:val="hr-HR"/>
        </w:rPr>
        <w:t>forecast)</w:t>
      </w:r>
      <w:r w:rsidRPr="00155D89">
        <w:rPr>
          <w:lang w:val="hr-HR"/>
        </w:rPr>
        <w:t>.</w:t>
      </w:r>
      <w:r w:rsidRPr="00903851">
        <w:rPr>
          <w:i/>
          <w:lang w:val="hr-HR"/>
        </w:rPr>
        <w:t xml:space="preserve"> </w:t>
      </w:r>
    </w:p>
    <w:p w:rsidR="000949E5" w:rsidRPr="00BE257E" w:rsidRDefault="00077291" w:rsidP="00077291">
      <w:pPr>
        <w:jc w:val="both"/>
        <w:rPr>
          <w:rFonts w:ascii="Calibri" w:eastAsia="Calibri" w:hAnsi="Calibri" w:cs="Times New Roman"/>
          <w:b/>
          <w:bCs/>
          <w:i/>
          <w:color w:val="4F81BD"/>
          <w:sz w:val="24"/>
          <w:szCs w:val="18"/>
          <w:lang w:val="hr-HR"/>
        </w:rPr>
      </w:pPr>
      <w:r w:rsidRPr="00BE257E">
        <w:rPr>
          <w:rFonts w:eastAsia="Times New Roman" w:cs="Times New Roman"/>
          <w:bCs/>
          <w:i/>
          <w:lang w:val="hr-HR"/>
        </w:rPr>
        <w:t>Tablica</w:t>
      </w:r>
      <w:r w:rsidR="004869ED" w:rsidRPr="00BE257E">
        <w:rPr>
          <w:rFonts w:eastAsia="Times New Roman" w:cs="Times New Roman"/>
          <w:bCs/>
          <w:i/>
          <w:lang w:val="hr-HR"/>
        </w:rPr>
        <w:t xml:space="preserve"> </w:t>
      </w:r>
      <w:r w:rsidRPr="00BE257E">
        <w:rPr>
          <w:rFonts w:eastAsia="Times New Roman" w:cs="Times New Roman"/>
          <w:bCs/>
          <w:i/>
          <w:lang w:val="hr-HR"/>
        </w:rPr>
        <w:fldChar w:fldCharType="begin"/>
      </w:r>
      <w:r w:rsidRPr="00BE257E">
        <w:rPr>
          <w:rFonts w:eastAsia="Times New Roman" w:cs="Times New Roman"/>
          <w:bCs/>
          <w:i/>
          <w:lang w:val="hr-HR"/>
        </w:rPr>
        <w:instrText xml:space="preserve"> SEQ Tablica \* ARABIC </w:instrText>
      </w:r>
      <w:r w:rsidRPr="00BE257E">
        <w:rPr>
          <w:rFonts w:eastAsia="Times New Roman" w:cs="Times New Roman"/>
          <w:bCs/>
          <w:i/>
          <w:lang w:val="hr-HR"/>
        </w:rPr>
        <w:fldChar w:fldCharType="separate"/>
      </w:r>
      <w:r w:rsidR="0049458F">
        <w:rPr>
          <w:rFonts w:eastAsia="Times New Roman" w:cs="Times New Roman"/>
          <w:bCs/>
          <w:i/>
          <w:noProof/>
          <w:lang w:val="hr-HR"/>
        </w:rPr>
        <w:t>1</w:t>
      </w:r>
      <w:r w:rsidRPr="00BE257E">
        <w:rPr>
          <w:rFonts w:eastAsia="Times New Roman" w:cs="Times New Roman"/>
          <w:bCs/>
          <w:i/>
          <w:lang w:val="hr-HR"/>
        </w:rPr>
        <w:fldChar w:fldCharType="end"/>
      </w:r>
      <w:r w:rsidRPr="00BE257E">
        <w:rPr>
          <w:rFonts w:eastAsia="Times New Roman" w:cs="Times New Roman"/>
          <w:bCs/>
          <w:i/>
          <w:lang w:val="hr-HR"/>
        </w:rPr>
        <w:t xml:space="preserve">: Kretanja makroekonomskih pokazatelja </w:t>
      </w:r>
      <w:r w:rsidR="002875DE" w:rsidRPr="00BE257E">
        <w:rPr>
          <w:rFonts w:eastAsia="Times New Roman" w:cs="Times New Roman"/>
          <w:bCs/>
          <w:i/>
          <w:lang w:val="hr-HR"/>
        </w:rPr>
        <w:t>RH</w:t>
      </w:r>
      <w:r w:rsidRPr="00BE257E">
        <w:rPr>
          <w:rFonts w:ascii="Calibri" w:eastAsia="Calibri" w:hAnsi="Calibri" w:cs="Times New Roman"/>
          <w:b/>
          <w:bCs/>
          <w:i/>
          <w:color w:val="4F81BD"/>
          <w:sz w:val="24"/>
          <w:szCs w:val="18"/>
          <w:lang w:val="hr-HR"/>
        </w:rPr>
        <w:tab/>
      </w:r>
    </w:p>
    <w:p w:rsidR="002D1818" w:rsidRDefault="00BE257E" w:rsidP="00BE257E">
      <w:pPr>
        <w:jc w:val="both"/>
        <w:rPr>
          <w:lang w:val="hr-HR"/>
        </w:rPr>
      </w:pPr>
      <w:r w:rsidRPr="00BC36F1">
        <w:rPr>
          <w:noProof/>
          <w:lang w:val="hr-HR" w:eastAsia="hr-HR"/>
        </w:rPr>
        <w:drawing>
          <wp:inline distT="0" distB="0" distL="0" distR="0" wp14:anchorId="61577594" wp14:editId="73468874">
            <wp:extent cx="5464175" cy="2458085"/>
            <wp:effectExtent l="0" t="0" r="3175" b="0"/>
            <wp:docPr id="4" name="Slika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464175" cy="2458085"/>
                    </a:xfrm>
                    <a:prstGeom prst="rect">
                      <a:avLst/>
                    </a:prstGeom>
                    <a:noFill/>
                    <a:ln>
                      <a:noFill/>
                    </a:ln>
                  </pic:spPr>
                </pic:pic>
              </a:graphicData>
            </a:graphic>
          </wp:inline>
        </w:drawing>
      </w:r>
      <w:r w:rsidR="00077291" w:rsidRPr="007C299C">
        <w:rPr>
          <w:rFonts w:ascii="Calibri" w:eastAsia="Calibri" w:hAnsi="Calibri" w:cs="Times New Roman"/>
          <w:b/>
          <w:bCs/>
          <w:i/>
          <w:color w:val="4F81BD"/>
          <w:sz w:val="24"/>
          <w:szCs w:val="18"/>
          <w:highlight w:val="yellow"/>
          <w:lang w:val="hr-HR"/>
        </w:rPr>
        <w:br/>
      </w:r>
    </w:p>
    <w:p w:rsidR="00BE257E" w:rsidRDefault="00BE257E" w:rsidP="00BE257E">
      <w:pPr>
        <w:jc w:val="both"/>
        <w:rPr>
          <w:lang w:val="hr-HR"/>
        </w:rPr>
      </w:pPr>
      <w:r w:rsidRPr="00D953D2">
        <w:rPr>
          <w:lang w:val="hr-HR"/>
        </w:rPr>
        <w:t>Oporavivši se od recesije izazvane pandemijom koronavirusa, u 2022. godini nastavljen je</w:t>
      </w:r>
      <w:r w:rsidRPr="00E71B70">
        <w:rPr>
          <w:lang w:val="hr-HR"/>
        </w:rPr>
        <w:t xml:space="preserve"> snažan rast realnog bruto </w:t>
      </w:r>
      <w:r w:rsidRPr="00403E8F">
        <w:rPr>
          <w:lang w:val="hr-HR"/>
        </w:rPr>
        <w:t>domaćeg proizvoda, koji je rastao po stopi blago iznad 6%, posebice temeljen na snažnom doprinosu izvoza roba i usluga. Unatoč prisutnoj visokoj inflaciji, monetarnom stezanju i slaboj dinamici vanjske potražnje, u prvoj polovici 2023. godine nastavljena su povoljna kretanja u gospodarstvu RH, ponajviše potaknuta rastom osobne potrošnje i izvozom usluga. Promatra</w:t>
      </w:r>
      <w:r>
        <w:rPr>
          <w:lang w:val="hr-HR"/>
        </w:rPr>
        <w:t>mo li</w:t>
      </w:r>
      <w:r w:rsidRPr="00403E8F">
        <w:rPr>
          <w:lang w:val="hr-HR"/>
        </w:rPr>
        <w:t xml:space="preserve"> dosad objavljene visoko frekventne pokazatelje, u prvih osam mjeseci 2023. ostvaren je rast broja komercijalnih turističkih noćenja od 1,9% u odnosu na isto razdoblje</w:t>
      </w:r>
      <w:r w:rsidRPr="00A15B9D">
        <w:rPr>
          <w:lang w:val="hr-HR"/>
        </w:rPr>
        <w:t xml:space="preserve"> prošle godine, pri čemu se u </w:t>
      </w:r>
      <w:r>
        <w:rPr>
          <w:lang w:val="hr-HR"/>
        </w:rPr>
        <w:t>srpnju i kolovozu ipak bilježi</w:t>
      </w:r>
      <w:r w:rsidRPr="00A15B9D">
        <w:rPr>
          <w:lang w:val="hr-HR"/>
        </w:rPr>
        <w:t xml:space="preserve"> njihov međugodišnji pad. Nakon nešto slabijih ostvarenja </w:t>
      </w:r>
      <w:r>
        <w:rPr>
          <w:lang w:val="hr-HR"/>
        </w:rPr>
        <w:t>u prvom tromjesečju ove godine</w:t>
      </w:r>
      <w:r w:rsidRPr="00A15B9D">
        <w:rPr>
          <w:lang w:val="hr-HR"/>
        </w:rPr>
        <w:t xml:space="preserve">, u narednim mjesecima </w:t>
      </w:r>
      <w:r>
        <w:rPr>
          <w:lang w:val="hr-HR"/>
        </w:rPr>
        <w:t>došlo je do ubrzanja</w:t>
      </w:r>
      <w:r w:rsidRPr="00A15B9D">
        <w:rPr>
          <w:lang w:val="hr-HR"/>
        </w:rPr>
        <w:t xml:space="preserve"> rasta prometa u trgovini</w:t>
      </w:r>
      <w:r>
        <w:rPr>
          <w:lang w:val="hr-HR"/>
        </w:rPr>
        <w:t xml:space="preserve"> na malo</w:t>
      </w:r>
      <w:r w:rsidRPr="00A15B9D">
        <w:rPr>
          <w:lang w:val="hr-HR"/>
        </w:rPr>
        <w:t>, te je u prvih osam mjeseci 2023. ostvaren realan rast od 2,1%. Obujam građevinskih radova je u prvih sedam mjeseci 2023. ostvario rast od 3,5% u odnosu na isto razdoblje prethodne godine. S druge strane, u industriji su nastavljena negativna kretanja započeta krajem prethodne godine, pa je tako obujam industrijske proizvodnje zabilježio pad od 1,0% u prvih osam mjeseci 2023. godine.</w:t>
      </w:r>
      <w:r>
        <w:rPr>
          <w:lang w:val="hr-HR"/>
        </w:rPr>
        <w:t xml:space="preserve"> </w:t>
      </w:r>
      <w:r w:rsidRPr="004310F0">
        <w:rPr>
          <w:lang w:val="hr-HR"/>
        </w:rPr>
        <w:t>Tijekom 2023. bilježi se usporavanje inflacije potrošačkih cijena koja je u rujnu dosegnula razinu od 6,6%</w:t>
      </w:r>
      <w:r>
        <w:rPr>
          <w:lang w:val="hr-HR"/>
        </w:rPr>
        <w:t>. Pritom je u</w:t>
      </w:r>
      <w:r w:rsidRPr="004310F0">
        <w:rPr>
          <w:lang w:val="hr-HR"/>
        </w:rPr>
        <w:t>sporavanj</w:t>
      </w:r>
      <w:r>
        <w:rPr>
          <w:lang w:val="hr-HR"/>
        </w:rPr>
        <w:t>e</w:t>
      </w:r>
      <w:r w:rsidRPr="004310F0">
        <w:rPr>
          <w:lang w:val="hr-HR"/>
        </w:rPr>
        <w:t xml:space="preserve"> inflacije </w:t>
      </w:r>
      <w:r>
        <w:rPr>
          <w:lang w:val="hr-HR"/>
        </w:rPr>
        <w:t>bilo najizraženije kod</w:t>
      </w:r>
      <w:r w:rsidRPr="004310F0">
        <w:rPr>
          <w:lang w:val="hr-HR"/>
        </w:rPr>
        <w:t xml:space="preserve"> cijena energije, a trend postupnog usporavanja vidljiv je i kod preostalih komponenata potrošačkih cijena, iako je i nadalje prisutna relativno snažna inflacija cijena hrane te usluga.</w:t>
      </w:r>
      <w:r>
        <w:rPr>
          <w:lang w:val="hr-HR"/>
        </w:rPr>
        <w:t xml:space="preserve"> </w:t>
      </w:r>
      <w:r w:rsidRPr="00167F1B">
        <w:rPr>
          <w:lang w:val="hr-HR"/>
        </w:rPr>
        <w:t xml:space="preserve">Na tržištu rada nastavljena su povoljna kretanja te je broj osiguranika mirovinskog osiguranja u </w:t>
      </w:r>
      <w:r>
        <w:rPr>
          <w:lang w:val="hr-HR"/>
        </w:rPr>
        <w:t>prvih devet mjeseci</w:t>
      </w:r>
      <w:r w:rsidRPr="00167F1B">
        <w:rPr>
          <w:lang w:val="hr-HR"/>
        </w:rPr>
        <w:t xml:space="preserve"> 2023. prosječno </w:t>
      </w:r>
      <w:r>
        <w:rPr>
          <w:lang w:val="hr-HR"/>
        </w:rPr>
        <w:t>rastao po međugodišnjoj stopi od</w:t>
      </w:r>
      <w:r w:rsidRPr="00167F1B">
        <w:rPr>
          <w:lang w:val="hr-HR"/>
        </w:rPr>
        <w:t xml:space="preserve"> 2,</w:t>
      </w:r>
      <w:r>
        <w:rPr>
          <w:lang w:val="hr-HR"/>
        </w:rPr>
        <w:t>4%</w:t>
      </w:r>
      <w:r w:rsidRPr="00167F1B">
        <w:rPr>
          <w:lang w:val="hr-HR"/>
        </w:rPr>
        <w:t xml:space="preserve">, dok </w:t>
      </w:r>
      <w:r>
        <w:rPr>
          <w:lang w:val="hr-HR"/>
        </w:rPr>
        <w:t>s</w:t>
      </w:r>
      <w:r w:rsidRPr="00167F1B">
        <w:rPr>
          <w:lang w:val="hr-HR"/>
        </w:rPr>
        <w:t xml:space="preserve">e </w:t>
      </w:r>
      <w:r w:rsidRPr="004310F0">
        <w:rPr>
          <w:lang w:val="hr-HR"/>
        </w:rPr>
        <w:t xml:space="preserve">administrativna stopa nezaposlenosti </w:t>
      </w:r>
      <w:r>
        <w:rPr>
          <w:lang w:val="hr-HR"/>
        </w:rPr>
        <w:t>nalazi na povijesno niskim razinama</w:t>
      </w:r>
      <w:r w:rsidRPr="004310F0">
        <w:rPr>
          <w:lang w:val="hr-HR"/>
        </w:rPr>
        <w:t xml:space="preserve">. </w:t>
      </w:r>
    </w:p>
    <w:p w:rsidR="00BE257E" w:rsidRDefault="00BE257E" w:rsidP="00077291">
      <w:pPr>
        <w:jc w:val="both"/>
        <w:rPr>
          <w:lang w:val="hr-HR"/>
        </w:rPr>
      </w:pPr>
      <w:bookmarkStart w:id="6" w:name="_Toc6418609"/>
      <w:r w:rsidRPr="002A62E3">
        <w:rPr>
          <w:lang w:val="hr-HR"/>
        </w:rPr>
        <w:lastRenderedPageBreak/>
        <w:t xml:space="preserve">Temeljem </w:t>
      </w:r>
      <w:r w:rsidRPr="00A15B9D">
        <w:rPr>
          <w:lang w:val="hr-HR"/>
        </w:rPr>
        <w:t xml:space="preserve">dostupnih </w:t>
      </w:r>
      <w:r w:rsidRPr="00BC36F1">
        <w:rPr>
          <w:lang w:val="hr-HR"/>
        </w:rPr>
        <w:t>makroekonomskih pokazatelja za domaće gospodarstvo i međunarodno okruženje, u 2023. prognozira se realni rast BDP-a od 2,8%</w:t>
      </w:r>
      <w:r w:rsidRPr="00BC36F1">
        <w:rPr>
          <w:rStyle w:val="FootnoteReference"/>
          <w:lang w:val="hr-HR"/>
        </w:rPr>
        <w:footnoteReference w:id="1"/>
      </w:r>
      <w:r w:rsidRPr="00BC36F1">
        <w:rPr>
          <w:lang w:val="hr-HR"/>
        </w:rPr>
        <w:t>.</w:t>
      </w:r>
      <w:r w:rsidRPr="00BC36F1">
        <w:rPr>
          <w:rFonts w:eastAsia="Times New Roman" w:cs="Times New Roman"/>
          <w:lang w:val="hr-HR"/>
        </w:rPr>
        <w:t xml:space="preserve"> Osobna potrošnja bit će glavni pokretač rasta domaće potražnje u 2023. godini, a snažan doprinos rastu doći će i od uvoza roba i usluga, kao i izvoza usluga. Također, rastu BDP-a pozitivno će doprinijeti državna potrošnja te bruto investicije u fiksni kapital. </w:t>
      </w:r>
      <w:r w:rsidRPr="00BC36F1">
        <w:rPr>
          <w:lang w:val="hr-HR"/>
        </w:rPr>
        <w:t>Očekuje se usporavanje prosječne inflacije potrošačkih cijena</w:t>
      </w:r>
      <w:r w:rsidRPr="00A15B9D">
        <w:rPr>
          <w:lang w:val="hr-HR"/>
        </w:rPr>
        <w:t xml:space="preserve"> s 10,8% iz 2022. na razinu od 8,</w:t>
      </w:r>
      <w:r>
        <w:rPr>
          <w:lang w:val="hr-HR"/>
        </w:rPr>
        <w:t>0</w:t>
      </w:r>
      <w:r w:rsidRPr="00A15B9D">
        <w:rPr>
          <w:lang w:val="hr-HR"/>
        </w:rPr>
        <w:t>%</w:t>
      </w:r>
      <w:r w:rsidRPr="00A15B9D">
        <w:rPr>
          <w:rFonts w:ascii="Calibri" w:eastAsia="Calibri" w:hAnsi="Calibri" w:cs="Calibri"/>
          <w:lang w:val="hr-HR"/>
        </w:rPr>
        <w:t xml:space="preserve"> </w:t>
      </w:r>
      <w:r w:rsidRPr="00A15B9D">
        <w:rPr>
          <w:rFonts w:eastAsia="Times New Roman" w:cs="Times New Roman"/>
          <w:lang w:val="hr-HR"/>
        </w:rPr>
        <w:t>u</w:t>
      </w:r>
      <w:r w:rsidRPr="00A15B9D">
        <w:rPr>
          <w:lang w:val="hr-HR"/>
        </w:rPr>
        <w:t xml:space="preserve"> 2023. godini</w:t>
      </w:r>
      <w:r w:rsidRPr="00A15B9D">
        <w:rPr>
          <w:rFonts w:ascii="Calibri" w:eastAsia="Calibri" w:hAnsi="Calibri" w:cs="Calibri"/>
          <w:lang w:val="hr-HR"/>
        </w:rPr>
        <w:t>, pod utjecajem smanjenja cijena primarnih sirovina na svjetskom tržištu</w:t>
      </w:r>
      <w:r>
        <w:t xml:space="preserve">, </w:t>
      </w:r>
      <w:r w:rsidRPr="00A15B9D">
        <w:rPr>
          <w:rFonts w:ascii="Calibri" w:eastAsia="Calibri" w:hAnsi="Calibri" w:cs="Calibri"/>
          <w:lang w:val="hr-HR"/>
        </w:rPr>
        <w:t xml:space="preserve">iščezavanja baznih učinaka rasta cijena tijekom 2022., kao i mjera Vlade RH za ublažavanje inflacijskih pritisaka. </w:t>
      </w:r>
      <w:r w:rsidRPr="00A15B9D">
        <w:rPr>
          <w:lang w:val="hr-HR"/>
        </w:rPr>
        <w:t>Tržište rada i nadalje karakteriziraju povoljna očekivanja, u uvjetima prisutne neravnoteže između ponude i potražnje za radom te povoljnih trendova migracijskog salda. Tako se u 2023. godini očekuje rast broja zaposlenih po stopi od 2,4%. Sukladno očekivanom kretanju inflacije te potražnje za radnom snagom, uz snažno prisutne manjkove određenih profila radnika, očekuje se primjetno ubrzanje nominalnog rasta bruto plaća</w:t>
      </w:r>
      <w:r>
        <w:rPr>
          <w:lang w:val="hr-HR"/>
        </w:rPr>
        <w:t>, koji će u 2023. godini iznositi</w:t>
      </w:r>
      <w:r w:rsidRPr="00A15B9D">
        <w:rPr>
          <w:lang w:val="hr-HR"/>
        </w:rPr>
        <w:t xml:space="preserve"> 14,</w:t>
      </w:r>
      <w:r>
        <w:rPr>
          <w:lang w:val="hr-HR"/>
        </w:rPr>
        <w:t>6</w:t>
      </w:r>
      <w:r w:rsidRPr="00A15B9D">
        <w:rPr>
          <w:lang w:val="hr-HR"/>
        </w:rPr>
        <w:t xml:space="preserve">%. </w:t>
      </w:r>
      <w:bookmarkEnd w:id="6"/>
    </w:p>
    <w:p w:rsidR="00077291" w:rsidRPr="00BE257E" w:rsidRDefault="00BE257E" w:rsidP="00BE257E">
      <w:pPr>
        <w:rPr>
          <w:lang w:val="hr-HR"/>
        </w:rPr>
      </w:pPr>
      <w:r>
        <w:rPr>
          <w:lang w:val="hr-HR"/>
        </w:rPr>
        <w:br w:type="page"/>
      </w:r>
    </w:p>
    <w:p w:rsidR="00025948" w:rsidRPr="009B5CBF" w:rsidRDefault="00025948" w:rsidP="00025948">
      <w:pPr>
        <w:pStyle w:val="Heading1"/>
        <w:numPr>
          <w:ilvl w:val="0"/>
          <w:numId w:val="1"/>
        </w:numPr>
        <w:rPr>
          <w:lang w:val="hr-HR"/>
        </w:rPr>
      </w:pPr>
      <w:bookmarkStart w:id="7" w:name="_Toc147939401"/>
      <w:r w:rsidRPr="009B5CBF">
        <w:rPr>
          <w:lang w:val="hr-HR"/>
        </w:rPr>
        <w:lastRenderedPageBreak/>
        <w:t>PRIHODI DRŽAVNOG PRORAČUNA</w:t>
      </w:r>
      <w:bookmarkEnd w:id="7"/>
      <w:r w:rsidRPr="009B5CBF">
        <w:rPr>
          <w:lang w:val="hr-HR"/>
        </w:rPr>
        <w:t xml:space="preserve"> </w:t>
      </w:r>
    </w:p>
    <w:p w:rsidR="0054100C" w:rsidRDefault="0054100C" w:rsidP="0076522F">
      <w:pPr>
        <w:pStyle w:val="Caption"/>
        <w:spacing w:before="240" w:after="120"/>
        <w:jc w:val="both"/>
        <w:rPr>
          <w:rFonts w:asciiTheme="minorHAnsi" w:hAnsiTheme="minorHAnsi"/>
          <w:b w:val="0"/>
          <w:sz w:val="22"/>
          <w:szCs w:val="22"/>
        </w:rPr>
      </w:pPr>
    </w:p>
    <w:p w:rsidR="007C299C" w:rsidRPr="00B3494F" w:rsidRDefault="007C299C" w:rsidP="007C299C">
      <w:pPr>
        <w:jc w:val="both"/>
        <w:rPr>
          <w:rFonts w:cstheme="minorHAnsi"/>
          <w:lang w:val="hr-HR"/>
        </w:rPr>
      </w:pPr>
      <w:r w:rsidRPr="00343903">
        <w:rPr>
          <w:rFonts w:cstheme="minorHAnsi"/>
          <w:lang w:val="hr-HR"/>
        </w:rPr>
        <w:t xml:space="preserve">Prihodi državnog proračuna planirani drugim Izmjenama i dopunama Državnog proračuna Republike Hrvatske za 2023. godinu temelje se na očekivanom kretanju gospodarske aktivnosti, uzimajući u obzir ostvarenje proračunskih prihoda u prvih osam mjeseci </w:t>
      </w:r>
      <w:r w:rsidRPr="00343903">
        <w:rPr>
          <w:lang w:val="hr-HR"/>
        </w:rPr>
        <w:t>te cjelogodišnje fiskalne učinke provedenog poreznog rasterećenja u 2022. godini</w:t>
      </w:r>
      <w:r>
        <w:rPr>
          <w:lang w:val="hr-HR"/>
        </w:rPr>
        <w:t xml:space="preserve">, kao i </w:t>
      </w:r>
      <w:r w:rsidRPr="00B3494F">
        <w:rPr>
          <w:rFonts w:cstheme="minorHAnsi"/>
          <w:lang w:val="hr-HR"/>
        </w:rPr>
        <w:t>produljenja privremeno snižene stope PDV-a od 5% na isporuku plina, grijanja iz toplinskih stanica, ogrjevnog drva, peleta, briketa i sječke do 31.</w:t>
      </w:r>
      <w:r w:rsidR="002C5A48">
        <w:rPr>
          <w:rFonts w:cstheme="minorHAnsi"/>
          <w:lang w:val="hr-HR"/>
        </w:rPr>
        <w:t xml:space="preserve"> </w:t>
      </w:r>
      <w:r w:rsidRPr="00B3494F">
        <w:rPr>
          <w:rFonts w:cstheme="minorHAnsi"/>
          <w:lang w:val="hr-HR"/>
        </w:rPr>
        <w:t xml:space="preserve">ožujka 2024. Također, Vlada RH donijela je Uredbu o izmjeni Uredbe o visini trošarine na energente i električnu energiju i Uredbu o utvrđivanju najviših maloprodajnih cijena naftnih derivata, kojom su utvrđene premije energetskih subjekata za motorne benzine i dizelska goriva kojima se reguliraju cijene naftnih derivata. </w:t>
      </w:r>
    </w:p>
    <w:p w:rsidR="007C299C" w:rsidRDefault="007C299C" w:rsidP="007C299C">
      <w:pPr>
        <w:jc w:val="both"/>
        <w:rPr>
          <w:rFonts w:cstheme="minorHAnsi"/>
          <w:lang w:val="hr-HR"/>
        </w:rPr>
      </w:pPr>
      <w:r w:rsidRPr="00B3494F">
        <w:rPr>
          <w:rFonts w:cstheme="minorHAnsi"/>
          <w:lang w:val="hr-HR"/>
        </w:rPr>
        <w:t xml:space="preserve">Značajan učinak na prihode proračuna imaju i sredstva pomoći od institucija i tijela EU. To se ponajprije odnosi na sredstva iz prethodnog, ali i novog Višegodišnjeg financijskog okvira 2021. – 2027. te iz Mehanizma za oporavak i otpornost, kojima će se jačati oporavak i otpornost gospodarstva. </w:t>
      </w:r>
    </w:p>
    <w:p w:rsidR="007C299C" w:rsidRPr="00B3494F" w:rsidRDefault="007C299C" w:rsidP="007C299C">
      <w:pPr>
        <w:jc w:val="both"/>
        <w:rPr>
          <w:rFonts w:cstheme="minorHAnsi"/>
          <w:b/>
          <w:lang w:val="hr-HR"/>
        </w:rPr>
      </w:pPr>
      <w:r w:rsidRPr="00B3494F">
        <w:rPr>
          <w:rFonts w:cstheme="minorHAnsi"/>
          <w:lang w:val="hr-HR"/>
        </w:rPr>
        <w:t>Novim planom proračuna za 2023</w:t>
      </w:r>
      <w:r w:rsidRPr="00EA6212">
        <w:rPr>
          <w:rFonts w:cstheme="minorHAnsi"/>
          <w:lang w:val="hr-HR"/>
        </w:rPr>
        <w:t>. godinu ukupni prihodi iznose 27,7 milijardi</w:t>
      </w:r>
      <w:r w:rsidRPr="00B3494F">
        <w:rPr>
          <w:rFonts w:cstheme="minorHAnsi"/>
          <w:lang w:val="hr-HR"/>
        </w:rPr>
        <w:t xml:space="preserve"> eura. Pritom prihodi poslovanja </w:t>
      </w:r>
      <w:r w:rsidRPr="00EA6212">
        <w:rPr>
          <w:rFonts w:cstheme="minorHAnsi"/>
          <w:lang w:val="hr-HR"/>
        </w:rPr>
        <w:t>iznose 27,6 milijardi eura</w:t>
      </w:r>
      <w:r w:rsidRPr="00B3494F">
        <w:rPr>
          <w:rFonts w:cstheme="minorHAnsi"/>
          <w:lang w:val="hr-HR"/>
        </w:rPr>
        <w:t xml:space="preserve">, a prihodi od prodaje nefinancijske imovine </w:t>
      </w:r>
      <w:r>
        <w:rPr>
          <w:rFonts w:cstheme="minorHAnsi"/>
          <w:lang w:val="hr-HR"/>
        </w:rPr>
        <w:t>86,8</w:t>
      </w:r>
      <w:r w:rsidRPr="00B3494F">
        <w:rPr>
          <w:rFonts w:cstheme="minorHAnsi"/>
          <w:lang w:val="hr-HR"/>
        </w:rPr>
        <w:t xml:space="preserve"> milijuna eura. Ukupni proračunski prihodi povećavaju se za </w:t>
      </w:r>
      <w:r>
        <w:rPr>
          <w:rFonts w:cstheme="minorHAnsi"/>
          <w:lang w:val="hr-HR"/>
        </w:rPr>
        <w:t xml:space="preserve">1,1 milijardu </w:t>
      </w:r>
      <w:r w:rsidRPr="00B3494F">
        <w:rPr>
          <w:rFonts w:cstheme="minorHAnsi"/>
          <w:lang w:val="hr-HR"/>
        </w:rPr>
        <w:t xml:space="preserve">eura, što prvenstveno dolazi od povećanja poreznih prihoda. </w:t>
      </w:r>
    </w:p>
    <w:p w:rsidR="007C299C" w:rsidRDefault="007C299C" w:rsidP="007C299C">
      <w:pPr>
        <w:jc w:val="both"/>
        <w:rPr>
          <w:rFonts w:ascii="Calibri" w:eastAsia="Calibri" w:hAnsi="Calibri" w:cs="Times New Roman"/>
          <w:b/>
          <w:lang w:val="hr-HR"/>
        </w:rPr>
      </w:pPr>
    </w:p>
    <w:p w:rsidR="007C299C" w:rsidRPr="002821C1" w:rsidRDefault="007C299C" w:rsidP="007C299C">
      <w:pPr>
        <w:jc w:val="both"/>
        <w:rPr>
          <w:rFonts w:ascii="Calibri" w:eastAsia="Calibri" w:hAnsi="Calibri" w:cs="Times New Roman"/>
          <w:b/>
          <w:lang w:val="hr-HR"/>
        </w:rPr>
      </w:pPr>
      <w:r w:rsidRPr="002821C1">
        <w:rPr>
          <w:rFonts w:ascii="Calibri" w:eastAsia="Calibri" w:hAnsi="Calibri" w:cs="Times New Roman"/>
          <w:b/>
          <w:lang w:val="hr-HR"/>
        </w:rPr>
        <w:t>Prihodi od poreza</w:t>
      </w:r>
    </w:p>
    <w:p w:rsidR="007C299C" w:rsidRPr="00B3494F" w:rsidRDefault="007C299C" w:rsidP="007C299C">
      <w:pPr>
        <w:jc w:val="both"/>
        <w:rPr>
          <w:rFonts w:eastAsia="Calibri" w:cstheme="minorHAnsi"/>
          <w:lang w:val="hr-HR"/>
        </w:rPr>
      </w:pPr>
      <w:r w:rsidRPr="00B3494F">
        <w:rPr>
          <w:rFonts w:eastAsia="Calibri" w:cstheme="minorHAnsi"/>
          <w:lang w:val="hr-HR"/>
        </w:rPr>
        <w:t xml:space="preserve">Prihodi od poreza su novim planom za 2023. godinu planirani u iznosu od </w:t>
      </w:r>
      <w:r>
        <w:rPr>
          <w:rFonts w:eastAsia="Calibri" w:cstheme="minorHAnsi"/>
          <w:lang w:val="hr-HR"/>
        </w:rPr>
        <w:t>15,5</w:t>
      </w:r>
      <w:r w:rsidRPr="00B3494F">
        <w:rPr>
          <w:rFonts w:eastAsia="Calibri" w:cstheme="minorHAnsi"/>
          <w:lang w:val="hr-HR"/>
        </w:rPr>
        <w:t xml:space="preserve"> milijard</w:t>
      </w:r>
      <w:r>
        <w:rPr>
          <w:rFonts w:eastAsia="Calibri" w:cstheme="minorHAnsi"/>
          <w:lang w:val="hr-HR"/>
        </w:rPr>
        <w:t>i</w:t>
      </w:r>
      <w:r w:rsidRPr="00B3494F">
        <w:rPr>
          <w:rFonts w:eastAsia="Calibri" w:cstheme="minorHAnsi"/>
          <w:lang w:val="hr-HR"/>
        </w:rPr>
        <w:t xml:space="preserve"> eura,</w:t>
      </w:r>
      <w:r w:rsidRPr="00B3494F">
        <w:rPr>
          <w:rFonts w:eastAsia="Calibri" w:cstheme="minorHAnsi"/>
        </w:rPr>
        <w:t xml:space="preserve"> </w:t>
      </w:r>
      <w:r w:rsidRPr="00B3494F">
        <w:rPr>
          <w:rFonts w:eastAsia="Calibri" w:cstheme="minorHAnsi"/>
          <w:lang w:val="hr-HR"/>
        </w:rPr>
        <w:t xml:space="preserve">što je za </w:t>
      </w:r>
      <w:r>
        <w:rPr>
          <w:rFonts w:eastAsia="Calibri" w:cstheme="minorHAnsi"/>
          <w:lang w:val="hr-HR"/>
        </w:rPr>
        <w:t>1,2</w:t>
      </w:r>
      <w:r w:rsidRPr="00B3494F">
        <w:rPr>
          <w:rFonts w:eastAsia="Calibri" w:cstheme="minorHAnsi"/>
          <w:lang w:val="hr-HR"/>
        </w:rPr>
        <w:t xml:space="preserve"> </w:t>
      </w:r>
      <w:r>
        <w:rPr>
          <w:rFonts w:eastAsia="Calibri" w:cstheme="minorHAnsi"/>
          <w:lang w:val="hr-HR"/>
        </w:rPr>
        <w:t>milijarde</w:t>
      </w:r>
      <w:r w:rsidRPr="00B3494F">
        <w:rPr>
          <w:rFonts w:eastAsia="Calibri" w:cstheme="minorHAnsi"/>
          <w:lang w:val="hr-HR"/>
        </w:rPr>
        <w:t xml:space="preserve"> eura više u odnosu na plan </w:t>
      </w:r>
      <w:r>
        <w:rPr>
          <w:rFonts w:eastAsia="Calibri" w:cstheme="minorHAnsi"/>
          <w:lang w:val="hr-HR"/>
        </w:rPr>
        <w:t>iz svibnja</w:t>
      </w:r>
      <w:r w:rsidRPr="00B3494F">
        <w:rPr>
          <w:rFonts w:eastAsia="Calibri" w:cstheme="minorHAnsi"/>
          <w:lang w:val="hr-HR"/>
        </w:rPr>
        <w:t xml:space="preserve">. Pritom najveće pozitivne promjene bilježe prihodi od poreza na dobit i prihodi od poreza na dodanu vrijednost. </w:t>
      </w:r>
    </w:p>
    <w:p w:rsidR="007C299C" w:rsidRPr="002821C1" w:rsidRDefault="007C299C" w:rsidP="007C299C">
      <w:pPr>
        <w:jc w:val="both"/>
        <w:rPr>
          <w:rFonts w:ascii="Calibri" w:eastAsia="Calibri" w:hAnsi="Calibri" w:cs="Times New Roman"/>
          <w:b/>
          <w:i/>
          <w:lang w:val="hr-HR"/>
        </w:rPr>
      </w:pPr>
      <w:r w:rsidRPr="002821C1">
        <w:rPr>
          <w:rFonts w:ascii="Calibri" w:eastAsia="Calibri" w:hAnsi="Calibri" w:cs="Times New Roman"/>
          <w:b/>
          <w:i/>
          <w:lang w:val="hr-HR"/>
        </w:rPr>
        <w:t>Porez na dobit</w:t>
      </w:r>
    </w:p>
    <w:p w:rsidR="007C299C" w:rsidRPr="00CC069F" w:rsidRDefault="007C299C" w:rsidP="007C299C">
      <w:pPr>
        <w:jc w:val="both"/>
        <w:rPr>
          <w:rFonts w:eastAsia="Calibri" w:cstheme="minorHAnsi"/>
          <w:lang w:val="hr-HR"/>
        </w:rPr>
      </w:pPr>
      <w:r w:rsidRPr="00CC069F">
        <w:rPr>
          <w:rFonts w:eastAsia="Calibri" w:cstheme="minorHAnsi"/>
          <w:lang w:val="hr-HR"/>
        </w:rPr>
        <w:t xml:space="preserve">Prihod od poreza na dobit prema novom planu za 2023. godinu </w:t>
      </w:r>
      <w:r w:rsidRPr="00C22023">
        <w:rPr>
          <w:rFonts w:eastAsia="Calibri" w:cstheme="minorHAnsi"/>
          <w:lang w:val="hr-HR"/>
        </w:rPr>
        <w:t>iznosi 2,4 milijarde</w:t>
      </w:r>
      <w:r w:rsidRPr="00CC069F">
        <w:rPr>
          <w:rFonts w:eastAsia="Calibri" w:cstheme="minorHAnsi"/>
          <w:lang w:val="hr-HR"/>
        </w:rPr>
        <w:t xml:space="preserve"> eura i veći je za </w:t>
      </w:r>
      <w:r>
        <w:rPr>
          <w:rFonts w:eastAsia="Calibri" w:cstheme="minorHAnsi"/>
          <w:lang w:val="hr-HR"/>
        </w:rPr>
        <w:t>360</w:t>
      </w:r>
      <w:r w:rsidRPr="00CC069F">
        <w:rPr>
          <w:rFonts w:eastAsia="Calibri" w:cstheme="minorHAnsi"/>
          <w:lang w:val="hr-HR"/>
        </w:rPr>
        <w:t xml:space="preserve"> milijuna eura od </w:t>
      </w:r>
      <w:r>
        <w:rPr>
          <w:rFonts w:eastAsia="Calibri" w:cstheme="minorHAnsi"/>
          <w:lang w:val="hr-HR"/>
        </w:rPr>
        <w:t xml:space="preserve">prethodno </w:t>
      </w:r>
      <w:r w:rsidRPr="00CC069F">
        <w:rPr>
          <w:rFonts w:eastAsia="Calibri" w:cstheme="minorHAnsi"/>
          <w:lang w:val="hr-HR"/>
        </w:rPr>
        <w:t>planiranog. Povećanje ove prihodne kategorije rezultat je poslovanja poduzeća i banaka u prethodnoj godini odnosno njihovog završnog obračuna krajem travnja 2023. kao i uplate jednokratnog dodatnog poreza na dobit, koji su u državni proračun uplatili oni poduzetnici koji su ostvarili prihode veće od 39,8 milijuna eura u 2022. godini, a kojima se utvrdila oporeziva dobit u iznosu većem za 20% u odnosu na prosjek oporezive dobiti iz četiri prethodna porezna razdoblja.</w:t>
      </w:r>
    </w:p>
    <w:p w:rsidR="007C299C" w:rsidRPr="002821C1" w:rsidRDefault="007C299C" w:rsidP="007C299C">
      <w:pPr>
        <w:jc w:val="both"/>
        <w:rPr>
          <w:rFonts w:ascii="Calibri" w:eastAsia="Calibri" w:hAnsi="Calibri" w:cs="Times New Roman"/>
          <w:b/>
          <w:i/>
          <w:lang w:val="hr-HR"/>
        </w:rPr>
      </w:pPr>
      <w:r w:rsidRPr="002821C1">
        <w:rPr>
          <w:rFonts w:ascii="Calibri" w:eastAsia="Calibri" w:hAnsi="Calibri" w:cs="Times New Roman"/>
          <w:b/>
          <w:i/>
          <w:lang w:val="hr-HR"/>
        </w:rPr>
        <w:t>Porez na dodanu vrijednost</w:t>
      </w:r>
    </w:p>
    <w:p w:rsidR="007C299C" w:rsidRDefault="007C299C" w:rsidP="007C299C">
      <w:pPr>
        <w:jc w:val="both"/>
        <w:rPr>
          <w:rFonts w:eastAsia="Calibri" w:cstheme="minorHAnsi"/>
          <w:lang w:val="hr-HR"/>
        </w:rPr>
      </w:pPr>
      <w:r w:rsidRPr="0031135C">
        <w:rPr>
          <w:rFonts w:eastAsia="Calibri" w:cstheme="minorHAnsi"/>
          <w:lang w:val="hr-HR"/>
        </w:rPr>
        <w:t xml:space="preserve">Novi plan prihoda od poreza na dodanu vrijednost iznosi </w:t>
      </w:r>
      <w:r>
        <w:rPr>
          <w:rFonts w:eastAsia="Calibri" w:cstheme="minorHAnsi"/>
          <w:lang w:val="hr-HR"/>
        </w:rPr>
        <w:t>10,3</w:t>
      </w:r>
      <w:r w:rsidRPr="0031135C">
        <w:rPr>
          <w:rFonts w:eastAsia="Calibri" w:cstheme="minorHAnsi"/>
          <w:lang w:val="hr-HR"/>
        </w:rPr>
        <w:t xml:space="preserve"> milijardi eura i veći je u odnosu na </w:t>
      </w:r>
      <w:r>
        <w:rPr>
          <w:rFonts w:eastAsia="Calibri" w:cstheme="minorHAnsi"/>
          <w:lang w:val="hr-HR"/>
        </w:rPr>
        <w:t>prethodno</w:t>
      </w:r>
      <w:r w:rsidRPr="0031135C">
        <w:rPr>
          <w:rFonts w:eastAsia="Calibri" w:cstheme="minorHAnsi"/>
          <w:lang w:val="hr-HR"/>
        </w:rPr>
        <w:t xml:space="preserve"> planirani za </w:t>
      </w:r>
      <w:r>
        <w:rPr>
          <w:rFonts w:eastAsia="Calibri" w:cstheme="minorHAnsi"/>
          <w:lang w:val="hr-HR"/>
        </w:rPr>
        <w:t>619</w:t>
      </w:r>
      <w:r w:rsidRPr="0031135C">
        <w:rPr>
          <w:rFonts w:eastAsia="Calibri" w:cstheme="minorHAnsi"/>
          <w:lang w:val="hr-HR"/>
        </w:rPr>
        <w:t xml:space="preserve"> milijun</w:t>
      </w:r>
      <w:r>
        <w:rPr>
          <w:rFonts w:eastAsia="Calibri" w:cstheme="minorHAnsi"/>
          <w:lang w:val="hr-HR"/>
        </w:rPr>
        <w:t>a</w:t>
      </w:r>
      <w:r w:rsidRPr="0031135C">
        <w:rPr>
          <w:rFonts w:eastAsia="Calibri" w:cstheme="minorHAnsi"/>
          <w:lang w:val="hr-HR"/>
        </w:rPr>
        <w:t xml:space="preserve"> eura. Projekcija prihoda od PDV-a temelji se na očekivanom kretanju osobne i turističke potrošnje, intermedijarne potrošnje, investicija te socijalnih transfera u naravi. Također, u projekcije prihoda od PDV-a uključeni su i očekivani učinci provedenih poreznih izmjena u 2022. i 2023. godini. </w:t>
      </w:r>
    </w:p>
    <w:p w:rsidR="004619A3" w:rsidRPr="0031135C" w:rsidRDefault="004619A3" w:rsidP="007C299C">
      <w:pPr>
        <w:jc w:val="both"/>
        <w:rPr>
          <w:rFonts w:eastAsia="Calibri" w:cstheme="minorHAnsi"/>
          <w:lang w:val="hr-HR"/>
        </w:rPr>
      </w:pPr>
    </w:p>
    <w:p w:rsidR="007C299C" w:rsidRPr="002821C1" w:rsidRDefault="007C299C" w:rsidP="007C299C">
      <w:pPr>
        <w:jc w:val="both"/>
        <w:rPr>
          <w:rFonts w:ascii="Calibri" w:eastAsia="Calibri" w:hAnsi="Calibri" w:cs="Times New Roman"/>
          <w:b/>
          <w:i/>
          <w:lang w:val="hr-HR"/>
        </w:rPr>
      </w:pPr>
      <w:r w:rsidRPr="002821C1">
        <w:rPr>
          <w:rFonts w:ascii="Calibri" w:eastAsia="Calibri" w:hAnsi="Calibri" w:cs="Times New Roman"/>
          <w:b/>
          <w:i/>
          <w:lang w:val="hr-HR"/>
        </w:rPr>
        <w:lastRenderedPageBreak/>
        <w:t>Posebni porezi i trošarine</w:t>
      </w:r>
    </w:p>
    <w:p w:rsidR="007C299C" w:rsidRPr="0031135C" w:rsidRDefault="007C299C" w:rsidP="007C299C">
      <w:pPr>
        <w:jc w:val="both"/>
        <w:rPr>
          <w:rFonts w:eastAsia="Calibri" w:cstheme="minorHAnsi"/>
          <w:lang w:val="hr-HR"/>
        </w:rPr>
      </w:pPr>
      <w:r w:rsidRPr="0031135C">
        <w:rPr>
          <w:rFonts w:eastAsia="Calibri" w:cstheme="minorHAnsi"/>
          <w:lang w:val="hr-HR"/>
        </w:rPr>
        <w:t>Prihodi od posebnih poreza i trošarina prema ovim Izmjenama i dopunama Državnog proračuna Republike Hrvatske za 2023. godinu</w:t>
      </w:r>
      <w:r>
        <w:rPr>
          <w:rFonts w:eastAsia="Calibri" w:cstheme="minorHAnsi"/>
          <w:lang w:val="hr-HR"/>
        </w:rPr>
        <w:t xml:space="preserve"> također</w:t>
      </w:r>
      <w:r w:rsidRPr="0031135C">
        <w:rPr>
          <w:rFonts w:eastAsia="Calibri" w:cstheme="minorHAnsi"/>
          <w:lang w:val="hr-HR"/>
        </w:rPr>
        <w:t xml:space="preserve"> bilježe</w:t>
      </w:r>
      <w:r>
        <w:rPr>
          <w:rFonts w:eastAsia="Calibri" w:cstheme="minorHAnsi"/>
          <w:lang w:val="hr-HR"/>
        </w:rPr>
        <w:t xml:space="preserve"> značajno</w:t>
      </w:r>
      <w:r w:rsidRPr="0031135C">
        <w:rPr>
          <w:rFonts w:eastAsia="Calibri" w:cstheme="minorHAnsi"/>
          <w:lang w:val="hr-HR"/>
        </w:rPr>
        <w:t xml:space="preserve"> povećanje od </w:t>
      </w:r>
      <w:r>
        <w:rPr>
          <w:rFonts w:eastAsia="Calibri" w:cstheme="minorHAnsi"/>
          <w:lang w:val="hr-HR"/>
        </w:rPr>
        <w:t>195,7</w:t>
      </w:r>
      <w:r w:rsidRPr="0031135C">
        <w:rPr>
          <w:rFonts w:eastAsia="Calibri" w:cstheme="minorHAnsi"/>
          <w:lang w:val="hr-HR"/>
        </w:rPr>
        <w:t xml:space="preserve"> milijuna eura</w:t>
      </w:r>
      <w:r>
        <w:rPr>
          <w:rFonts w:eastAsia="Calibri" w:cstheme="minorHAnsi"/>
          <w:lang w:val="hr-HR"/>
        </w:rPr>
        <w:t xml:space="preserve"> </w:t>
      </w:r>
      <w:r w:rsidRPr="0031135C">
        <w:rPr>
          <w:rFonts w:eastAsia="Calibri" w:cstheme="minorHAnsi"/>
          <w:lang w:val="hr-HR"/>
        </w:rPr>
        <w:t xml:space="preserve">u odnosu na </w:t>
      </w:r>
      <w:r>
        <w:rPr>
          <w:rFonts w:eastAsia="Calibri" w:cstheme="minorHAnsi"/>
          <w:lang w:val="hr-HR"/>
        </w:rPr>
        <w:t xml:space="preserve">dosad </w:t>
      </w:r>
      <w:r w:rsidRPr="0031135C">
        <w:rPr>
          <w:rFonts w:eastAsia="Calibri" w:cstheme="minorHAnsi"/>
          <w:lang w:val="hr-HR"/>
        </w:rPr>
        <w:t>plan</w:t>
      </w:r>
      <w:r>
        <w:rPr>
          <w:rFonts w:eastAsia="Calibri" w:cstheme="minorHAnsi"/>
          <w:lang w:val="hr-HR"/>
        </w:rPr>
        <w:t>irane te</w:t>
      </w:r>
      <w:r w:rsidRPr="0031135C">
        <w:rPr>
          <w:rFonts w:eastAsia="Calibri" w:cstheme="minorHAnsi"/>
          <w:lang w:val="hr-HR"/>
        </w:rPr>
        <w:t xml:space="preserve"> iznose </w:t>
      </w:r>
      <w:r>
        <w:rPr>
          <w:rFonts w:eastAsia="Calibri" w:cstheme="minorHAnsi"/>
          <w:lang w:val="hr-HR"/>
        </w:rPr>
        <w:t>2,4</w:t>
      </w:r>
      <w:r w:rsidRPr="0031135C">
        <w:rPr>
          <w:rFonts w:eastAsia="Calibri" w:cstheme="minorHAnsi"/>
          <w:lang w:val="hr-HR"/>
        </w:rPr>
        <w:t xml:space="preserve"> milijarde eura. Izmjena projekcije ovih prihoda rezultat je </w:t>
      </w:r>
      <w:r>
        <w:rPr>
          <w:rFonts w:eastAsia="Calibri" w:cstheme="minorHAnsi"/>
          <w:lang w:val="hr-HR"/>
        </w:rPr>
        <w:t xml:space="preserve">ostvarenja u prvih osam mjeseci te </w:t>
      </w:r>
      <w:r w:rsidRPr="0031135C">
        <w:rPr>
          <w:rFonts w:eastAsia="Calibri" w:cstheme="minorHAnsi"/>
          <w:lang w:val="hr-HR"/>
        </w:rPr>
        <w:t>očekivanog kretanja potrošnje pojedinih trošarinskih proizvoda</w:t>
      </w:r>
      <w:r>
        <w:rPr>
          <w:rFonts w:eastAsia="Calibri" w:cstheme="minorHAnsi"/>
          <w:lang w:val="hr-HR"/>
        </w:rPr>
        <w:t xml:space="preserve"> do kraja godine</w:t>
      </w:r>
      <w:r w:rsidRPr="0031135C">
        <w:rPr>
          <w:rFonts w:eastAsia="Calibri" w:cstheme="minorHAnsi"/>
          <w:lang w:val="hr-HR"/>
        </w:rPr>
        <w:t xml:space="preserve">, uzimajući u obzir i očekivane učinke izmjena propisa u trošarinskom sustavu, odnosno u oporezivanju energenata i električne energije. </w:t>
      </w:r>
    </w:p>
    <w:p w:rsidR="007C299C" w:rsidRPr="002821C1" w:rsidRDefault="007C299C" w:rsidP="007C299C">
      <w:pPr>
        <w:jc w:val="both"/>
        <w:rPr>
          <w:rFonts w:ascii="Calibri" w:eastAsia="Calibri" w:hAnsi="Calibri" w:cs="Times New Roman"/>
          <w:b/>
          <w:i/>
          <w:lang w:val="hr-HR"/>
        </w:rPr>
      </w:pPr>
      <w:r w:rsidRPr="002821C1">
        <w:rPr>
          <w:rFonts w:ascii="Calibri" w:eastAsia="Calibri" w:hAnsi="Calibri" w:cs="Times New Roman"/>
          <w:b/>
          <w:i/>
          <w:lang w:val="hr-HR"/>
        </w:rPr>
        <w:t>Ostali porezi na robu i usluge</w:t>
      </w:r>
    </w:p>
    <w:p w:rsidR="007C299C" w:rsidRPr="00CA437A" w:rsidRDefault="007C299C" w:rsidP="007C299C">
      <w:pPr>
        <w:jc w:val="both"/>
        <w:rPr>
          <w:rFonts w:eastAsia="Calibri" w:cstheme="minorHAnsi"/>
          <w:lang w:val="hr-HR"/>
        </w:rPr>
      </w:pPr>
      <w:r w:rsidRPr="00CA437A">
        <w:rPr>
          <w:rFonts w:eastAsia="Calibri" w:cstheme="minorHAnsi"/>
          <w:lang w:val="hr-HR"/>
        </w:rPr>
        <w:t xml:space="preserve">Ova kategorija poreznih prihoda, planirana u iznosu od </w:t>
      </w:r>
      <w:r>
        <w:rPr>
          <w:rFonts w:eastAsia="Calibri" w:cstheme="minorHAnsi"/>
          <w:lang w:val="hr-HR"/>
        </w:rPr>
        <w:t>78,1</w:t>
      </w:r>
      <w:r w:rsidRPr="00CA437A">
        <w:rPr>
          <w:rFonts w:eastAsia="Calibri" w:cstheme="minorHAnsi"/>
          <w:lang w:val="hr-HR"/>
        </w:rPr>
        <w:t xml:space="preserve"> milijun eura, uključuje prihode od poreza na osiguranje od automobilske odgovornosti i kasko osiguranja i veća je za </w:t>
      </w:r>
      <w:r>
        <w:rPr>
          <w:rFonts w:eastAsia="Calibri" w:cstheme="minorHAnsi"/>
          <w:lang w:val="hr-HR"/>
        </w:rPr>
        <w:t>4,5</w:t>
      </w:r>
      <w:r w:rsidRPr="00CA437A">
        <w:rPr>
          <w:rFonts w:eastAsia="Calibri" w:cstheme="minorHAnsi"/>
          <w:lang w:val="hr-HR"/>
        </w:rPr>
        <w:t xml:space="preserve"> milijuna eura u odnosu na </w:t>
      </w:r>
      <w:r>
        <w:rPr>
          <w:rFonts w:eastAsia="Calibri" w:cstheme="minorHAnsi"/>
          <w:lang w:val="hr-HR"/>
        </w:rPr>
        <w:t>dosad planirane</w:t>
      </w:r>
      <w:r w:rsidRPr="00CA437A">
        <w:rPr>
          <w:rFonts w:eastAsia="Calibri" w:cstheme="minorHAnsi"/>
          <w:lang w:val="hr-HR"/>
        </w:rPr>
        <w:t xml:space="preserve">. </w:t>
      </w:r>
    </w:p>
    <w:p w:rsidR="007C299C" w:rsidRPr="002821C1" w:rsidRDefault="007C299C" w:rsidP="007C299C">
      <w:pPr>
        <w:jc w:val="both"/>
        <w:rPr>
          <w:rFonts w:ascii="Calibri" w:eastAsia="Calibri" w:hAnsi="Calibri" w:cs="Times New Roman"/>
          <w:b/>
          <w:i/>
          <w:lang w:val="hr-HR"/>
        </w:rPr>
      </w:pPr>
      <w:r w:rsidRPr="002821C1">
        <w:rPr>
          <w:rFonts w:ascii="Calibri" w:eastAsia="Calibri" w:hAnsi="Calibri" w:cs="Times New Roman"/>
          <w:b/>
          <w:i/>
          <w:lang w:val="hr-HR"/>
        </w:rPr>
        <w:t>Porez na dobitke od igara na sreću i ostali porezi od igara na sreću</w:t>
      </w:r>
    </w:p>
    <w:p w:rsidR="007C299C" w:rsidRPr="00CA437A" w:rsidRDefault="007C299C" w:rsidP="007C299C">
      <w:pPr>
        <w:jc w:val="both"/>
        <w:rPr>
          <w:rFonts w:eastAsia="Calibri" w:cstheme="minorHAnsi"/>
          <w:lang w:val="hr-HR"/>
        </w:rPr>
      </w:pPr>
      <w:r w:rsidRPr="00CA437A">
        <w:rPr>
          <w:rFonts w:eastAsia="Calibri" w:cstheme="minorHAnsi"/>
          <w:lang w:val="hr-HR"/>
        </w:rPr>
        <w:t xml:space="preserve">Planirani prihod po osnovi poreza na dobitke od igara na sreću i ostalih poreza od igara na sreću novim planom </w:t>
      </w:r>
      <w:r w:rsidRPr="00F63947">
        <w:rPr>
          <w:rFonts w:eastAsia="Calibri" w:cstheme="minorHAnsi"/>
          <w:lang w:val="hr-HR"/>
        </w:rPr>
        <w:t>proračuna za 2023. godinu iznosi 67,1 milijun eura i raste za 7,1 milijun eura u odnosu na prethodni plan. Plan prihoda od naknada za priređivanje igara na sreću povećava se za 18,9 milijuna eura te iznosi 214,7 milijuna eura.</w:t>
      </w:r>
      <w:r w:rsidRPr="00CA437A">
        <w:rPr>
          <w:rFonts w:eastAsia="Calibri" w:cstheme="minorHAnsi"/>
          <w:lang w:val="hr-HR"/>
        </w:rPr>
        <w:t xml:space="preserve"> </w:t>
      </w:r>
    </w:p>
    <w:p w:rsidR="007C299C" w:rsidRPr="002821C1" w:rsidRDefault="007C299C" w:rsidP="007C299C">
      <w:pPr>
        <w:jc w:val="both"/>
        <w:rPr>
          <w:rFonts w:ascii="Calibri" w:eastAsia="Calibri" w:hAnsi="Calibri" w:cs="Times New Roman"/>
          <w:b/>
          <w:i/>
          <w:lang w:val="hr-HR"/>
        </w:rPr>
      </w:pPr>
      <w:r w:rsidRPr="002821C1">
        <w:rPr>
          <w:rFonts w:ascii="Calibri" w:eastAsia="Calibri" w:hAnsi="Calibri" w:cs="Times New Roman"/>
          <w:b/>
          <w:i/>
          <w:lang w:val="hr-HR"/>
        </w:rPr>
        <w:t>Porezi na međunarodnu trgovinu i transakcije</w:t>
      </w:r>
    </w:p>
    <w:p w:rsidR="007C299C" w:rsidRPr="00CA437A" w:rsidRDefault="007C299C" w:rsidP="007C299C">
      <w:pPr>
        <w:jc w:val="both"/>
        <w:rPr>
          <w:rFonts w:eastAsia="Calibri" w:cstheme="minorHAnsi"/>
          <w:lang w:val="hr-HR"/>
        </w:rPr>
      </w:pPr>
      <w:r w:rsidRPr="00CA437A">
        <w:rPr>
          <w:rFonts w:eastAsia="Calibri" w:cstheme="minorHAnsi"/>
          <w:lang w:val="hr-HR"/>
        </w:rPr>
        <w:t xml:space="preserve">Prihod od poreza na međunarodnu trgovinu i transakcije planiran je u 2023. godini u iznosu od </w:t>
      </w:r>
      <w:r>
        <w:rPr>
          <w:rFonts w:eastAsia="Calibri" w:cstheme="minorHAnsi"/>
          <w:lang w:val="hr-HR"/>
        </w:rPr>
        <w:t xml:space="preserve">81,3 </w:t>
      </w:r>
      <w:r w:rsidRPr="00CA437A">
        <w:rPr>
          <w:rFonts w:eastAsia="Calibri" w:cstheme="minorHAnsi"/>
          <w:lang w:val="hr-HR"/>
        </w:rPr>
        <w:t>milijun</w:t>
      </w:r>
      <w:r>
        <w:rPr>
          <w:rFonts w:eastAsia="Calibri" w:cstheme="minorHAnsi"/>
          <w:lang w:val="hr-HR"/>
        </w:rPr>
        <w:t>a</w:t>
      </w:r>
      <w:r w:rsidRPr="00CA437A">
        <w:rPr>
          <w:rFonts w:eastAsia="Calibri" w:cstheme="minorHAnsi"/>
          <w:lang w:val="hr-HR"/>
        </w:rPr>
        <w:t xml:space="preserve"> eura, čime se </w:t>
      </w:r>
      <w:r>
        <w:rPr>
          <w:rFonts w:eastAsia="Calibri" w:cstheme="minorHAnsi"/>
          <w:lang w:val="hr-HR"/>
        </w:rPr>
        <w:t>povećavaju</w:t>
      </w:r>
      <w:r w:rsidRPr="00CA437A">
        <w:rPr>
          <w:rFonts w:eastAsia="Calibri" w:cstheme="minorHAnsi"/>
          <w:lang w:val="hr-HR"/>
        </w:rPr>
        <w:t xml:space="preserve"> za </w:t>
      </w:r>
      <w:r>
        <w:rPr>
          <w:rFonts w:eastAsia="Calibri" w:cstheme="minorHAnsi"/>
          <w:lang w:val="hr-HR"/>
        </w:rPr>
        <w:t>303,4</w:t>
      </w:r>
      <w:r w:rsidRPr="00CA437A">
        <w:rPr>
          <w:rFonts w:eastAsia="Calibri" w:cstheme="minorHAnsi"/>
          <w:lang w:val="hr-HR"/>
        </w:rPr>
        <w:t xml:space="preserve"> </w:t>
      </w:r>
      <w:r>
        <w:rPr>
          <w:rFonts w:eastAsia="Calibri" w:cstheme="minorHAnsi"/>
          <w:lang w:val="hr-HR"/>
        </w:rPr>
        <w:t>tisuć</w:t>
      </w:r>
      <w:r w:rsidR="004619A3">
        <w:rPr>
          <w:rFonts w:eastAsia="Calibri" w:cstheme="minorHAnsi"/>
          <w:lang w:val="hr-HR"/>
        </w:rPr>
        <w:t>e</w:t>
      </w:r>
      <w:r w:rsidRPr="00CA437A">
        <w:rPr>
          <w:rFonts w:eastAsia="Calibri" w:cstheme="minorHAnsi"/>
          <w:lang w:val="hr-HR"/>
        </w:rPr>
        <w:t xml:space="preserve"> eura u odnosu na prethodni plan. </w:t>
      </w:r>
    </w:p>
    <w:p w:rsidR="007C299C" w:rsidRPr="002821C1" w:rsidRDefault="007C299C" w:rsidP="007C299C">
      <w:pPr>
        <w:jc w:val="both"/>
        <w:rPr>
          <w:rFonts w:ascii="Calibri" w:eastAsia="Calibri" w:hAnsi="Calibri" w:cs="Times New Roman"/>
          <w:b/>
          <w:i/>
          <w:lang w:val="hr-HR"/>
        </w:rPr>
      </w:pPr>
      <w:r w:rsidRPr="002821C1">
        <w:rPr>
          <w:rFonts w:ascii="Calibri" w:eastAsia="Calibri" w:hAnsi="Calibri" w:cs="Times New Roman"/>
          <w:b/>
          <w:i/>
          <w:lang w:val="hr-HR"/>
        </w:rPr>
        <w:t>Doprinosi</w:t>
      </w:r>
    </w:p>
    <w:p w:rsidR="007C299C" w:rsidRPr="00CA437A" w:rsidRDefault="007C299C" w:rsidP="007C299C">
      <w:pPr>
        <w:jc w:val="both"/>
        <w:rPr>
          <w:rFonts w:eastAsia="Calibri" w:cstheme="minorHAnsi"/>
          <w:lang w:val="hr-HR"/>
        </w:rPr>
      </w:pPr>
      <w:r>
        <w:rPr>
          <w:rFonts w:eastAsia="Calibri" w:cstheme="minorHAnsi"/>
          <w:lang w:val="hr-HR"/>
        </w:rPr>
        <w:t xml:space="preserve">Drugim </w:t>
      </w:r>
      <w:r w:rsidRPr="00CA437A">
        <w:rPr>
          <w:rFonts w:eastAsia="Calibri" w:cstheme="minorHAnsi"/>
          <w:lang w:val="hr-HR"/>
        </w:rPr>
        <w:t xml:space="preserve">Izmjenama i dopunama Državnog proračuna Republike Hrvatske za 2023. godinu prihodi od </w:t>
      </w:r>
      <w:r w:rsidRPr="007E6B9B">
        <w:rPr>
          <w:rFonts w:eastAsia="Calibri" w:cstheme="minorHAnsi"/>
          <w:lang w:val="hr-HR"/>
        </w:rPr>
        <w:t xml:space="preserve">doprinosa </w:t>
      </w:r>
      <w:r>
        <w:rPr>
          <w:rFonts w:eastAsia="Calibri" w:cstheme="minorHAnsi"/>
          <w:lang w:val="hr-HR"/>
        </w:rPr>
        <w:t>povećavaju se za 17,9 milijuna eura u odnosu na prethodni plan te iznose 4,3 milijarde eura</w:t>
      </w:r>
      <w:r w:rsidRPr="007E6B9B">
        <w:rPr>
          <w:rFonts w:eastAsia="Calibri" w:cstheme="minorHAnsi"/>
          <w:lang w:val="hr-HR"/>
        </w:rPr>
        <w:t>.</w:t>
      </w:r>
      <w:r w:rsidRPr="00CA437A">
        <w:rPr>
          <w:rFonts w:eastAsia="Calibri" w:cstheme="minorHAnsi"/>
          <w:lang w:val="hr-HR"/>
        </w:rPr>
        <w:t xml:space="preserve"> </w:t>
      </w:r>
      <w:r>
        <w:rPr>
          <w:rFonts w:eastAsia="Calibri" w:cstheme="minorHAnsi"/>
          <w:lang w:val="hr-HR"/>
        </w:rPr>
        <w:t>Plan prihoda od doprinosa</w:t>
      </w:r>
      <w:r w:rsidRPr="00CA437A">
        <w:rPr>
          <w:rFonts w:eastAsia="Calibri" w:cstheme="minorHAnsi"/>
          <w:lang w:val="hr-HR"/>
        </w:rPr>
        <w:t xml:space="preserve"> rezultat je kretanja na tržištu rada, odnosno očekivanog rasta plaća i zaposlenosti</w:t>
      </w:r>
      <w:r w:rsidR="004619A3">
        <w:rPr>
          <w:rFonts w:eastAsia="Calibri" w:cstheme="minorHAnsi"/>
          <w:lang w:val="hr-HR"/>
        </w:rPr>
        <w:t xml:space="preserve"> u ovoj godini</w:t>
      </w:r>
      <w:r w:rsidRPr="00CA437A">
        <w:rPr>
          <w:rFonts w:eastAsia="Calibri" w:cstheme="minorHAnsi"/>
          <w:lang w:val="hr-HR"/>
        </w:rPr>
        <w:t xml:space="preserve">. </w:t>
      </w:r>
    </w:p>
    <w:p w:rsidR="007C299C" w:rsidRPr="002821C1" w:rsidRDefault="007C299C" w:rsidP="007C299C">
      <w:pPr>
        <w:jc w:val="both"/>
        <w:rPr>
          <w:rFonts w:ascii="Calibri" w:eastAsia="Calibri" w:hAnsi="Calibri" w:cs="Times New Roman"/>
          <w:b/>
          <w:i/>
          <w:lang w:val="hr-HR"/>
        </w:rPr>
      </w:pPr>
      <w:r w:rsidRPr="002821C1">
        <w:rPr>
          <w:rFonts w:ascii="Calibri" w:eastAsia="Calibri" w:hAnsi="Calibri" w:cs="Times New Roman"/>
          <w:b/>
          <w:i/>
          <w:lang w:val="hr-HR"/>
        </w:rPr>
        <w:t>Pomoći</w:t>
      </w:r>
    </w:p>
    <w:p w:rsidR="007C299C" w:rsidRPr="00CA437A" w:rsidRDefault="007C299C" w:rsidP="007C299C">
      <w:pPr>
        <w:jc w:val="both"/>
        <w:rPr>
          <w:rFonts w:eastAsia="Calibri" w:cstheme="minorHAnsi"/>
          <w:lang w:val="hr-HR"/>
        </w:rPr>
      </w:pPr>
      <w:r w:rsidRPr="00CA437A">
        <w:rPr>
          <w:rFonts w:eastAsia="Calibri" w:cstheme="minorHAnsi"/>
          <w:lang w:val="hr-HR"/>
        </w:rPr>
        <w:t>Prihodi od pomoći prema novom planu za 2023</w:t>
      </w:r>
      <w:r w:rsidRPr="007E6B9B">
        <w:rPr>
          <w:rFonts w:eastAsia="Calibri" w:cstheme="minorHAnsi"/>
          <w:lang w:val="hr-HR"/>
        </w:rPr>
        <w:t>. planirani su u iznosu od 4,6 milijardi eura i u odnosu na prethodni plan smanjuju se za 353,2 milijuna eura.</w:t>
      </w:r>
      <w:r w:rsidRPr="00CA437A">
        <w:rPr>
          <w:rFonts w:eastAsia="Calibri" w:cstheme="minorHAnsi"/>
          <w:lang w:val="hr-HR"/>
        </w:rPr>
        <w:t xml:space="preserve"> Ovi prihodi izravno su vezani uz projekte financirane iz EU fondova, kao i uz sredstva iz Fonda solidarnosti EU te iz novog instrumenta EU nove generacije odnosno Mehanizma za oporavak i otpornost.</w:t>
      </w:r>
    </w:p>
    <w:p w:rsidR="007C299C" w:rsidRPr="002821C1" w:rsidRDefault="007C299C" w:rsidP="007C299C">
      <w:pPr>
        <w:jc w:val="both"/>
        <w:rPr>
          <w:rFonts w:ascii="Calibri" w:eastAsia="Calibri" w:hAnsi="Calibri" w:cs="Times New Roman"/>
          <w:b/>
          <w:i/>
          <w:lang w:val="hr-HR"/>
        </w:rPr>
      </w:pPr>
      <w:r w:rsidRPr="002821C1">
        <w:rPr>
          <w:rFonts w:ascii="Calibri" w:eastAsia="Calibri" w:hAnsi="Calibri" w:cs="Times New Roman"/>
          <w:b/>
          <w:i/>
          <w:lang w:val="hr-HR"/>
        </w:rPr>
        <w:t>Prihodi od imovine</w:t>
      </w:r>
    </w:p>
    <w:p w:rsidR="007C299C" w:rsidRPr="00CA437A" w:rsidRDefault="007C299C" w:rsidP="007C299C">
      <w:pPr>
        <w:jc w:val="both"/>
        <w:rPr>
          <w:rFonts w:eastAsia="Calibri" w:cstheme="minorHAnsi"/>
          <w:lang w:val="hr-HR"/>
        </w:rPr>
      </w:pPr>
      <w:r w:rsidRPr="00CA437A">
        <w:rPr>
          <w:rFonts w:eastAsia="Calibri" w:cstheme="minorHAnsi"/>
          <w:lang w:val="hr-HR"/>
        </w:rPr>
        <w:t xml:space="preserve">Prihodi od imovine </w:t>
      </w:r>
      <w:r w:rsidR="004619A3">
        <w:rPr>
          <w:rFonts w:eastAsia="Calibri" w:cstheme="minorHAnsi"/>
          <w:lang w:val="hr-HR"/>
        </w:rPr>
        <w:t xml:space="preserve">najvećim dijelom odnose se na prihode od kamata na oročena sredstva i depozite po viđenju, prihode od zateznih kamata, prihode od dividendi i dobiti </w:t>
      </w:r>
      <w:r w:rsidR="004619A3" w:rsidRPr="00CA437A">
        <w:rPr>
          <w:rFonts w:eastAsia="Calibri" w:cstheme="minorHAnsi"/>
          <w:lang w:val="hr-HR"/>
        </w:rPr>
        <w:t>trgovačkih društava, kreditnih i ostalih financijskih organizacija</w:t>
      </w:r>
      <w:r w:rsidR="004619A3">
        <w:rPr>
          <w:rFonts w:eastAsia="Calibri" w:cstheme="minorHAnsi"/>
          <w:lang w:val="hr-HR"/>
        </w:rPr>
        <w:t xml:space="preserve">, koncesije, prihode od zakupa i iznajmljivanja imovine, naknade za korištenje nefinancijske imovine te na prihode od kamata za dane zajmove. </w:t>
      </w:r>
      <w:r w:rsidRPr="00CA437A">
        <w:rPr>
          <w:rFonts w:eastAsia="Calibri" w:cstheme="minorHAnsi"/>
          <w:lang w:val="hr-HR"/>
        </w:rPr>
        <w:t xml:space="preserve">Ovi prihodi dijelom se prikupljaju na redovnoj bazi, a dijelom kao jednokratni prihodi. </w:t>
      </w:r>
      <w:r w:rsidR="004619A3">
        <w:rPr>
          <w:rFonts w:eastAsia="Calibri" w:cstheme="minorHAnsi"/>
          <w:lang w:val="hr-HR"/>
        </w:rPr>
        <w:t xml:space="preserve">Tako su u travnju ove godine </w:t>
      </w:r>
      <w:r w:rsidR="00C46632">
        <w:rPr>
          <w:rFonts w:eastAsia="Calibri" w:cstheme="minorHAnsi"/>
          <w:lang w:val="hr-HR"/>
        </w:rPr>
        <w:t xml:space="preserve">teleoperateri uplatili jednokratnu naknadu na ime prava uporabe radiofrekvencijskog spektra za mreže </w:t>
      </w:r>
      <w:r w:rsidR="00C46632">
        <w:rPr>
          <w:rFonts w:eastAsia="Calibri" w:cstheme="minorHAnsi"/>
          <w:lang w:val="hr-HR"/>
        </w:rPr>
        <w:lastRenderedPageBreak/>
        <w:t>pokretnih komunikacija. N</w:t>
      </w:r>
      <w:r w:rsidRPr="00CA437A">
        <w:rPr>
          <w:rFonts w:eastAsia="Calibri" w:cstheme="minorHAnsi"/>
          <w:lang w:val="hr-HR"/>
        </w:rPr>
        <w:t xml:space="preserve">ovim planom proračuna za 2023. godinu </w:t>
      </w:r>
      <w:r w:rsidR="00C46632">
        <w:rPr>
          <w:rFonts w:eastAsia="Calibri" w:cstheme="minorHAnsi"/>
          <w:lang w:val="hr-HR"/>
        </w:rPr>
        <w:t>p</w:t>
      </w:r>
      <w:r w:rsidR="00C46632" w:rsidRPr="00CA437A">
        <w:rPr>
          <w:rFonts w:eastAsia="Calibri" w:cstheme="minorHAnsi"/>
          <w:lang w:val="hr-HR"/>
        </w:rPr>
        <w:t xml:space="preserve">rihodi od imovine </w:t>
      </w:r>
      <w:r w:rsidRPr="00CA437A">
        <w:rPr>
          <w:rFonts w:eastAsia="Calibri" w:cstheme="minorHAnsi"/>
          <w:lang w:val="hr-HR"/>
        </w:rPr>
        <w:t xml:space="preserve">iznose </w:t>
      </w:r>
      <w:r>
        <w:rPr>
          <w:rFonts w:eastAsia="Calibri" w:cstheme="minorHAnsi"/>
          <w:lang w:val="hr-HR"/>
        </w:rPr>
        <w:t>655,8</w:t>
      </w:r>
      <w:r w:rsidRPr="00CA437A">
        <w:rPr>
          <w:rFonts w:eastAsia="Calibri" w:cstheme="minorHAnsi"/>
          <w:lang w:val="hr-HR"/>
        </w:rPr>
        <w:t xml:space="preserve"> milijuna eura, što je povećanje od </w:t>
      </w:r>
      <w:r>
        <w:rPr>
          <w:rFonts w:eastAsia="Calibri" w:cstheme="minorHAnsi"/>
          <w:lang w:val="hr-HR"/>
        </w:rPr>
        <w:t>26,7 milijuna</w:t>
      </w:r>
      <w:r w:rsidRPr="00CA437A">
        <w:rPr>
          <w:rFonts w:eastAsia="Calibri" w:cstheme="minorHAnsi"/>
          <w:lang w:val="hr-HR"/>
        </w:rPr>
        <w:t xml:space="preserve"> eura u odnosu na </w:t>
      </w:r>
      <w:r>
        <w:rPr>
          <w:rFonts w:eastAsia="Calibri" w:cstheme="minorHAnsi"/>
          <w:lang w:val="hr-HR"/>
        </w:rPr>
        <w:t>prethodni</w:t>
      </w:r>
      <w:r w:rsidRPr="00CA437A">
        <w:rPr>
          <w:rFonts w:eastAsia="Calibri" w:cstheme="minorHAnsi"/>
          <w:lang w:val="hr-HR"/>
        </w:rPr>
        <w:t xml:space="preserve"> plan. </w:t>
      </w:r>
    </w:p>
    <w:p w:rsidR="007C299C" w:rsidRPr="002821C1" w:rsidRDefault="007C299C" w:rsidP="007C299C">
      <w:pPr>
        <w:jc w:val="both"/>
        <w:rPr>
          <w:rFonts w:ascii="Calibri" w:eastAsia="Calibri" w:hAnsi="Calibri" w:cs="Times New Roman"/>
          <w:b/>
          <w:i/>
          <w:lang w:val="hr-HR"/>
        </w:rPr>
      </w:pPr>
      <w:r w:rsidRPr="002821C1">
        <w:rPr>
          <w:rFonts w:ascii="Calibri" w:eastAsia="Calibri" w:hAnsi="Calibri" w:cs="Times New Roman"/>
          <w:b/>
          <w:i/>
          <w:lang w:val="hr-HR"/>
        </w:rPr>
        <w:t>Prihodi od upravnih i administrativnih pristojbi, pristojbi po posebnim propisima i naknada</w:t>
      </w:r>
    </w:p>
    <w:p w:rsidR="007C299C" w:rsidRPr="00CA437A" w:rsidRDefault="007C299C" w:rsidP="007C299C">
      <w:pPr>
        <w:jc w:val="both"/>
        <w:rPr>
          <w:rFonts w:eastAsia="Calibri" w:cstheme="minorHAnsi"/>
          <w:lang w:val="hr-HR"/>
        </w:rPr>
      </w:pPr>
      <w:r w:rsidRPr="00CA437A">
        <w:rPr>
          <w:rFonts w:eastAsia="Calibri" w:cstheme="minorHAnsi"/>
          <w:lang w:val="hr-HR"/>
        </w:rPr>
        <w:t xml:space="preserve">Prihodi od upravnih i administrativnih pristojbi, pristojbi po posebnim propisima i naknada novim planom za 2023. godinu planirani su u iznosu od </w:t>
      </w:r>
      <w:r>
        <w:rPr>
          <w:rFonts w:eastAsia="Calibri" w:cstheme="minorHAnsi"/>
          <w:lang w:val="hr-HR"/>
        </w:rPr>
        <w:t>692,3</w:t>
      </w:r>
      <w:r w:rsidRPr="00CA437A">
        <w:rPr>
          <w:rFonts w:eastAsia="Calibri" w:cstheme="minorHAnsi"/>
          <w:lang w:val="hr-HR"/>
        </w:rPr>
        <w:t xml:space="preserve"> milijuna eura, a u odnosu na </w:t>
      </w:r>
      <w:r>
        <w:rPr>
          <w:rFonts w:eastAsia="Calibri" w:cstheme="minorHAnsi"/>
          <w:lang w:val="hr-HR"/>
        </w:rPr>
        <w:t>prethodno</w:t>
      </w:r>
      <w:r w:rsidRPr="00CA437A">
        <w:rPr>
          <w:rFonts w:eastAsia="Calibri" w:cstheme="minorHAnsi"/>
          <w:lang w:val="hr-HR"/>
        </w:rPr>
        <w:t xml:space="preserve"> planirane </w:t>
      </w:r>
      <w:r w:rsidRPr="008915A3">
        <w:rPr>
          <w:rFonts w:eastAsia="Calibri" w:cstheme="minorHAnsi"/>
          <w:lang w:val="hr-HR"/>
        </w:rPr>
        <w:t>prihode povećavaju se za 47,8 milijuna eura. Pritom</w:t>
      </w:r>
      <w:r w:rsidRPr="00CA437A">
        <w:rPr>
          <w:rFonts w:eastAsia="Calibri" w:cstheme="minorHAnsi"/>
          <w:lang w:val="hr-HR"/>
        </w:rPr>
        <w:t xml:space="preserve"> prihodi od upravnih i administrativnih pristojbi </w:t>
      </w:r>
      <w:r w:rsidRPr="008915A3">
        <w:rPr>
          <w:rFonts w:eastAsia="Calibri" w:cstheme="minorHAnsi"/>
          <w:lang w:val="hr-HR"/>
        </w:rPr>
        <w:t>iznose 136,</w:t>
      </w:r>
      <w:r>
        <w:rPr>
          <w:rFonts w:eastAsia="Calibri" w:cstheme="minorHAnsi"/>
          <w:lang w:val="hr-HR"/>
        </w:rPr>
        <w:t>9</w:t>
      </w:r>
      <w:r w:rsidRPr="008915A3">
        <w:rPr>
          <w:rFonts w:eastAsia="Calibri" w:cstheme="minorHAnsi"/>
          <w:lang w:val="hr-HR"/>
        </w:rPr>
        <w:t xml:space="preserve"> </w:t>
      </w:r>
      <w:r w:rsidRPr="00CA437A">
        <w:rPr>
          <w:rFonts w:eastAsia="Calibri" w:cstheme="minorHAnsi"/>
          <w:lang w:val="hr-HR"/>
        </w:rPr>
        <w:t xml:space="preserve">milijuna eura, a prihodi po posebnim propisima </w:t>
      </w:r>
      <w:r>
        <w:rPr>
          <w:rFonts w:eastAsia="Calibri" w:cstheme="minorHAnsi"/>
          <w:lang w:val="hr-HR"/>
        </w:rPr>
        <w:t xml:space="preserve">555,5 </w:t>
      </w:r>
      <w:r w:rsidRPr="00CA437A">
        <w:rPr>
          <w:rFonts w:eastAsia="Calibri" w:cstheme="minorHAnsi"/>
          <w:lang w:val="hr-HR"/>
        </w:rPr>
        <w:t xml:space="preserve">milijuna eura. </w:t>
      </w:r>
    </w:p>
    <w:p w:rsidR="007C299C" w:rsidRPr="002821C1" w:rsidRDefault="007C299C" w:rsidP="007C299C">
      <w:pPr>
        <w:jc w:val="both"/>
        <w:rPr>
          <w:rFonts w:ascii="Calibri" w:eastAsia="Calibri" w:hAnsi="Calibri" w:cs="Times New Roman"/>
          <w:b/>
          <w:i/>
          <w:lang w:val="hr-HR"/>
        </w:rPr>
      </w:pPr>
      <w:r w:rsidRPr="002821C1">
        <w:rPr>
          <w:rFonts w:ascii="Calibri" w:eastAsia="Calibri" w:hAnsi="Calibri" w:cs="Times New Roman"/>
          <w:b/>
          <w:i/>
          <w:lang w:val="hr-HR"/>
        </w:rPr>
        <w:t>Prihodi od prodaje proizvoda i roba te pruženih usluga i prihodi od donacija</w:t>
      </w:r>
    </w:p>
    <w:p w:rsidR="007C299C" w:rsidRPr="00CA437A" w:rsidRDefault="007C299C" w:rsidP="007C299C">
      <w:pPr>
        <w:jc w:val="both"/>
        <w:rPr>
          <w:rFonts w:eastAsia="Calibri" w:cstheme="minorHAnsi"/>
          <w:lang w:val="hr-HR"/>
        </w:rPr>
      </w:pPr>
      <w:r w:rsidRPr="00CA437A">
        <w:rPr>
          <w:rFonts w:eastAsia="Calibri" w:cstheme="minorHAnsi"/>
          <w:lang w:val="hr-HR"/>
        </w:rPr>
        <w:t xml:space="preserve">Prihode od prodaje proizvoda i roba te pruženih usluga i prihode od donacija planiraju proračunski korisnici i to su njihovi namjenski prihodi. Ovi prihodi novim planom za 2023. godinu planirani su u </w:t>
      </w:r>
      <w:r w:rsidRPr="00745F18">
        <w:rPr>
          <w:rFonts w:eastAsia="Calibri" w:cstheme="minorHAnsi"/>
          <w:lang w:val="hr-HR"/>
        </w:rPr>
        <w:t>iznosu od 208,6 milijuna</w:t>
      </w:r>
      <w:r w:rsidRPr="00CA437A">
        <w:rPr>
          <w:rFonts w:eastAsia="Calibri" w:cstheme="minorHAnsi"/>
          <w:lang w:val="hr-HR"/>
        </w:rPr>
        <w:t xml:space="preserve"> </w:t>
      </w:r>
      <w:r w:rsidRPr="00745F18">
        <w:rPr>
          <w:rFonts w:eastAsia="Calibri" w:cstheme="minorHAnsi"/>
          <w:lang w:val="hr-HR"/>
        </w:rPr>
        <w:t>eura i povećavaju se za 16,3 milijuna</w:t>
      </w:r>
      <w:r w:rsidRPr="00CA437A">
        <w:rPr>
          <w:rFonts w:eastAsia="Calibri" w:cstheme="minorHAnsi"/>
          <w:lang w:val="hr-HR"/>
        </w:rPr>
        <w:t xml:space="preserve"> eura u odnosu na </w:t>
      </w:r>
      <w:r>
        <w:rPr>
          <w:rFonts w:eastAsia="Calibri" w:cstheme="minorHAnsi"/>
          <w:lang w:val="hr-HR"/>
        </w:rPr>
        <w:t xml:space="preserve">prethodno </w:t>
      </w:r>
      <w:r w:rsidRPr="00CA437A">
        <w:rPr>
          <w:rFonts w:eastAsia="Calibri" w:cstheme="minorHAnsi"/>
          <w:lang w:val="hr-HR"/>
        </w:rPr>
        <w:t>planiran</w:t>
      </w:r>
      <w:r>
        <w:rPr>
          <w:rFonts w:eastAsia="Calibri" w:cstheme="minorHAnsi"/>
          <w:lang w:val="hr-HR"/>
        </w:rPr>
        <w:t xml:space="preserve"> iznos. </w:t>
      </w:r>
    </w:p>
    <w:p w:rsidR="007C299C" w:rsidRPr="002821C1" w:rsidRDefault="007C299C" w:rsidP="007C299C">
      <w:pPr>
        <w:jc w:val="both"/>
        <w:rPr>
          <w:rFonts w:ascii="Calibri" w:eastAsia="Calibri" w:hAnsi="Calibri" w:cs="Times New Roman"/>
          <w:b/>
          <w:i/>
          <w:lang w:val="hr-HR"/>
        </w:rPr>
      </w:pPr>
      <w:r w:rsidRPr="002821C1">
        <w:rPr>
          <w:rFonts w:ascii="Calibri" w:eastAsia="Calibri" w:hAnsi="Calibri" w:cs="Times New Roman"/>
          <w:b/>
          <w:i/>
          <w:lang w:val="hr-HR"/>
        </w:rPr>
        <w:t>Prihodi iz nadležnog proračuna i od HZZO-a temeljem ugovornih obveza</w:t>
      </w:r>
    </w:p>
    <w:p w:rsidR="007C299C" w:rsidRPr="00CA437A" w:rsidRDefault="007C299C" w:rsidP="007C299C">
      <w:pPr>
        <w:jc w:val="both"/>
        <w:rPr>
          <w:rFonts w:eastAsia="Calibri" w:cstheme="minorHAnsi"/>
          <w:lang w:val="hr-HR"/>
        </w:rPr>
      </w:pPr>
      <w:r w:rsidRPr="00CA437A">
        <w:rPr>
          <w:rFonts w:eastAsia="Calibri" w:cstheme="minorHAnsi"/>
          <w:lang w:val="hr-HR"/>
        </w:rPr>
        <w:t xml:space="preserve">Novim planom za 2023. godinu očekuje se kako će prihodi iz nadležnog proračuna i od HZZO-a temeljem ugovornih obveza prema bolničkim </w:t>
      </w:r>
      <w:r w:rsidRPr="008545B8">
        <w:rPr>
          <w:rFonts w:eastAsia="Calibri" w:cstheme="minorHAnsi"/>
          <w:lang w:val="hr-HR"/>
        </w:rPr>
        <w:t>zdravstvenim ustanovama u državnom vlasništvu, iznositi 1,5 milijardi eura, a u odnosu na prethodno planirane povećavaju se za 116,1  milijuna eura.</w:t>
      </w:r>
      <w:r w:rsidRPr="00CA437A">
        <w:rPr>
          <w:rFonts w:eastAsia="Calibri" w:cstheme="minorHAnsi"/>
          <w:lang w:val="hr-HR"/>
        </w:rPr>
        <w:t xml:space="preserve"> </w:t>
      </w:r>
    </w:p>
    <w:p w:rsidR="007C299C" w:rsidRPr="002821C1" w:rsidRDefault="007C299C" w:rsidP="007C299C">
      <w:pPr>
        <w:jc w:val="both"/>
        <w:rPr>
          <w:rFonts w:ascii="Calibri" w:eastAsia="Calibri" w:hAnsi="Calibri" w:cs="Times New Roman"/>
          <w:b/>
          <w:i/>
          <w:lang w:val="hr-HR"/>
        </w:rPr>
      </w:pPr>
      <w:r w:rsidRPr="002821C1">
        <w:rPr>
          <w:rFonts w:ascii="Calibri" w:eastAsia="Calibri" w:hAnsi="Calibri" w:cs="Times New Roman"/>
          <w:b/>
          <w:i/>
          <w:lang w:val="hr-HR"/>
        </w:rPr>
        <w:t>Kazne, upravne mjere i ostali prihodi</w:t>
      </w:r>
    </w:p>
    <w:p w:rsidR="007C299C" w:rsidRDefault="007C299C" w:rsidP="007C299C">
      <w:pPr>
        <w:jc w:val="both"/>
        <w:rPr>
          <w:rFonts w:eastAsia="Calibri" w:cstheme="minorHAnsi"/>
          <w:lang w:val="hr-HR"/>
        </w:rPr>
      </w:pPr>
      <w:r w:rsidRPr="00CA437A">
        <w:rPr>
          <w:rFonts w:eastAsia="Calibri" w:cstheme="minorHAnsi"/>
          <w:lang w:val="hr-HR"/>
        </w:rPr>
        <w:t>Prihodi o</w:t>
      </w:r>
      <w:r w:rsidRPr="00AC4E64">
        <w:rPr>
          <w:rFonts w:eastAsia="Calibri" w:cstheme="minorHAnsi"/>
          <w:lang w:val="hr-HR"/>
        </w:rPr>
        <w:t>d kazni, upravnih mjera i ostalih prihoda novim planom za 2023. godinu iznose 117,7 milijuna eura i rastu za 6,5 milijuna eura</w:t>
      </w:r>
      <w:r w:rsidRPr="00CA437A">
        <w:rPr>
          <w:rFonts w:eastAsia="Calibri" w:cstheme="minorHAnsi"/>
          <w:lang w:val="hr-HR"/>
        </w:rPr>
        <w:t xml:space="preserve"> u odnosu na plan</w:t>
      </w:r>
      <w:r>
        <w:rPr>
          <w:rFonts w:eastAsia="Calibri" w:cstheme="minorHAnsi"/>
          <w:lang w:val="hr-HR"/>
        </w:rPr>
        <w:t xml:space="preserve"> iz svibnja</w:t>
      </w:r>
      <w:r w:rsidRPr="00CA437A">
        <w:rPr>
          <w:rFonts w:eastAsia="Calibri" w:cstheme="minorHAnsi"/>
          <w:lang w:val="hr-HR"/>
        </w:rPr>
        <w:t xml:space="preserve">. Ovi prihodi planirani su sukladno dinamici </w:t>
      </w:r>
      <w:r w:rsidR="00464930">
        <w:rPr>
          <w:rFonts w:eastAsia="Calibri" w:cstheme="minorHAnsi"/>
          <w:lang w:val="hr-HR"/>
        </w:rPr>
        <w:t xml:space="preserve">njihova </w:t>
      </w:r>
      <w:r w:rsidRPr="00CA437A">
        <w:rPr>
          <w:rFonts w:eastAsia="Calibri" w:cstheme="minorHAnsi"/>
          <w:lang w:val="hr-HR"/>
        </w:rPr>
        <w:t xml:space="preserve">ostvarenja u </w:t>
      </w:r>
      <w:r w:rsidR="00464930">
        <w:rPr>
          <w:rFonts w:eastAsia="Calibri" w:cstheme="minorHAnsi"/>
          <w:lang w:val="hr-HR"/>
        </w:rPr>
        <w:t>prvih devet mjeseci</w:t>
      </w:r>
      <w:r w:rsidRPr="00CA437A">
        <w:rPr>
          <w:rFonts w:eastAsia="Calibri" w:cstheme="minorHAnsi"/>
          <w:lang w:val="hr-HR"/>
        </w:rPr>
        <w:t xml:space="preserve"> te očekivanim kretanjima do kraja godine. </w:t>
      </w:r>
    </w:p>
    <w:p w:rsidR="002029CF" w:rsidRPr="00CA437A" w:rsidRDefault="002029CF" w:rsidP="007C299C">
      <w:pPr>
        <w:jc w:val="both"/>
        <w:rPr>
          <w:rFonts w:eastAsia="Calibri" w:cstheme="minorHAnsi"/>
          <w:lang w:val="hr-HR"/>
        </w:rPr>
      </w:pPr>
    </w:p>
    <w:p w:rsidR="007C299C" w:rsidRPr="002821C1" w:rsidRDefault="007C299C" w:rsidP="007C299C">
      <w:pPr>
        <w:jc w:val="both"/>
        <w:rPr>
          <w:rFonts w:ascii="Calibri" w:eastAsia="Calibri" w:hAnsi="Calibri" w:cs="Times New Roman"/>
          <w:b/>
          <w:lang w:val="hr-HR"/>
        </w:rPr>
      </w:pPr>
      <w:r w:rsidRPr="002821C1">
        <w:rPr>
          <w:rFonts w:ascii="Calibri" w:eastAsia="Calibri" w:hAnsi="Calibri" w:cs="Times New Roman"/>
          <w:b/>
          <w:lang w:val="hr-HR"/>
        </w:rPr>
        <w:t>Prihodi od prodaje nefinancijske imovine</w:t>
      </w:r>
    </w:p>
    <w:p w:rsidR="007C299C" w:rsidRPr="00CA437A" w:rsidRDefault="007C299C" w:rsidP="007C299C">
      <w:pPr>
        <w:jc w:val="both"/>
        <w:rPr>
          <w:lang w:val="hr-HR"/>
        </w:rPr>
      </w:pPr>
      <w:r w:rsidRPr="00CA437A">
        <w:rPr>
          <w:lang w:val="hr-HR"/>
        </w:rPr>
        <w:t>Prihodi od prodaje nefinancijske imovine</w:t>
      </w:r>
      <w:r>
        <w:rPr>
          <w:lang w:val="hr-HR"/>
        </w:rPr>
        <w:t xml:space="preserve"> drugim</w:t>
      </w:r>
      <w:r w:rsidRPr="00CA437A">
        <w:rPr>
          <w:lang w:val="hr-HR"/>
        </w:rPr>
        <w:t xml:space="preserve"> Izmjenama i dopunama Državnog proračuna RH za 2023. godinu planiraju se u iznosu </w:t>
      </w:r>
      <w:r w:rsidRPr="00DB3B71">
        <w:rPr>
          <w:lang w:val="hr-HR"/>
        </w:rPr>
        <w:t>od 86,8 milijuna eura</w:t>
      </w:r>
      <w:r w:rsidRPr="00CA437A">
        <w:rPr>
          <w:lang w:val="hr-HR"/>
        </w:rPr>
        <w:t xml:space="preserve"> </w:t>
      </w:r>
      <w:r w:rsidRPr="00DB3B71">
        <w:rPr>
          <w:lang w:val="hr-HR"/>
        </w:rPr>
        <w:t xml:space="preserve">i povećavaju se za 1,1 milijun eura </w:t>
      </w:r>
      <w:r w:rsidRPr="00CA437A">
        <w:rPr>
          <w:lang w:val="hr-HR"/>
        </w:rPr>
        <w:t xml:space="preserve">u odnosu na </w:t>
      </w:r>
      <w:r>
        <w:rPr>
          <w:lang w:val="hr-HR"/>
        </w:rPr>
        <w:t>prethodni</w:t>
      </w:r>
      <w:r w:rsidRPr="00CA437A">
        <w:rPr>
          <w:lang w:val="hr-HR"/>
        </w:rPr>
        <w:t xml:space="preserve"> plan. Ovi prihodi najvećim dijelom ostvaruju </w:t>
      </w:r>
      <w:r w:rsidR="009C1408" w:rsidRPr="00CA437A">
        <w:rPr>
          <w:lang w:val="hr-HR"/>
        </w:rPr>
        <w:t xml:space="preserve">se </w:t>
      </w:r>
      <w:r w:rsidRPr="00CA437A">
        <w:rPr>
          <w:lang w:val="hr-HR"/>
        </w:rPr>
        <w:t xml:space="preserve">prodajom zemljišta, stanova i ostalih građevinskih objekata, kao i prihodima od prodaje zaliha odnosno nafte i naftnih derivata radi zanavljanja zaliha. </w:t>
      </w:r>
    </w:p>
    <w:p w:rsidR="00CA437A" w:rsidRDefault="00CA437A" w:rsidP="0076522F">
      <w:pPr>
        <w:pStyle w:val="Caption"/>
        <w:spacing w:before="240" w:after="120"/>
        <w:jc w:val="both"/>
        <w:rPr>
          <w:rFonts w:asciiTheme="minorHAnsi" w:hAnsiTheme="minorHAnsi"/>
          <w:b w:val="0"/>
          <w:i/>
          <w:sz w:val="22"/>
          <w:szCs w:val="22"/>
        </w:rPr>
      </w:pPr>
    </w:p>
    <w:p w:rsidR="00CA437A" w:rsidRDefault="00CA437A" w:rsidP="0076522F">
      <w:pPr>
        <w:pStyle w:val="Caption"/>
        <w:spacing w:before="240" w:after="120"/>
        <w:jc w:val="both"/>
        <w:rPr>
          <w:rFonts w:asciiTheme="minorHAnsi" w:hAnsiTheme="minorHAnsi"/>
          <w:b w:val="0"/>
          <w:i/>
          <w:sz w:val="22"/>
          <w:szCs w:val="22"/>
        </w:rPr>
      </w:pPr>
    </w:p>
    <w:p w:rsidR="00CA437A" w:rsidRDefault="00CA437A" w:rsidP="0076522F">
      <w:pPr>
        <w:pStyle w:val="Caption"/>
        <w:spacing w:before="240" w:after="120"/>
        <w:jc w:val="both"/>
        <w:rPr>
          <w:rFonts w:asciiTheme="minorHAnsi" w:hAnsiTheme="minorHAnsi"/>
          <w:b w:val="0"/>
          <w:i/>
          <w:sz w:val="22"/>
          <w:szCs w:val="22"/>
        </w:rPr>
      </w:pPr>
    </w:p>
    <w:p w:rsidR="00CA437A" w:rsidRDefault="00CA437A" w:rsidP="0076522F">
      <w:pPr>
        <w:pStyle w:val="Caption"/>
        <w:spacing w:before="240" w:after="120"/>
        <w:jc w:val="both"/>
        <w:rPr>
          <w:rFonts w:asciiTheme="minorHAnsi" w:hAnsiTheme="minorHAnsi"/>
          <w:b w:val="0"/>
          <w:i/>
          <w:sz w:val="22"/>
          <w:szCs w:val="22"/>
        </w:rPr>
      </w:pPr>
    </w:p>
    <w:p w:rsidR="00CA437A" w:rsidRDefault="00CA437A" w:rsidP="0076522F">
      <w:pPr>
        <w:pStyle w:val="Caption"/>
        <w:spacing w:before="240" w:after="120"/>
        <w:jc w:val="both"/>
        <w:rPr>
          <w:rFonts w:asciiTheme="minorHAnsi" w:hAnsiTheme="minorHAnsi"/>
          <w:b w:val="0"/>
          <w:i/>
          <w:sz w:val="22"/>
          <w:szCs w:val="22"/>
        </w:rPr>
      </w:pPr>
    </w:p>
    <w:p w:rsidR="00CA437A" w:rsidRDefault="00CA437A" w:rsidP="0076522F">
      <w:pPr>
        <w:pStyle w:val="Caption"/>
        <w:spacing w:before="240" w:after="120"/>
        <w:jc w:val="both"/>
        <w:rPr>
          <w:rFonts w:asciiTheme="minorHAnsi" w:hAnsiTheme="minorHAnsi"/>
          <w:b w:val="0"/>
          <w:i/>
          <w:sz w:val="22"/>
          <w:szCs w:val="22"/>
        </w:rPr>
      </w:pPr>
    </w:p>
    <w:p w:rsidR="00025948" w:rsidRDefault="00025948" w:rsidP="0076522F">
      <w:pPr>
        <w:pStyle w:val="Caption"/>
        <w:spacing w:before="240" w:after="120"/>
        <w:jc w:val="both"/>
        <w:rPr>
          <w:rFonts w:asciiTheme="minorHAnsi" w:hAnsiTheme="minorHAnsi"/>
          <w:b w:val="0"/>
          <w:i/>
          <w:sz w:val="22"/>
          <w:szCs w:val="22"/>
        </w:rPr>
      </w:pPr>
      <w:r w:rsidRPr="00ED0B28">
        <w:rPr>
          <w:rFonts w:asciiTheme="minorHAnsi" w:hAnsiTheme="minorHAnsi"/>
          <w:b w:val="0"/>
          <w:i/>
          <w:sz w:val="22"/>
          <w:szCs w:val="22"/>
        </w:rPr>
        <w:lastRenderedPageBreak/>
        <w:t xml:space="preserve">Tablica </w:t>
      </w:r>
      <w:r w:rsidR="00F03484">
        <w:rPr>
          <w:rFonts w:asciiTheme="minorHAnsi" w:hAnsiTheme="minorHAnsi"/>
          <w:b w:val="0"/>
          <w:i/>
          <w:sz w:val="22"/>
          <w:szCs w:val="22"/>
        </w:rPr>
        <w:t>2</w:t>
      </w:r>
      <w:r w:rsidRPr="00ED0B28">
        <w:rPr>
          <w:rFonts w:asciiTheme="minorHAnsi" w:hAnsiTheme="minorHAnsi"/>
          <w:b w:val="0"/>
          <w:i/>
          <w:sz w:val="22"/>
          <w:szCs w:val="22"/>
        </w:rPr>
        <w:t>. Prihodi državnog proračuna za 20</w:t>
      </w:r>
      <w:r w:rsidR="00890A93" w:rsidRPr="00ED0B28">
        <w:rPr>
          <w:rFonts w:asciiTheme="minorHAnsi" w:hAnsiTheme="minorHAnsi"/>
          <w:b w:val="0"/>
          <w:i/>
          <w:sz w:val="22"/>
          <w:szCs w:val="22"/>
        </w:rPr>
        <w:t>2</w:t>
      </w:r>
      <w:r w:rsidR="00CA437A">
        <w:rPr>
          <w:rFonts w:asciiTheme="minorHAnsi" w:hAnsiTheme="minorHAnsi"/>
          <w:b w:val="0"/>
          <w:i/>
          <w:sz w:val="22"/>
          <w:szCs w:val="22"/>
        </w:rPr>
        <w:t>3</w:t>
      </w:r>
      <w:r w:rsidRPr="00ED0B28">
        <w:rPr>
          <w:rFonts w:asciiTheme="minorHAnsi" w:hAnsiTheme="minorHAnsi"/>
          <w:b w:val="0"/>
          <w:i/>
          <w:sz w:val="22"/>
          <w:szCs w:val="22"/>
        </w:rPr>
        <w:t>. godinu</w:t>
      </w:r>
    </w:p>
    <w:p w:rsidR="000D3576" w:rsidRPr="00364E3D" w:rsidRDefault="00C56E02" w:rsidP="00364E3D">
      <w:pPr>
        <w:spacing w:after="0"/>
        <w:rPr>
          <w:noProof/>
          <w:lang w:val="hr-HR" w:eastAsia="hr-HR"/>
        </w:rPr>
      </w:pPr>
      <w:r w:rsidRPr="00C56E02">
        <w:rPr>
          <w:noProof/>
          <w:lang w:val="hr-HR" w:eastAsia="hr-HR"/>
        </w:rPr>
        <w:drawing>
          <wp:inline distT="0" distB="0" distL="0" distR="0">
            <wp:extent cx="5760720" cy="3727722"/>
            <wp:effectExtent l="0" t="0" r="0" b="6350"/>
            <wp:docPr id="6" name="Slika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760720" cy="3727722"/>
                    </a:xfrm>
                    <a:prstGeom prst="rect">
                      <a:avLst/>
                    </a:prstGeom>
                    <a:noFill/>
                    <a:ln>
                      <a:noFill/>
                    </a:ln>
                  </pic:spPr>
                </pic:pic>
              </a:graphicData>
            </a:graphic>
          </wp:inline>
        </w:drawing>
      </w:r>
    </w:p>
    <w:p w:rsidR="00025948" w:rsidRPr="00A22498" w:rsidRDefault="00025948" w:rsidP="00A22498">
      <w:pPr>
        <w:jc w:val="both"/>
        <w:rPr>
          <w:rFonts w:cs="Times New Roman"/>
          <w:i/>
          <w:color w:val="000000"/>
          <w:lang w:val="hr-HR"/>
        </w:rPr>
      </w:pPr>
      <w:r w:rsidRPr="009B5CBF">
        <w:rPr>
          <w:rFonts w:cs="Times New Roman"/>
          <w:i/>
          <w:color w:val="000000"/>
          <w:lang w:val="hr-HR"/>
        </w:rPr>
        <w:t>Izvor: Ministarstvo financija</w:t>
      </w:r>
      <w:r w:rsidRPr="009B5CBF">
        <w:rPr>
          <w:lang w:val="hr-HR"/>
        </w:rPr>
        <w:br w:type="page"/>
      </w:r>
    </w:p>
    <w:p w:rsidR="00A461B3" w:rsidRPr="003459A2" w:rsidRDefault="00A461B3" w:rsidP="00A461B3">
      <w:pPr>
        <w:pStyle w:val="Heading1"/>
        <w:numPr>
          <w:ilvl w:val="0"/>
          <w:numId w:val="1"/>
        </w:numPr>
        <w:rPr>
          <w:lang w:val="hr-HR"/>
        </w:rPr>
      </w:pPr>
      <w:bookmarkStart w:id="8" w:name="_Toc381720707"/>
      <w:bookmarkStart w:id="9" w:name="_Toc497069943"/>
      <w:bookmarkStart w:id="10" w:name="_Toc23378480"/>
      <w:bookmarkStart w:id="11" w:name="_Toc147939402"/>
      <w:r w:rsidRPr="003459A2">
        <w:rPr>
          <w:lang w:val="hr-HR"/>
        </w:rPr>
        <w:lastRenderedPageBreak/>
        <w:t>RASHODI DRŽAVNOG PRORAČUNA</w:t>
      </w:r>
      <w:bookmarkEnd w:id="8"/>
      <w:bookmarkEnd w:id="9"/>
      <w:bookmarkEnd w:id="10"/>
      <w:bookmarkEnd w:id="11"/>
      <w:r w:rsidRPr="003459A2">
        <w:rPr>
          <w:lang w:val="hr-HR"/>
        </w:rPr>
        <w:t xml:space="preserve"> </w:t>
      </w:r>
    </w:p>
    <w:p w:rsidR="00D92DB5" w:rsidRPr="003459A2" w:rsidRDefault="00D92DB5" w:rsidP="00D92DB5">
      <w:pPr>
        <w:shd w:val="clear" w:color="auto" w:fill="FFFFFF"/>
        <w:spacing w:after="0" w:line="240" w:lineRule="auto"/>
        <w:jc w:val="both"/>
        <w:rPr>
          <w:rFonts w:cstheme="minorHAnsi"/>
          <w:sz w:val="24"/>
          <w:szCs w:val="24"/>
          <w:lang w:val="hr-HR"/>
        </w:rPr>
      </w:pPr>
    </w:p>
    <w:p w:rsidR="0054100C" w:rsidRPr="003459A2" w:rsidRDefault="0054100C" w:rsidP="0054100C">
      <w:pPr>
        <w:spacing w:after="0" w:line="240" w:lineRule="auto"/>
        <w:jc w:val="both"/>
        <w:rPr>
          <w:rFonts w:cstheme="minorHAnsi"/>
          <w:lang w:val="hr-HR"/>
        </w:rPr>
      </w:pPr>
    </w:p>
    <w:p w:rsidR="00F21197" w:rsidRPr="008E0004" w:rsidRDefault="00F21197" w:rsidP="00F21197">
      <w:pPr>
        <w:shd w:val="clear" w:color="auto" w:fill="FFFFFF"/>
        <w:spacing w:after="0"/>
        <w:jc w:val="both"/>
        <w:rPr>
          <w:rFonts w:cstheme="minorHAnsi"/>
          <w:lang w:val="hr-HR"/>
        </w:rPr>
      </w:pPr>
      <w:r w:rsidRPr="008E0004">
        <w:rPr>
          <w:rFonts w:cstheme="minorHAnsi"/>
          <w:lang w:val="hr-HR"/>
        </w:rPr>
        <w:t>Ovim Izmjenama i dopunama Državnog proračuna za 2023. godinu ukupni rashodi povećavaju se za 1,2 milijarde eura, odnosno sa 28,1 milijardi eura na 29,3 milijarde eura.</w:t>
      </w:r>
    </w:p>
    <w:p w:rsidR="00F21197" w:rsidRPr="008E0004" w:rsidRDefault="00F21197" w:rsidP="00F21197">
      <w:pPr>
        <w:shd w:val="clear" w:color="auto" w:fill="FFFFFF"/>
        <w:spacing w:after="0"/>
        <w:jc w:val="both"/>
        <w:rPr>
          <w:rFonts w:cstheme="minorHAnsi"/>
          <w:lang w:val="hr-HR"/>
        </w:rPr>
      </w:pPr>
    </w:p>
    <w:p w:rsidR="00F21197" w:rsidRPr="008E0004" w:rsidRDefault="00F21197" w:rsidP="00F21197">
      <w:pPr>
        <w:spacing w:after="0"/>
        <w:jc w:val="both"/>
        <w:rPr>
          <w:rFonts w:cstheme="minorHAnsi"/>
          <w:lang w:val="hr-HR"/>
        </w:rPr>
      </w:pPr>
      <w:r w:rsidRPr="008E0004">
        <w:rPr>
          <w:rFonts w:cstheme="minorHAnsi"/>
          <w:lang w:val="hr-HR"/>
        </w:rPr>
        <w:t>Od ukupnog povećanja rashoda, rashodi koji se financiraju iz općih prihoda i primitaka, doprinosa i namjenskih primitaka, povećavaju se za 1,4 milijarde eura, dok se rashodi koji se financiraju iz EU i ostalih izvora smanjuju za 159,1 milijuna eura.</w:t>
      </w:r>
    </w:p>
    <w:p w:rsidR="00F21197" w:rsidRPr="008E0004" w:rsidRDefault="00F21197" w:rsidP="00F21197">
      <w:pPr>
        <w:shd w:val="clear" w:color="auto" w:fill="FFFFFF"/>
        <w:spacing w:after="0"/>
        <w:jc w:val="both"/>
        <w:rPr>
          <w:rFonts w:cstheme="minorHAnsi"/>
          <w:lang w:val="hr-HR"/>
        </w:rPr>
      </w:pPr>
    </w:p>
    <w:p w:rsidR="00F21197" w:rsidRPr="008E0004" w:rsidRDefault="00F21197" w:rsidP="00F21197">
      <w:pPr>
        <w:shd w:val="clear" w:color="auto" w:fill="FFFFFF"/>
        <w:spacing w:after="0"/>
        <w:jc w:val="both"/>
        <w:rPr>
          <w:rFonts w:cstheme="minorHAnsi"/>
          <w:lang w:val="hr-HR"/>
        </w:rPr>
      </w:pPr>
      <w:r w:rsidRPr="008E0004">
        <w:rPr>
          <w:rFonts w:cstheme="minorHAnsi"/>
          <w:lang w:val="hr-HR"/>
        </w:rPr>
        <w:t xml:space="preserve">Najznačajnija kretanja na stavkama rashoda vezana su uz osiguranje dodatnih sredstava za mirovine i mirovinska primanja, za 5. paket mjera Vlade Republike Hrvatske za zaštitu kućanstva i gospodarstva od rasta cijena, rashode za zaposlene te rashode </w:t>
      </w:r>
      <w:r w:rsidRPr="008E0004">
        <w:rPr>
          <w:rFonts w:cstheme="minorHAnsi"/>
          <w:bCs/>
          <w:lang w:val="hr-HR"/>
        </w:rPr>
        <w:t>za pokriće troškova vezanih uz obnovu zgrada oštećenih potresom na području Grada Zagreba, Krapinsko-zagorske županije, Zagrebačke županije, Sisačko-moslavačke županije i Karlovačke županije.</w:t>
      </w:r>
      <w:r w:rsidRPr="008E0004">
        <w:rPr>
          <w:rFonts w:cstheme="minorHAnsi"/>
          <w:lang w:val="hr-HR"/>
        </w:rPr>
        <w:t xml:space="preserve"> </w:t>
      </w:r>
      <w:r w:rsidRPr="008E0004">
        <w:rPr>
          <w:rFonts w:cstheme="minorHAnsi"/>
          <w:bCs/>
          <w:lang w:val="hr-HR"/>
        </w:rPr>
        <w:t xml:space="preserve">Također, kretanja na pojedinim stavkama ukazuju na </w:t>
      </w:r>
      <w:r w:rsidRPr="008E0004">
        <w:rPr>
          <w:rFonts w:cstheme="minorHAnsi"/>
          <w:lang w:val="hr-HR"/>
        </w:rPr>
        <w:t>daljnje napore za rast kvalitete socijalne skrbi i pružanje potpore najugroženijima.</w:t>
      </w:r>
    </w:p>
    <w:p w:rsidR="00F21197" w:rsidRPr="008E0004" w:rsidRDefault="00F21197" w:rsidP="00F21197">
      <w:pPr>
        <w:shd w:val="clear" w:color="auto" w:fill="FFFFFF"/>
        <w:spacing w:after="0"/>
        <w:jc w:val="both"/>
        <w:rPr>
          <w:rFonts w:eastAsia="Times New Roman" w:cstheme="minorHAnsi"/>
          <w:lang w:val="hr-HR" w:eastAsia="hr-HR"/>
        </w:rPr>
      </w:pPr>
    </w:p>
    <w:p w:rsidR="00F21197" w:rsidRPr="008E0004" w:rsidRDefault="00F21197" w:rsidP="00F21197">
      <w:pPr>
        <w:shd w:val="clear" w:color="auto" w:fill="FFFFFF"/>
        <w:spacing w:after="0"/>
        <w:jc w:val="both"/>
        <w:rPr>
          <w:rFonts w:cstheme="minorHAnsi"/>
          <w:lang w:val="hr-HR"/>
        </w:rPr>
      </w:pPr>
      <w:r w:rsidRPr="008E0004">
        <w:rPr>
          <w:rFonts w:cstheme="minorHAnsi"/>
          <w:lang w:val="hr-HR"/>
        </w:rPr>
        <w:t xml:space="preserve">Trošak provedbe mjera iz 5. paketa Vlade Republike Hrvatske za zaštitu kućanstva i gospodarstva od rasta cijena, čija provedba je predviđena tijekom 2023. i 2024. godine, procijenjen je u ukupnom iznosu od 1,0 milijardu eura. Od navedenog iznosa 464,1 milijun eura odnosi se na provedbu novih mjera, a 550,7 milijuna eura na nastavak provedbe postojećih. </w:t>
      </w:r>
    </w:p>
    <w:p w:rsidR="00F21197" w:rsidRPr="008E0004" w:rsidRDefault="00F21197" w:rsidP="00F21197">
      <w:pPr>
        <w:shd w:val="clear" w:color="auto" w:fill="FFFFFF"/>
        <w:spacing w:after="0"/>
        <w:jc w:val="both"/>
        <w:rPr>
          <w:rFonts w:cstheme="minorHAnsi"/>
          <w:lang w:val="hr-HR"/>
        </w:rPr>
      </w:pPr>
    </w:p>
    <w:p w:rsidR="00F21197" w:rsidRPr="008E0004" w:rsidRDefault="00F21197" w:rsidP="00F21197">
      <w:pPr>
        <w:shd w:val="clear" w:color="auto" w:fill="FFFFFF"/>
        <w:spacing w:after="0"/>
        <w:jc w:val="both"/>
        <w:rPr>
          <w:rFonts w:cstheme="minorHAnsi"/>
          <w:lang w:val="hr-HR"/>
        </w:rPr>
      </w:pPr>
      <w:r w:rsidRPr="008E0004">
        <w:rPr>
          <w:rFonts w:cstheme="minorHAnsi"/>
          <w:lang w:val="hr-HR"/>
        </w:rPr>
        <w:t>Za provedbu ovih mjera u 2023. godini u državnom proračunu osigurana su sredstva u ukupnom iznosu od  567,3 milijuna eura kako slijedi:</w:t>
      </w:r>
    </w:p>
    <w:p w:rsidR="00F21197" w:rsidRPr="008E0004" w:rsidRDefault="00F21197" w:rsidP="00F21197">
      <w:pPr>
        <w:shd w:val="clear" w:color="auto" w:fill="FFFFFF"/>
        <w:spacing w:after="0"/>
        <w:jc w:val="both"/>
        <w:rPr>
          <w:rFonts w:cstheme="minorHAnsi"/>
          <w:lang w:val="hr-HR"/>
        </w:rPr>
      </w:pPr>
    </w:p>
    <w:p w:rsidR="00F21197" w:rsidRPr="008E0004" w:rsidRDefault="00F21197" w:rsidP="00F21197">
      <w:pPr>
        <w:pStyle w:val="ListParagraph"/>
        <w:numPr>
          <w:ilvl w:val="0"/>
          <w:numId w:val="18"/>
        </w:numPr>
        <w:shd w:val="clear" w:color="auto" w:fill="FFFFFF"/>
        <w:spacing w:after="0"/>
        <w:jc w:val="both"/>
        <w:rPr>
          <w:rFonts w:cstheme="minorHAnsi"/>
          <w:lang w:val="hr-HR"/>
        </w:rPr>
      </w:pPr>
      <w:r w:rsidRPr="008E0004">
        <w:rPr>
          <w:rFonts w:cstheme="minorHAnsi"/>
          <w:lang w:val="hr-HR"/>
        </w:rPr>
        <w:t>za otklanjanje poremećaja na domaćem tržištu energije (kompenzacije porasta cijena energenata) u iznosu od 378,6 milijuna eura,</w:t>
      </w:r>
    </w:p>
    <w:p w:rsidR="00F21197" w:rsidRPr="008E0004" w:rsidRDefault="00F21197" w:rsidP="00F21197">
      <w:pPr>
        <w:pStyle w:val="ListParagraph"/>
        <w:numPr>
          <w:ilvl w:val="0"/>
          <w:numId w:val="18"/>
        </w:numPr>
        <w:shd w:val="clear" w:color="auto" w:fill="FFFFFF"/>
        <w:spacing w:after="0"/>
        <w:jc w:val="both"/>
        <w:rPr>
          <w:rFonts w:cstheme="minorHAnsi"/>
          <w:lang w:val="hr-HR"/>
        </w:rPr>
      </w:pPr>
      <w:r w:rsidRPr="008E0004">
        <w:rPr>
          <w:rFonts w:cstheme="minorHAnsi"/>
          <w:lang w:val="hr-HR"/>
        </w:rPr>
        <w:t>za potpore umirovljenicima u iznosu od 71,6 milijuna eura,</w:t>
      </w:r>
    </w:p>
    <w:p w:rsidR="00F21197" w:rsidRPr="008E0004" w:rsidRDefault="002C5A48" w:rsidP="00F21197">
      <w:pPr>
        <w:pStyle w:val="ListParagraph"/>
        <w:numPr>
          <w:ilvl w:val="0"/>
          <w:numId w:val="18"/>
        </w:numPr>
        <w:shd w:val="clear" w:color="auto" w:fill="FFFFFF"/>
        <w:spacing w:after="0"/>
        <w:jc w:val="both"/>
        <w:rPr>
          <w:rFonts w:cstheme="minorHAnsi"/>
          <w:lang w:val="hr-HR"/>
        </w:rPr>
      </w:pPr>
      <w:r>
        <w:rPr>
          <w:rFonts w:cstheme="minorHAnsi"/>
          <w:lang w:val="hr-HR"/>
        </w:rPr>
        <w:t xml:space="preserve">za </w:t>
      </w:r>
      <w:r w:rsidR="00F21197" w:rsidRPr="008E0004">
        <w:rPr>
          <w:rFonts w:cstheme="minorHAnsi"/>
          <w:lang w:val="hr-HR"/>
        </w:rPr>
        <w:t>potpore u sustavu socijalne skrbi, hrvatskim braniteljima i nezaposlenima u iznosu od 66,7 milijuna eura,</w:t>
      </w:r>
    </w:p>
    <w:p w:rsidR="00F21197" w:rsidRPr="008E0004" w:rsidRDefault="00F21197" w:rsidP="00F21197">
      <w:pPr>
        <w:pStyle w:val="ListParagraph"/>
        <w:numPr>
          <w:ilvl w:val="0"/>
          <w:numId w:val="18"/>
        </w:numPr>
        <w:shd w:val="clear" w:color="auto" w:fill="FFFFFF"/>
        <w:spacing w:after="0"/>
        <w:jc w:val="both"/>
        <w:rPr>
          <w:rFonts w:cstheme="minorHAnsi"/>
          <w:lang w:val="hr-HR"/>
        </w:rPr>
      </w:pPr>
      <w:r w:rsidRPr="008E0004">
        <w:rPr>
          <w:rFonts w:cstheme="minorHAnsi"/>
          <w:lang w:val="hr-HR"/>
        </w:rPr>
        <w:t>za potpore u poljoprivredi i ribarstvu u iznosu od 22,0 milijuna eura,</w:t>
      </w:r>
    </w:p>
    <w:p w:rsidR="00F21197" w:rsidRPr="008E0004" w:rsidRDefault="00F21197" w:rsidP="00F21197">
      <w:pPr>
        <w:pStyle w:val="ListParagraph"/>
        <w:numPr>
          <w:ilvl w:val="0"/>
          <w:numId w:val="18"/>
        </w:numPr>
        <w:shd w:val="clear" w:color="auto" w:fill="FFFFFF"/>
        <w:spacing w:after="0"/>
        <w:jc w:val="both"/>
        <w:rPr>
          <w:rFonts w:cstheme="minorHAnsi"/>
          <w:lang w:val="hr-HR"/>
        </w:rPr>
      </w:pPr>
      <w:r w:rsidRPr="008E0004">
        <w:rPr>
          <w:rFonts w:cstheme="minorHAnsi"/>
          <w:lang w:val="hr-HR"/>
        </w:rPr>
        <w:t xml:space="preserve">za jednokratno novčano primanje korisnicima doplatka za djecu u iznosu od 11,3 milijuna eura, </w:t>
      </w:r>
    </w:p>
    <w:p w:rsidR="00F21197" w:rsidRPr="008E0004" w:rsidRDefault="00F21197" w:rsidP="00F21197">
      <w:pPr>
        <w:pStyle w:val="ListParagraph"/>
        <w:numPr>
          <w:ilvl w:val="0"/>
          <w:numId w:val="18"/>
        </w:numPr>
        <w:shd w:val="clear" w:color="auto" w:fill="FFFFFF"/>
        <w:spacing w:after="0"/>
        <w:jc w:val="both"/>
        <w:rPr>
          <w:rFonts w:cstheme="minorHAnsi"/>
          <w:lang w:val="hr-HR"/>
        </w:rPr>
      </w:pPr>
      <w:r w:rsidRPr="008E0004">
        <w:rPr>
          <w:rFonts w:cstheme="minorHAnsi"/>
          <w:lang w:val="hr-HR"/>
        </w:rPr>
        <w:t>za potpore ostalim skupinama stanovništva (osobe stradale u potresu i studenti) u iznosu od 9,8 milijuna eura i</w:t>
      </w:r>
    </w:p>
    <w:p w:rsidR="00F21197" w:rsidRPr="008E0004" w:rsidRDefault="00F21197" w:rsidP="00F21197">
      <w:pPr>
        <w:pStyle w:val="ListParagraph"/>
        <w:numPr>
          <w:ilvl w:val="0"/>
          <w:numId w:val="18"/>
        </w:numPr>
        <w:shd w:val="clear" w:color="auto" w:fill="FFFFFF"/>
        <w:spacing w:after="0"/>
        <w:jc w:val="both"/>
        <w:rPr>
          <w:rFonts w:cstheme="minorHAnsi"/>
          <w:lang w:val="hr-HR"/>
        </w:rPr>
      </w:pPr>
      <w:r w:rsidRPr="008E0004">
        <w:rPr>
          <w:rFonts w:cstheme="minorHAnsi"/>
          <w:lang w:val="hr-HR"/>
        </w:rPr>
        <w:t>za nadoknadu dijela troška dizelskog goriva u iznosu od 7,3 milijuna eura.</w:t>
      </w:r>
    </w:p>
    <w:p w:rsidR="00F21197" w:rsidRPr="008E0004" w:rsidRDefault="00F21197" w:rsidP="00F21197">
      <w:pPr>
        <w:pStyle w:val="ListParagraph"/>
        <w:shd w:val="clear" w:color="auto" w:fill="FFFFFF"/>
        <w:spacing w:after="0"/>
        <w:jc w:val="both"/>
        <w:rPr>
          <w:rFonts w:cstheme="minorHAnsi"/>
          <w:lang w:val="hr-HR"/>
        </w:rPr>
      </w:pPr>
    </w:p>
    <w:p w:rsidR="00F21197" w:rsidRPr="008E0004" w:rsidRDefault="00F21197" w:rsidP="00F21197">
      <w:pPr>
        <w:shd w:val="clear" w:color="auto" w:fill="FFFFFF"/>
        <w:spacing w:after="0"/>
        <w:jc w:val="both"/>
        <w:rPr>
          <w:rFonts w:cstheme="minorHAnsi"/>
          <w:lang w:val="hr-HR"/>
        </w:rPr>
      </w:pPr>
      <w:r w:rsidRPr="008E0004">
        <w:rPr>
          <w:rFonts w:cstheme="minorHAnsi"/>
          <w:lang w:val="hr-HR"/>
        </w:rPr>
        <w:t xml:space="preserve">Od navedenog iznosa ovim Izmjenama i dopunama dodatno je osigurano 264,7 milijuna eura, od čega se dio odnosi na povećanje mirovina budući da je ovaj iznos prethodno preraspodijeljen za isplatu mjera pomoći u listopadu ove godine. </w:t>
      </w:r>
    </w:p>
    <w:p w:rsidR="00F21197" w:rsidRPr="008E0004" w:rsidRDefault="00F21197" w:rsidP="00F21197">
      <w:pPr>
        <w:spacing w:after="0"/>
        <w:jc w:val="both"/>
        <w:rPr>
          <w:rFonts w:cstheme="minorHAnsi"/>
          <w:lang w:val="hr-HR"/>
        </w:rPr>
      </w:pPr>
    </w:p>
    <w:p w:rsidR="00F21197" w:rsidRPr="008E0004" w:rsidRDefault="00F21197" w:rsidP="00F21197">
      <w:pPr>
        <w:spacing w:after="0"/>
        <w:jc w:val="both"/>
        <w:rPr>
          <w:rFonts w:cstheme="minorHAnsi"/>
          <w:lang w:val="hr-HR"/>
        </w:rPr>
      </w:pPr>
      <w:r w:rsidRPr="008E0004">
        <w:rPr>
          <w:rFonts w:cstheme="minorHAnsi"/>
          <w:lang w:val="hr-HR"/>
        </w:rPr>
        <w:t>Unutar rashoda financiranih iz općih prihoda i primitaka, doprinosa i namjenskih primitaka najznačajnija povećanja odnose se na:</w:t>
      </w:r>
    </w:p>
    <w:p w:rsidR="00F21197" w:rsidRPr="008E0004" w:rsidRDefault="00F21197" w:rsidP="00F21197">
      <w:pPr>
        <w:pStyle w:val="ListParagraph"/>
        <w:numPr>
          <w:ilvl w:val="0"/>
          <w:numId w:val="6"/>
        </w:numPr>
        <w:spacing w:after="0"/>
        <w:jc w:val="both"/>
        <w:rPr>
          <w:rFonts w:cstheme="minorHAnsi"/>
          <w:lang w:val="hr-HR"/>
        </w:rPr>
      </w:pPr>
      <w:r w:rsidRPr="008E0004">
        <w:rPr>
          <w:rFonts w:cstheme="minorHAnsi"/>
          <w:lang w:val="hr-HR"/>
        </w:rPr>
        <w:t xml:space="preserve">mirovine i mirovinska primanja u iznosu od 343,9 milijuna eura, </w:t>
      </w:r>
    </w:p>
    <w:p w:rsidR="00F21197" w:rsidRPr="008E0004" w:rsidRDefault="00F21197" w:rsidP="00F21197">
      <w:pPr>
        <w:pStyle w:val="ListParagraph"/>
        <w:numPr>
          <w:ilvl w:val="0"/>
          <w:numId w:val="6"/>
        </w:numPr>
        <w:spacing w:after="0"/>
        <w:jc w:val="both"/>
        <w:rPr>
          <w:rFonts w:cstheme="minorHAnsi"/>
          <w:lang w:val="hr-HR"/>
        </w:rPr>
      </w:pPr>
      <w:r w:rsidRPr="008E0004">
        <w:rPr>
          <w:rFonts w:cstheme="minorHAnsi"/>
          <w:bCs/>
          <w:lang w:val="hr-HR"/>
        </w:rPr>
        <w:t>sanaciju štete od potresa u ukupnom iznosu od 274,6 milijuna eura,</w:t>
      </w:r>
    </w:p>
    <w:p w:rsidR="00F21197" w:rsidRPr="008E0004" w:rsidRDefault="00F21197" w:rsidP="00F21197">
      <w:pPr>
        <w:pStyle w:val="ListParagraph"/>
        <w:numPr>
          <w:ilvl w:val="0"/>
          <w:numId w:val="6"/>
        </w:numPr>
        <w:spacing w:after="0"/>
        <w:jc w:val="both"/>
        <w:rPr>
          <w:rFonts w:cstheme="minorHAnsi"/>
          <w:lang w:val="hr-HR"/>
        </w:rPr>
      </w:pPr>
      <w:r w:rsidRPr="008E0004">
        <w:rPr>
          <w:rFonts w:cstheme="minorHAnsi"/>
          <w:lang w:val="hr-HR"/>
        </w:rPr>
        <w:lastRenderedPageBreak/>
        <w:t xml:space="preserve">dodatna sredstva za 5. paket mjera Vlade Republike Hrvatske za zaštitu kućanstva i gospodarstva od rasta cijena u iznosu od 264,7 milijuna eura, </w:t>
      </w:r>
    </w:p>
    <w:p w:rsidR="00F21197" w:rsidRPr="008E0004" w:rsidRDefault="00690FC0" w:rsidP="00F21197">
      <w:pPr>
        <w:pStyle w:val="ListParagraph"/>
        <w:numPr>
          <w:ilvl w:val="0"/>
          <w:numId w:val="6"/>
        </w:numPr>
        <w:spacing w:after="0"/>
        <w:jc w:val="both"/>
        <w:rPr>
          <w:rFonts w:cstheme="minorHAnsi"/>
          <w:lang w:val="hr-HR"/>
        </w:rPr>
      </w:pPr>
      <w:r>
        <w:rPr>
          <w:rFonts w:cstheme="minorHAnsi"/>
          <w:lang w:val="hr-HR"/>
        </w:rPr>
        <w:t>rashode</w:t>
      </w:r>
      <w:r w:rsidR="00F21197" w:rsidRPr="008E0004">
        <w:rPr>
          <w:rFonts w:cstheme="minorHAnsi"/>
          <w:lang w:val="hr-HR"/>
        </w:rPr>
        <w:t xml:space="preserve"> za zaposlene u iznosu od 223,2 milijuna eura (uključujući rashode za zaposlene u osnovnom i srednjem školstvu u iznosu od 102,7 milijuna eura),</w:t>
      </w:r>
    </w:p>
    <w:p w:rsidR="00F21197" w:rsidRPr="008E0004" w:rsidRDefault="00690FC0" w:rsidP="00F21197">
      <w:pPr>
        <w:pStyle w:val="ListParagraph"/>
        <w:numPr>
          <w:ilvl w:val="0"/>
          <w:numId w:val="6"/>
        </w:numPr>
        <w:spacing w:after="0"/>
        <w:jc w:val="both"/>
        <w:rPr>
          <w:rFonts w:cstheme="minorHAnsi"/>
          <w:lang w:val="hr-HR"/>
        </w:rPr>
      </w:pPr>
      <w:r>
        <w:rPr>
          <w:rFonts w:cstheme="minorHAnsi"/>
          <w:lang w:val="hr-HR"/>
        </w:rPr>
        <w:t>naknadu</w:t>
      </w:r>
      <w:r w:rsidR="00F21197" w:rsidRPr="008E0004">
        <w:rPr>
          <w:rFonts w:cstheme="minorHAnsi"/>
          <w:lang w:val="hr-HR"/>
        </w:rPr>
        <w:t xml:space="preserve"> u cijeni goriva za HC d.o.o. i HŽ infrastrukturu d.o.o. u iznosu od 92,0 milijuna eura ,</w:t>
      </w:r>
    </w:p>
    <w:p w:rsidR="00F21197" w:rsidRPr="008E0004" w:rsidRDefault="00F21197" w:rsidP="00F21197">
      <w:pPr>
        <w:pStyle w:val="ListParagraph"/>
        <w:numPr>
          <w:ilvl w:val="0"/>
          <w:numId w:val="6"/>
        </w:numPr>
        <w:spacing w:after="0"/>
        <w:jc w:val="both"/>
        <w:rPr>
          <w:rFonts w:cstheme="minorHAnsi"/>
          <w:lang w:val="hr-HR"/>
        </w:rPr>
      </w:pPr>
      <w:r w:rsidRPr="008E0004">
        <w:rPr>
          <w:rFonts w:cstheme="minorHAnsi"/>
          <w:lang w:val="hr-HR"/>
        </w:rPr>
        <w:t>izgradnj</w:t>
      </w:r>
      <w:r w:rsidR="00690FC0">
        <w:rPr>
          <w:rFonts w:cstheme="minorHAnsi"/>
          <w:lang w:val="hr-HR"/>
        </w:rPr>
        <w:t>u</w:t>
      </w:r>
      <w:r w:rsidRPr="008E0004">
        <w:rPr>
          <w:rFonts w:cstheme="minorHAnsi"/>
          <w:lang w:val="hr-HR"/>
        </w:rPr>
        <w:t xml:space="preserve"> plinovoda Zlobin - Bosiljevo i povećanje kapaciteta LNG terminala u iznosu od 75,0 milijuna eura,</w:t>
      </w:r>
    </w:p>
    <w:p w:rsidR="00F21197" w:rsidRPr="008E0004" w:rsidRDefault="00F21197" w:rsidP="00F21197">
      <w:pPr>
        <w:pStyle w:val="ListParagraph"/>
        <w:numPr>
          <w:ilvl w:val="0"/>
          <w:numId w:val="6"/>
        </w:numPr>
        <w:spacing w:after="0"/>
        <w:jc w:val="both"/>
        <w:rPr>
          <w:rFonts w:cstheme="minorHAnsi"/>
          <w:lang w:val="hr-HR"/>
        </w:rPr>
      </w:pPr>
      <w:r w:rsidRPr="008E0004">
        <w:rPr>
          <w:rFonts w:cstheme="minorHAnsi"/>
          <w:lang w:val="hr-HR"/>
        </w:rPr>
        <w:t>doprinos Republike Hrvatske proračunu Europske unije u iznosu od 60,0 milijuna eura,</w:t>
      </w:r>
    </w:p>
    <w:p w:rsidR="00F21197" w:rsidRPr="008E0004" w:rsidRDefault="00F21197" w:rsidP="00F21197">
      <w:pPr>
        <w:pStyle w:val="ListParagraph"/>
        <w:numPr>
          <w:ilvl w:val="0"/>
          <w:numId w:val="6"/>
        </w:numPr>
        <w:spacing w:after="0"/>
        <w:jc w:val="both"/>
        <w:rPr>
          <w:rFonts w:cstheme="minorHAnsi"/>
          <w:lang w:val="hr-HR"/>
        </w:rPr>
      </w:pPr>
      <w:r w:rsidRPr="008E0004">
        <w:rPr>
          <w:rFonts w:cstheme="minorHAnsi"/>
          <w:lang w:val="hr-HR"/>
        </w:rPr>
        <w:t>ublažavanje posljedica elementarnih nepogoda poljoprivrednim proizvođačima i posljedica afričke svinjske kuge u iznosu od 37,9 milijuna eura,</w:t>
      </w:r>
    </w:p>
    <w:p w:rsidR="00F21197" w:rsidRPr="008E0004" w:rsidRDefault="00F21197" w:rsidP="00F21197">
      <w:pPr>
        <w:pStyle w:val="ListParagraph"/>
        <w:numPr>
          <w:ilvl w:val="0"/>
          <w:numId w:val="6"/>
        </w:numPr>
        <w:spacing w:after="0"/>
        <w:jc w:val="both"/>
        <w:rPr>
          <w:rFonts w:cstheme="minorHAnsi"/>
          <w:lang w:val="hr-HR"/>
        </w:rPr>
      </w:pPr>
      <w:r w:rsidRPr="008E0004">
        <w:rPr>
          <w:rFonts w:cstheme="minorHAnsi"/>
          <w:lang w:val="hr-HR"/>
        </w:rPr>
        <w:t>poticanje željezničkog putničkog prijevoza i upravljanje, organizaciju i regulaciju željezničkog prometa u iznosu od 35,4 milijuna eura</w:t>
      </w:r>
    </w:p>
    <w:p w:rsidR="00F21197" w:rsidRPr="008E0004" w:rsidRDefault="00F21197" w:rsidP="00F21197">
      <w:pPr>
        <w:pStyle w:val="ListParagraph"/>
        <w:numPr>
          <w:ilvl w:val="0"/>
          <w:numId w:val="6"/>
        </w:numPr>
        <w:spacing w:after="0"/>
        <w:jc w:val="both"/>
        <w:rPr>
          <w:rFonts w:cstheme="minorHAnsi"/>
          <w:lang w:val="hr-HR"/>
        </w:rPr>
      </w:pPr>
      <w:r w:rsidRPr="008E0004">
        <w:rPr>
          <w:rFonts w:cstheme="minorHAnsi"/>
          <w:lang w:val="hr-HR"/>
        </w:rPr>
        <w:t xml:space="preserve">dodatna sredstva u iznosu od 29,8 milijuna eura za socijalne pomoći i naknade, </w:t>
      </w:r>
    </w:p>
    <w:p w:rsidR="00F21197" w:rsidRPr="008E0004" w:rsidRDefault="00F21197" w:rsidP="00F21197">
      <w:pPr>
        <w:pStyle w:val="ListParagraph"/>
        <w:numPr>
          <w:ilvl w:val="0"/>
          <w:numId w:val="6"/>
        </w:numPr>
        <w:spacing w:after="0"/>
        <w:jc w:val="both"/>
        <w:rPr>
          <w:rFonts w:cstheme="minorHAnsi"/>
          <w:lang w:val="hr-HR"/>
        </w:rPr>
      </w:pPr>
      <w:r w:rsidRPr="008E0004">
        <w:rPr>
          <w:rFonts w:cstheme="minorHAnsi"/>
          <w:lang w:val="hr-HR"/>
        </w:rPr>
        <w:t>besplatan obrok za učenike u osnovnim školama u iznosu od 24,1 milijun eura,</w:t>
      </w:r>
    </w:p>
    <w:p w:rsidR="00F21197" w:rsidRPr="008E0004" w:rsidRDefault="00F21197" w:rsidP="00F21197">
      <w:pPr>
        <w:pStyle w:val="ListParagraph"/>
        <w:numPr>
          <w:ilvl w:val="0"/>
          <w:numId w:val="6"/>
        </w:numPr>
        <w:spacing w:after="0"/>
        <w:jc w:val="both"/>
        <w:rPr>
          <w:rFonts w:cstheme="minorHAnsi"/>
          <w:lang w:val="hr-HR"/>
        </w:rPr>
      </w:pPr>
      <w:r w:rsidRPr="008E0004">
        <w:rPr>
          <w:rFonts w:cstheme="minorHAnsi"/>
          <w:lang w:val="hr-HR"/>
        </w:rPr>
        <w:t>financijsk</w:t>
      </w:r>
      <w:r w:rsidR="00690FC0">
        <w:rPr>
          <w:rFonts w:cstheme="minorHAnsi"/>
          <w:lang w:val="hr-HR"/>
        </w:rPr>
        <w:t>e</w:t>
      </w:r>
      <w:r w:rsidRPr="008E0004">
        <w:rPr>
          <w:rFonts w:cstheme="minorHAnsi"/>
          <w:lang w:val="hr-HR"/>
        </w:rPr>
        <w:t xml:space="preserve"> rashod</w:t>
      </w:r>
      <w:r w:rsidR="00690FC0">
        <w:rPr>
          <w:rFonts w:cstheme="minorHAnsi"/>
          <w:lang w:val="hr-HR"/>
        </w:rPr>
        <w:t>e</w:t>
      </w:r>
      <w:r w:rsidRPr="008E0004">
        <w:rPr>
          <w:rFonts w:cstheme="minorHAnsi"/>
          <w:lang w:val="hr-HR"/>
        </w:rPr>
        <w:t xml:space="preserve"> (kamate i ostali financijski rashodi) u iznosu od 19,7 milijuna eura,</w:t>
      </w:r>
    </w:p>
    <w:p w:rsidR="00F21197" w:rsidRPr="008E0004" w:rsidRDefault="00690FC0" w:rsidP="00F21197">
      <w:pPr>
        <w:pStyle w:val="ListParagraph"/>
        <w:numPr>
          <w:ilvl w:val="0"/>
          <w:numId w:val="6"/>
        </w:numPr>
        <w:spacing w:after="0"/>
        <w:jc w:val="both"/>
        <w:rPr>
          <w:rFonts w:cstheme="minorHAnsi"/>
          <w:lang w:val="hr-HR"/>
        </w:rPr>
      </w:pPr>
      <w:r>
        <w:rPr>
          <w:rFonts w:cstheme="minorHAnsi"/>
          <w:lang w:val="hr-HR"/>
        </w:rPr>
        <w:t>potporu</w:t>
      </w:r>
      <w:r w:rsidR="00F21197" w:rsidRPr="008E0004">
        <w:rPr>
          <w:rFonts w:cstheme="minorHAnsi"/>
          <w:lang w:val="hr-HR"/>
        </w:rPr>
        <w:t xml:space="preserve"> županijskim upravama za ceste u iznosu od 14,9 milijuna eura i</w:t>
      </w:r>
    </w:p>
    <w:p w:rsidR="00F21197" w:rsidRPr="008E0004" w:rsidRDefault="00F21197" w:rsidP="00F21197">
      <w:pPr>
        <w:pStyle w:val="ListParagraph"/>
        <w:numPr>
          <w:ilvl w:val="0"/>
          <w:numId w:val="6"/>
        </w:numPr>
        <w:spacing w:after="0"/>
        <w:jc w:val="both"/>
        <w:rPr>
          <w:rFonts w:cstheme="minorHAnsi"/>
          <w:lang w:val="hr-HR"/>
        </w:rPr>
      </w:pPr>
      <w:r w:rsidRPr="008E0004">
        <w:rPr>
          <w:rFonts w:cstheme="minorHAnsi"/>
          <w:lang w:val="hr-HR"/>
        </w:rPr>
        <w:t>dodatni rodiljni dopust u iznosu od 14,8 milijuna eura.</w:t>
      </w:r>
    </w:p>
    <w:p w:rsidR="00F21197" w:rsidRPr="008E0004" w:rsidRDefault="00F21197" w:rsidP="00F21197">
      <w:pPr>
        <w:spacing w:after="0"/>
        <w:jc w:val="both"/>
        <w:rPr>
          <w:rFonts w:cstheme="minorHAnsi"/>
          <w:lang w:val="hr-HR"/>
        </w:rPr>
      </w:pPr>
    </w:p>
    <w:p w:rsidR="0054100C" w:rsidRPr="003459A2" w:rsidRDefault="00F21197" w:rsidP="00F21197">
      <w:pPr>
        <w:spacing w:after="0"/>
        <w:jc w:val="both"/>
        <w:rPr>
          <w:rFonts w:cstheme="minorHAnsi"/>
          <w:lang w:val="hr-HR"/>
        </w:rPr>
      </w:pPr>
      <w:r w:rsidRPr="008E0004">
        <w:rPr>
          <w:rFonts w:cstheme="minorHAnsi"/>
          <w:lang w:val="hr-HR"/>
        </w:rPr>
        <w:t>Rashodi koji se financiraju iz EU i ostalih izvora ovim se Izmjenama i dopunama smanjuju se za  159,1 milijuna eura. U okviru ovih rashoda rashodi koji se financiraju iz EU izvora smanjuju se za 436,7 milijuna eura uslijed usklađenja s dinamikom provedbe projekata krajnjih korisnika. Istovremeno za 277,5 milijuna eura povećavaju se rashodi koji se financiraju iz ostalih izvora, prvenstveno kao rezultat osiguranja dodatnih sredstava za ustanove u zdravstvu financirane iz prihoda temeljem ugovornog odnosa sa Hrvatskim zavodom za zdravstveno osiguranje u iznosu od 154,3 milijuna eura.</w:t>
      </w:r>
    </w:p>
    <w:p w:rsidR="0054100C" w:rsidRPr="003459A2" w:rsidRDefault="0054100C" w:rsidP="0054100C">
      <w:pPr>
        <w:pStyle w:val="Caption"/>
        <w:rPr>
          <w:rFonts w:asciiTheme="minorHAnsi" w:hAnsiTheme="minorHAnsi" w:cstheme="minorHAnsi"/>
          <w:b w:val="0"/>
          <w:i/>
          <w:sz w:val="22"/>
          <w:szCs w:val="22"/>
        </w:rPr>
      </w:pPr>
    </w:p>
    <w:p w:rsidR="0054100C" w:rsidRDefault="00F03484" w:rsidP="0054100C">
      <w:pPr>
        <w:pStyle w:val="Caption"/>
        <w:rPr>
          <w:rFonts w:asciiTheme="minorHAnsi" w:hAnsiTheme="minorHAnsi" w:cstheme="minorHAnsi"/>
          <w:b w:val="0"/>
          <w:i/>
          <w:sz w:val="22"/>
          <w:szCs w:val="22"/>
        </w:rPr>
      </w:pPr>
      <w:r>
        <w:rPr>
          <w:rFonts w:asciiTheme="minorHAnsi" w:hAnsiTheme="minorHAnsi" w:cstheme="minorHAnsi"/>
          <w:b w:val="0"/>
          <w:i/>
          <w:sz w:val="22"/>
          <w:szCs w:val="22"/>
        </w:rPr>
        <w:t>Tablica 3</w:t>
      </w:r>
      <w:r w:rsidR="0054100C" w:rsidRPr="003459A2">
        <w:rPr>
          <w:rFonts w:asciiTheme="minorHAnsi" w:hAnsiTheme="minorHAnsi" w:cstheme="minorHAnsi"/>
          <w:b w:val="0"/>
          <w:i/>
          <w:sz w:val="22"/>
          <w:szCs w:val="22"/>
        </w:rPr>
        <w:t>. Ukupni rashodi državnog proračuna po ekonomskoj klasifikaciji</w:t>
      </w:r>
    </w:p>
    <w:p w:rsidR="003459A2" w:rsidRPr="003459A2" w:rsidRDefault="00F21197" w:rsidP="003459A2">
      <w:pPr>
        <w:rPr>
          <w:lang w:val="hr-HR"/>
        </w:rPr>
      </w:pPr>
      <w:r w:rsidRPr="008E0004">
        <w:rPr>
          <w:noProof/>
          <w:lang w:val="hr-HR" w:eastAsia="hr-HR"/>
        </w:rPr>
        <w:drawing>
          <wp:inline distT="0" distB="0" distL="0" distR="0" wp14:anchorId="1C55A107" wp14:editId="1C0F4484">
            <wp:extent cx="5759450" cy="2390246"/>
            <wp:effectExtent l="0" t="0" r="0" b="0"/>
            <wp:docPr id="2" name="Slik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59450" cy="2390246"/>
                    </a:xfrm>
                    <a:prstGeom prst="rect">
                      <a:avLst/>
                    </a:prstGeom>
                    <a:noFill/>
                    <a:ln>
                      <a:noFill/>
                    </a:ln>
                  </pic:spPr>
                </pic:pic>
              </a:graphicData>
            </a:graphic>
          </wp:inline>
        </w:drawing>
      </w:r>
    </w:p>
    <w:p w:rsidR="0054100C" w:rsidRDefault="0054100C" w:rsidP="0054100C">
      <w:pPr>
        <w:rPr>
          <w:rFonts w:cstheme="minorHAnsi"/>
          <w:i/>
          <w:lang w:val="hr-HR"/>
        </w:rPr>
      </w:pPr>
      <w:r w:rsidRPr="003459A2">
        <w:rPr>
          <w:rFonts w:cstheme="minorHAnsi"/>
          <w:i/>
          <w:lang w:val="hr-HR"/>
        </w:rPr>
        <w:t>Izvor: Ministarstvo financija</w:t>
      </w:r>
    </w:p>
    <w:p w:rsidR="00527CC0" w:rsidRDefault="00527CC0" w:rsidP="0054100C">
      <w:pPr>
        <w:rPr>
          <w:rFonts w:cstheme="minorHAnsi"/>
          <w:i/>
          <w:lang w:val="hr-HR"/>
        </w:rPr>
      </w:pPr>
    </w:p>
    <w:p w:rsidR="00527CC0" w:rsidRPr="003459A2" w:rsidRDefault="00527CC0" w:rsidP="0054100C">
      <w:pPr>
        <w:rPr>
          <w:rFonts w:cstheme="minorHAnsi"/>
          <w:noProof/>
          <w:lang w:val="hr-HR" w:eastAsia="hr-HR"/>
        </w:rPr>
      </w:pPr>
    </w:p>
    <w:p w:rsidR="005874C7" w:rsidRPr="005874C7" w:rsidRDefault="005874C7" w:rsidP="005874C7">
      <w:pPr>
        <w:pStyle w:val="Heading2"/>
        <w:numPr>
          <w:ilvl w:val="1"/>
          <w:numId w:val="3"/>
        </w:numPr>
        <w:spacing w:after="240"/>
        <w:ind w:left="993" w:hanging="567"/>
        <w:rPr>
          <w:rFonts w:asciiTheme="minorHAnsi" w:hAnsiTheme="minorHAnsi" w:cstheme="minorHAnsi"/>
          <w:sz w:val="22"/>
          <w:szCs w:val="22"/>
          <w:lang w:val="hr-HR"/>
        </w:rPr>
      </w:pPr>
      <w:bookmarkStart w:id="12" w:name="_Toc147939403"/>
      <w:r w:rsidRPr="005874C7">
        <w:rPr>
          <w:rFonts w:asciiTheme="minorHAnsi" w:hAnsiTheme="minorHAnsi" w:cstheme="minorHAnsi"/>
          <w:sz w:val="22"/>
          <w:szCs w:val="22"/>
          <w:lang w:val="hr-HR"/>
        </w:rPr>
        <w:lastRenderedPageBreak/>
        <w:t>Obrazloženje rashoda po ekonomskoj klasifikaciji</w:t>
      </w:r>
      <w:bookmarkEnd w:id="12"/>
    </w:p>
    <w:p w:rsidR="0054100C" w:rsidRDefault="0054100C" w:rsidP="0054100C">
      <w:pPr>
        <w:pStyle w:val="ListParagraph"/>
        <w:spacing w:after="0" w:line="240" w:lineRule="auto"/>
        <w:ind w:left="360"/>
        <w:jc w:val="both"/>
        <w:rPr>
          <w:rFonts w:cstheme="minorHAnsi"/>
          <w:b/>
          <w:highlight w:val="yellow"/>
          <w:lang w:val="hr-HR"/>
        </w:rPr>
      </w:pPr>
    </w:p>
    <w:p w:rsidR="00135C45" w:rsidRPr="008E0004" w:rsidRDefault="00135C45" w:rsidP="00135C45">
      <w:pPr>
        <w:spacing w:after="0"/>
        <w:jc w:val="both"/>
        <w:rPr>
          <w:rFonts w:cstheme="minorHAnsi"/>
          <w:b/>
          <w:lang w:val="hr-HR"/>
        </w:rPr>
      </w:pPr>
      <w:r w:rsidRPr="008E0004">
        <w:rPr>
          <w:rFonts w:cstheme="minorHAnsi"/>
          <w:b/>
          <w:lang w:val="hr-HR"/>
        </w:rPr>
        <w:t>Rashodi poslovanja</w:t>
      </w:r>
    </w:p>
    <w:p w:rsidR="00135C45" w:rsidRPr="008E0004" w:rsidRDefault="00135C45" w:rsidP="00135C45">
      <w:pPr>
        <w:spacing w:after="0"/>
        <w:jc w:val="both"/>
        <w:rPr>
          <w:rFonts w:cstheme="minorHAnsi"/>
          <w:lang w:val="hr-HR"/>
        </w:rPr>
      </w:pPr>
      <w:r w:rsidRPr="008E0004">
        <w:rPr>
          <w:rFonts w:cstheme="minorHAnsi"/>
          <w:lang w:val="hr-HR"/>
        </w:rPr>
        <w:t>Ukupni rashodi poslovanja povećavaju se za 1,4 milijarde eura i iznose 27,4 milijarde eura. Navedeno je rezultat povećanja rashoda financiranih iz općih prihoda i primitaka, doprinosa i namjenskih primitaka.</w:t>
      </w:r>
    </w:p>
    <w:p w:rsidR="00135C45" w:rsidRPr="008E0004" w:rsidRDefault="00135C45" w:rsidP="00135C45">
      <w:pPr>
        <w:spacing w:after="0"/>
        <w:jc w:val="both"/>
        <w:rPr>
          <w:rFonts w:cstheme="minorHAnsi"/>
          <w:lang w:val="hr-HR"/>
        </w:rPr>
      </w:pPr>
    </w:p>
    <w:p w:rsidR="00135C45" w:rsidRPr="008E0004" w:rsidRDefault="00135C45" w:rsidP="00135C45">
      <w:pPr>
        <w:spacing w:after="0"/>
        <w:jc w:val="both"/>
        <w:rPr>
          <w:rFonts w:cstheme="minorHAnsi"/>
          <w:b/>
          <w:i/>
          <w:lang w:val="hr-HR"/>
        </w:rPr>
      </w:pPr>
      <w:r w:rsidRPr="008E0004">
        <w:rPr>
          <w:rFonts w:cstheme="minorHAnsi"/>
          <w:b/>
          <w:i/>
          <w:lang w:val="hr-HR"/>
        </w:rPr>
        <w:t>Rashodi za zaposlene</w:t>
      </w:r>
    </w:p>
    <w:p w:rsidR="00135C45" w:rsidRPr="008E0004" w:rsidRDefault="00135C45" w:rsidP="00135C45">
      <w:pPr>
        <w:spacing w:after="0"/>
        <w:jc w:val="both"/>
        <w:rPr>
          <w:rFonts w:cstheme="minorHAnsi"/>
          <w:lang w:val="hr-HR"/>
        </w:rPr>
      </w:pPr>
      <w:r w:rsidRPr="008E0004">
        <w:rPr>
          <w:rFonts w:cstheme="minorHAnsi"/>
          <w:lang w:val="hr-HR"/>
        </w:rPr>
        <w:t>Ukupni rashodi za zaposlene ovim su Izmjenama i dopunama planirani n</w:t>
      </w:r>
      <w:r w:rsidR="007E5126">
        <w:rPr>
          <w:rFonts w:cstheme="minorHAnsi"/>
          <w:lang w:val="hr-HR"/>
        </w:rPr>
        <w:t xml:space="preserve">a razini od 3,9 milijardi eura </w:t>
      </w:r>
      <w:r w:rsidRPr="008E0004">
        <w:rPr>
          <w:rFonts w:cstheme="minorHAnsi"/>
          <w:lang w:val="hr-HR"/>
        </w:rPr>
        <w:t xml:space="preserve">što je povećanje za 161,6 milijuna eura u odnosu na tekući plan. Ova skupina rashoda ne uključuje rashode za zaposlene u osnovnom i srednjem školstvu koji su iskazani u okviru pomoći danih u inozemstvo i unutar općeg proračuna. Povećanje rashoda za zaposlene prvenstveno je rezultat osiguranja sredstava za isplate privremenih dodatka na plaću. </w:t>
      </w:r>
    </w:p>
    <w:p w:rsidR="00135C45" w:rsidRPr="008E0004" w:rsidRDefault="00135C45" w:rsidP="00135C45">
      <w:pPr>
        <w:spacing w:after="0"/>
        <w:jc w:val="both"/>
        <w:rPr>
          <w:rFonts w:cstheme="minorHAnsi"/>
          <w:lang w:val="hr-HR"/>
        </w:rPr>
      </w:pPr>
    </w:p>
    <w:p w:rsidR="00135C45" w:rsidRPr="008E0004" w:rsidRDefault="00135C45" w:rsidP="00135C45">
      <w:pPr>
        <w:spacing w:after="0"/>
        <w:jc w:val="both"/>
        <w:rPr>
          <w:rFonts w:cstheme="minorHAnsi"/>
          <w:lang w:val="hr-HR"/>
        </w:rPr>
      </w:pPr>
      <w:r w:rsidRPr="008E0004">
        <w:rPr>
          <w:rFonts w:cstheme="minorHAnsi"/>
          <w:lang w:val="hr-HR"/>
        </w:rPr>
        <w:t xml:space="preserve">Naime, radi sveobuhvatnog rješavanja niskih plaća državnih službenika i namještenika te službenika i namještenika u javnim službama te ublažavanja posljedica rasta troškova života službenicima i namještenicima s najnižim primanjima Odlukom Vlade Republike Hrvatske od 15. lipnja 2023. određena je privremena zaštitna mjera u vidu isplate privremenog dodatka na plaću u neto iznosu od 100, 80 i 60 eura mjesečno, ovisno o pripadnosti pojedinog radnog mjesta službenika i namještenika odgovarajućem razredu raspona koeficijenata složenosti poslova. Ova Odluka se odnosi na sve dijelove državne službe (uključujući policiju, carinu, poreznu upravu, Državni inspektorat i službu vanjskih poslova u sjedištu Ministarstva vanjskih poslova, čiji su koeficijenti uređeni posebnim propisima) i sve javne službe, a obuhvaćena su radna mjesta s propisanim koeficijentima u rasponu od najnižeg koeficijenta u državnoj službi i javnim službama 0,631 do koeficijenta 1,867. </w:t>
      </w:r>
    </w:p>
    <w:p w:rsidR="00135C45" w:rsidRPr="008E0004" w:rsidRDefault="00135C45" w:rsidP="00135C45">
      <w:pPr>
        <w:spacing w:after="0"/>
        <w:jc w:val="both"/>
        <w:rPr>
          <w:rFonts w:cstheme="minorHAnsi"/>
          <w:lang w:val="hr-HR"/>
        </w:rPr>
      </w:pPr>
    </w:p>
    <w:p w:rsidR="00135C45" w:rsidRPr="008E0004" w:rsidRDefault="00135C45" w:rsidP="00135C45">
      <w:pPr>
        <w:spacing w:after="0"/>
        <w:jc w:val="both"/>
        <w:rPr>
          <w:rFonts w:cstheme="minorHAnsi"/>
          <w:lang w:val="hr-HR"/>
        </w:rPr>
      </w:pPr>
      <w:r w:rsidRPr="008E0004">
        <w:rPr>
          <w:rFonts w:cstheme="minorHAnsi"/>
          <w:lang w:val="hr-HR"/>
        </w:rPr>
        <w:t xml:space="preserve">Nadalje, kako bi se poboljšao materijalni položaj državnih službenika i namještenika u pravosudnim tijelima do donošenja novog Zakona o plaćama u državnoj službi i javnim službama, Vlada Republike Hrvatske je 27. srpnja 2023. donijela i Odluku o isplati dodatka na plaću državnim službenicima i namještenicima u pravosudnim tijelima. Ovom Odlukom državnim službenicima i namještenicima u pravosudnim tijelima, raspoređenim na radna mjesta za koje je utvrđen koeficijent složenosti poslova do 2,30, određena je isplata dodatka na plaću u visini od 12%. </w:t>
      </w:r>
    </w:p>
    <w:p w:rsidR="00135C45" w:rsidRPr="008E0004" w:rsidRDefault="00135C45" w:rsidP="00135C45">
      <w:pPr>
        <w:spacing w:after="0"/>
        <w:jc w:val="both"/>
        <w:rPr>
          <w:rFonts w:cstheme="minorHAnsi"/>
          <w:lang w:val="hr-HR"/>
        </w:rPr>
      </w:pPr>
    </w:p>
    <w:p w:rsidR="00135C45" w:rsidRPr="008E0004" w:rsidRDefault="00135C45" w:rsidP="00135C45">
      <w:pPr>
        <w:spacing w:after="0"/>
        <w:jc w:val="both"/>
        <w:rPr>
          <w:rFonts w:cstheme="minorHAnsi"/>
          <w:lang w:val="hr-HR"/>
        </w:rPr>
      </w:pPr>
      <w:r w:rsidRPr="008E0004">
        <w:rPr>
          <w:rFonts w:cstheme="minorHAnsi"/>
          <w:lang w:val="hr-HR"/>
        </w:rPr>
        <w:t xml:space="preserve">Osim toga, 24. kolovoza 2023. je radi daljnjeg poboljšanja materijalnog položaj državnih službenika i namještenika do donošenja novog Zakona o plaćama u državnoj službi i javnim službama, a kako bi im se pomoglo nositi s ekonomskim, financijskim i socijalnim izazovima donesena je i dodatna Odluka o isplati dodatka na plaću državnim službenicima i namještenicima. Ovom Odlukom uređena je isplata dodatka na plaću policijskim službenicima srednje stručne spreme, raspoređenim na radna mjesta srednje stručne spreme u visini od 10% odnosno u visini od 5% ovisno o osnovnom koeficijentu složenosti poslova i dodacima koje ostvaruje temeljem Uredbe o plaćama policijskih službenika. Osim toga, isplata dodatka u visini od 10% odnosno u visini od 5% ovisno o osnovnom koeficijentu složenosti poslova uređena je i za službenike pravosudne policije, službenike Ministarstva financija, Porezne uprave te službenike Ministarstva financija, Carinske uprave. Ostalim državnim službenicima i namještenicima u tijelima državne uprave i drugim državnim tijelima raspoređenim na radna mjesta za koje je utvrđen koeficijent složenosti poslova do 1,867, a koji nemaju pravo na dodatak za poslove s </w:t>
      </w:r>
      <w:r w:rsidRPr="008E0004">
        <w:rPr>
          <w:rFonts w:cstheme="minorHAnsi"/>
          <w:lang w:val="hr-HR"/>
        </w:rPr>
        <w:lastRenderedPageBreak/>
        <w:t>posebnim uvjetima rada odnosno dodatak za specifičnost poslova ili drugi dodatak utvrđen posebnim propisom ili sporazumom, određena je isplata dodatka na plaću u visini od 10%, a ako imaju pravo na takav dodatak u iznosu manjem od 10%, određena je isplata dodatka na plaću u visini razlike do 10%.</w:t>
      </w:r>
    </w:p>
    <w:p w:rsidR="00135C45" w:rsidRPr="008E0004" w:rsidRDefault="00135C45" w:rsidP="00135C45">
      <w:pPr>
        <w:spacing w:after="0"/>
        <w:jc w:val="both"/>
        <w:rPr>
          <w:rFonts w:cstheme="minorHAnsi"/>
          <w:lang w:val="hr-HR"/>
        </w:rPr>
      </w:pPr>
    </w:p>
    <w:p w:rsidR="00135C45" w:rsidRPr="008E0004" w:rsidRDefault="00135C45" w:rsidP="00135C45">
      <w:pPr>
        <w:spacing w:after="0"/>
        <w:jc w:val="both"/>
        <w:rPr>
          <w:rFonts w:cstheme="minorHAnsi"/>
          <w:b/>
          <w:i/>
          <w:lang w:val="hr-HR"/>
        </w:rPr>
      </w:pPr>
      <w:r w:rsidRPr="008E0004">
        <w:rPr>
          <w:rFonts w:cstheme="minorHAnsi"/>
          <w:b/>
          <w:i/>
          <w:lang w:val="hr-HR"/>
        </w:rPr>
        <w:t>Materijalni rashodi</w:t>
      </w:r>
    </w:p>
    <w:p w:rsidR="00135C45" w:rsidRPr="008E0004" w:rsidRDefault="00135C45" w:rsidP="00135C45">
      <w:pPr>
        <w:spacing w:after="0"/>
        <w:jc w:val="both"/>
        <w:rPr>
          <w:rFonts w:cstheme="minorHAnsi"/>
          <w:lang w:val="hr-HR"/>
        </w:rPr>
      </w:pPr>
      <w:r w:rsidRPr="008E0004">
        <w:rPr>
          <w:rFonts w:cstheme="minorHAnsi"/>
          <w:lang w:val="hr-HR"/>
        </w:rPr>
        <w:t xml:space="preserve">Ukupni materijalni rashodi se ovim Izmjenama i dopunama povećavaju za 111,4 milijuna eura pri čemu se gotovo cijeli rast (104,9 milijuna eura) odnosi na rashode financirane iz EU i ostalih izvora zbog osiguranja dodatnih sredstava za ustanove u zdravstvu financirane iz prihoda temeljem ugovornog odnosa sa Hrvatskim zavodom za zdravstveno osiguranje. </w:t>
      </w:r>
    </w:p>
    <w:p w:rsidR="00135C45" w:rsidRPr="008E0004" w:rsidRDefault="00135C45" w:rsidP="00135C45">
      <w:pPr>
        <w:spacing w:after="0"/>
        <w:jc w:val="both"/>
        <w:rPr>
          <w:rFonts w:cstheme="minorHAnsi"/>
          <w:b/>
          <w:i/>
          <w:lang w:val="hr-HR"/>
        </w:rPr>
      </w:pPr>
    </w:p>
    <w:p w:rsidR="00135C45" w:rsidRPr="008E0004" w:rsidRDefault="00135C45" w:rsidP="00135C45">
      <w:pPr>
        <w:spacing w:after="0"/>
        <w:jc w:val="both"/>
        <w:rPr>
          <w:rFonts w:cstheme="minorHAnsi"/>
          <w:b/>
          <w:i/>
          <w:lang w:val="hr-HR"/>
        </w:rPr>
      </w:pPr>
      <w:r w:rsidRPr="008E0004">
        <w:rPr>
          <w:rFonts w:cstheme="minorHAnsi"/>
          <w:b/>
          <w:i/>
          <w:lang w:val="hr-HR"/>
        </w:rPr>
        <w:t>Financijski rashodi</w:t>
      </w:r>
    </w:p>
    <w:p w:rsidR="00135C45" w:rsidRPr="008E0004" w:rsidRDefault="00135C45" w:rsidP="00135C45">
      <w:pPr>
        <w:spacing w:after="0"/>
        <w:jc w:val="both"/>
        <w:rPr>
          <w:rFonts w:cstheme="minorHAnsi"/>
          <w:lang w:val="hr-HR"/>
        </w:rPr>
      </w:pPr>
      <w:r w:rsidRPr="008E0004">
        <w:rPr>
          <w:rFonts w:cstheme="minorHAnsi"/>
          <w:lang w:val="hr-HR"/>
        </w:rPr>
        <w:t xml:space="preserve">Financijski rashodi, koje čine kamate za izdane vrijednosne papire, kamate za primljene zajmove i ostali financijski rashodi, projicirani su u skladu sa stanjem uvjeta na financijskim tržištima, odnosno troškovima servisiranja javnog duga. </w:t>
      </w:r>
    </w:p>
    <w:p w:rsidR="00135C45" w:rsidRPr="008E0004" w:rsidRDefault="00135C45" w:rsidP="00135C45">
      <w:pPr>
        <w:spacing w:after="0"/>
        <w:jc w:val="both"/>
        <w:rPr>
          <w:rFonts w:cstheme="minorHAnsi"/>
          <w:bCs/>
          <w:lang w:val="hr-HR"/>
        </w:rPr>
      </w:pPr>
    </w:p>
    <w:p w:rsidR="00135C45" w:rsidRPr="008E0004" w:rsidRDefault="00135C45" w:rsidP="00135C45">
      <w:pPr>
        <w:spacing w:after="0"/>
        <w:jc w:val="both"/>
        <w:rPr>
          <w:rFonts w:cstheme="minorHAnsi"/>
          <w:b/>
          <w:i/>
          <w:lang w:val="hr-HR"/>
        </w:rPr>
      </w:pPr>
      <w:r w:rsidRPr="008E0004">
        <w:rPr>
          <w:rFonts w:cstheme="minorHAnsi"/>
          <w:bCs/>
          <w:lang w:val="hr-HR"/>
        </w:rPr>
        <w:t xml:space="preserve">Isti su ovim Izmjenama i dopunama planirani su na razini od 1,0 milijardu eura i u odnosu na tekući plan povećavaju se za 22,2 milijuna eura. </w:t>
      </w:r>
    </w:p>
    <w:p w:rsidR="00135C45" w:rsidRPr="008E0004" w:rsidRDefault="00135C45" w:rsidP="00135C45">
      <w:pPr>
        <w:spacing w:after="0"/>
        <w:jc w:val="both"/>
        <w:rPr>
          <w:rFonts w:cstheme="minorHAnsi"/>
          <w:b/>
          <w:i/>
          <w:lang w:val="hr-HR"/>
        </w:rPr>
      </w:pPr>
    </w:p>
    <w:p w:rsidR="00135C45" w:rsidRPr="008E0004" w:rsidRDefault="00135C45" w:rsidP="00135C45">
      <w:pPr>
        <w:spacing w:after="0"/>
        <w:jc w:val="both"/>
        <w:rPr>
          <w:rFonts w:cstheme="minorHAnsi"/>
          <w:b/>
          <w:i/>
          <w:lang w:val="hr-HR"/>
        </w:rPr>
      </w:pPr>
      <w:r w:rsidRPr="008E0004">
        <w:rPr>
          <w:rFonts w:cstheme="minorHAnsi"/>
          <w:b/>
          <w:i/>
          <w:lang w:val="hr-HR"/>
        </w:rPr>
        <w:t>Subvencije</w:t>
      </w:r>
    </w:p>
    <w:p w:rsidR="00135C45" w:rsidRPr="008E0004" w:rsidRDefault="00135C45" w:rsidP="00135C45">
      <w:pPr>
        <w:spacing w:after="0"/>
        <w:jc w:val="both"/>
        <w:rPr>
          <w:rFonts w:cstheme="minorHAnsi"/>
          <w:lang w:val="hr-HR"/>
        </w:rPr>
      </w:pPr>
      <w:r w:rsidRPr="008E0004">
        <w:rPr>
          <w:rFonts w:cstheme="minorHAnsi"/>
          <w:lang w:val="hr-HR"/>
        </w:rPr>
        <w:t xml:space="preserve">Ukupni rashodi za subvencije se u odnosu na tekući plan povećavaju za 213,1 milijuna eura i iznose 1,9 milijardi eura. Navedeno povećanje najvećim dijelom odnosi se na rashode financirane iz općih prihoda i primitaka, doprinosa i namjenskih primitaka uslijed osiguranja sredstava za provedbu novih mjera iz 5. paketa Vlade Republike Hrvatske za zaštitu kućanstva i gospodarstva od rasta cijena kao i nastavak provedbe postojećih mjera. U okviru ove kategorije rashoda planirano je dodatnih 133,0 milijuna eura za ublažavanje rasta cijena energenata i 18,0 milijuna eura za ublažavanje posljedica elementarnih nepogoda poljoprivrednim proizvođačima i posljedica afričke svinjske kuge. </w:t>
      </w:r>
    </w:p>
    <w:p w:rsidR="00135C45" w:rsidRPr="008E0004" w:rsidRDefault="00135C45" w:rsidP="00135C45">
      <w:pPr>
        <w:spacing w:after="0"/>
        <w:jc w:val="both"/>
        <w:rPr>
          <w:rFonts w:cstheme="minorHAnsi"/>
          <w:lang w:val="hr-HR"/>
        </w:rPr>
      </w:pPr>
    </w:p>
    <w:p w:rsidR="00135C45" w:rsidRPr="008E0004" w:rsidRDefault="00135C45" w:rsidP="00135C45">
      <w:pPr>
        <w:spacing w:after="0"/>
        <w:jc w:val="both"/>
        <w:rPr>
          <w:rFonts w:cstheme="minorHAnsi"/>
          <w:b/>
          <w:i/>
          <w:lang w:val="hr-HR"/>
        </w:rPr>
      </w:pPr>
      <w:r w:rsidRPr="008E0004">
        <w:rPr>
          <w:rFonts w:cstheme="minorHAnsi"/>
          <w:b/>
          <w:i/>
          <w:lang w:val="hr-HR"/>
        </w:rPr>
        <w:t>Pomoći dane u inozemstvo i unutar općeg proračuna</w:t>
      </w:r>
    </w:p>
    <w:p w:rsidR="00135C45" w:rsidRPr="008E0004" w:rsidRDefault="00135C45" w:rsidP="00135C45">
      <w:pPr>
        <w:spacing w:after="0"/>
        <w:jc w:val="both"/>
        <w:rPr>
          <w:rFonts w:cstheme="minorHAnsi"/>
          <w:lang w:val="hr-HR"/>
        </w:rPr>
      </w:pPr>
      <w:r w:rsidRPr="008E0004">
        <w:rPr>
          <w:rFonts w:cstheme="minorHAnsi"/>
          <w:lang w:val="hr-HR"/>
        </w:rPr>
        <w:t xml:space="preserve">Ukupne pomoći iznose 6,8 milijardi eura i povećavaju se za 295,2 milijuna eura kao rezultat povećanja rashoda financiranih iz općih prihoda i primitaka, doprinosa i namjenskih primitaka u iznosu od 428,4 milijuna eura te smanjenja rashoda financiranih iz EU i ostalih izvora u iznosu od 133,2 milijuna eura uslijed usklađenja s dinamikom provedbe projekata krajnjih korisnika. </w:t>
      </w:r>
    </w:p>
    <w:p w:rsidR="00135C45" w:rsidRPr="008E0004" w:rsidRDefault="00135C45" w:rsidP="00135C45">
      <w:pPr>
        <w:spacing w:after="0"/>
        <w:jc w:val="both"/>
        <w:rPr>
          <w:rFonts w:cstheme="minorHAnsi"/>
          <w:lang w:val="hr-HR"/>
        </w:rPr>
      </w:pPr>
    </w:p>
    <w:p w:rsidR="00135C45" w:rsidRDefault="00135C45" w:rsidP="00135C45">
      <w:pPr>
        <w:spacing w:after="0"/>
        <w:jc w:val="both"/>
        <w:rPr>
          <w:rFonts w:cstheme="minorHAnsi"/>
          <w:lang w:val="hr-HR"/>
        </w:rPr>
      </w:pPr>
      <w:r w:rsidRPr="008E0004">
        <w:rPr>
          <w:rFonts w:cstheme="minorHAnsi"/>
          <w:lang w:val="hr-HR"/>
        </w:rPr>
        <w:t>Na rast rashoda financiranih iz općih prihoda i primitaka, doprinosa i namjenskih primitaka prvenstveno je utjecalo osiguranje dodatnih sredstava za sanaciju štete od potresa u iznosu od 135,5 milijuna eura. Osim toga u okviru ove kategorije rashoda osigurana su i dodatna sredstva za rashode za zaposlene u osnovnom i srednjem školstvu zbog isplate ugovorenih privremenih dodataka na plaću i to u iznosu od 102,7 milijuna eura. Unutar ove kategorije rashoda planirana su i dodatna sredstva za naknadu u cijeni goriva za HC d.o.o. i HŽ infrastrukturu d.o.o. u iznosu od 92,0 milijuna eura, za doprinos Republike Hrvatske proračunu Europske unije u iznosu od 60,0 milijuna eura, poticanje željezničkog putničkog prijevoza i upravljanje, organizaciju i regulaciju željezničkog prometa u iznosu od 35,4 milijuna eura, besplatan obrok za učenike u osnovnim školama u iznosu od 24,1 milijun eura i potporu županijskim upravama za ceste u iznosu od 14,9 milijuna eura.</w:t>
      </w:r>
    </w:p>
    <w:p w:rsidR="005A3FA6" w:rsidRPr="008E0004" w:rsidRDefault="005A3FA6" w:rsidP="00135C45">
      <w:pPr>
        <w:spacing w:after="0"/>
        <w:jc w:val="both"/>
        <w:rPr>
          <w:rFonts w:cstheme="minorHAnsi"/>
          <w:lang w:val="hr-HR"/>
        </w:rPr>
      </w:pPr>
    </w:p>
    <w:p w:rsidR="00135C45" w:rsidRPr="008E0004" w:rsidRDefault="00135C45" w:rsidP="00135C45">
      <w:pPr>
        <w:spacing w:after="0"/>
        <w:jc w:val="both"/>
        <w:rPr>
          <w:rFonts w:cstheme="minorHAnsi"/>
          <w:lang w:val="hr-HR"/>
        </w:rPr>
      </w:pPr>
    </w:p>
    <w:p w:rsidR="00135C45" w:rsidRPr="008E0004" w:rsidRDefault="00135C45" w:rsidP="00135C45">
      <w:pPr>
        <w:spacing w:after="0"/>
        <w:jc w:val="both"/>
        <w:rPr>
          <w:rFonts w:cstheme="minorHAnsi"/>
          <w:lang w:val="hr-HR" w:eastAsia="hr-HR"/>
        </w:rPr>
      </w:pPr>
      <w:r w:rsidRPr="008E0004">
        <w:rPr>
          <w:rFonts w:cstheme="minorHAnsi"/>
          <w:b/>
          <w:i/>
          <w:lang w:val="hr-HR"/>
        </w:rPr>
        <w:lastRenderedPageBreak/>
        <w:t>Naknade građanima i kućanstvima</w:t>
      </w:r>
    </w:p>
    <w:p w:rsidR="00135C45" w:rsidRPr="008E0004" w:rsidRDefault="00135C45" w:rsidP="00135C45">
      <w:pPr>
        <w:spacing w:after="0"/>
        <w:jc w:val="both"/>
        <w:rPr>
          <w:rFonts w:cstheme="minorHAnsi"/>
          <w:lang w:val="hr-HR"/>
        </w:rPr>
      </w:pPr>
      <w:r w:rsidRPr="008E0004">
        <w:rPr>
          <w:rFonts w:cstheme="minorHAnsi"/>
          <w:lang w:val="hr-HR"/>
        </w:rPr>
        <w:t>Ukupne naknade građanima i kućanstvima na temelju osiguranja i druge naknade planirane su na razini od 9,0 milijardi eura i u odnosu na tekući plan povećavaju se za 468,4 milijuna eura. Navedeni rast posljedica je osiguranja dodatnih sredstava iz općih prihoda i primitaka, doprinosa i namjenskih primitaka za mirovine i mirovinska primanja u iznosu od 427,3 milijuna eura s time da je dio ovog povećanja rezultat i prethodno provedenih preraspodjela potrebnih radi isplate mjera pomoći iz 5. paketa Vlade Republike Hrvatske za zaštitu kućanstva i gospodarstva od rasta cijena, a koje su bile izvršene u listopadu ove godine. Unutar ove kategorije rashoda osigurana su i dodatna sredstva za socijalne pomoći i naknade u iznosu od 53,5 milijuna eura i to prvenstveno radi povećanih izdvajanja za osobnu invalidninu u iznosu od 27,0 milijuna eura uslijed očekivanog povećanja broja korisnika.</w:t>
      </w:r>
    </w:p>
    <w:p w:rsidR="00135C45" w:rsidRPr="008E0004" w:rsidRDefault="00135C45" w:rsidP="00135C45">
      <w:pPr>
        <w:spacing w:after="0"/>
        <w:jc w:val="both"/>
        <w:rPr>
          <w:rFonts w:cstheme="minorHAnsi"/>
          <w:lang w:val="hr-HR"/>
        </w:rPr>
      </w:pPr>
    </w:p>
    <w:p w:rsidR="00135C45" w:rsidRPr="008E0004" w:rsidRDefault="00135C45" w:rsidP="00135C45">
      <w:pPr>
        <w:spacing w:after="0"/>
        <w:jc w:val="both"/>
        <w:rPr>
          <w:rFonts w:cstheme="minorHAnsi"/>
          <w:b/>
          <w:i/>
          <w:lang w:val="hr-HR"/>
        </w:rPr>
      </w:pPr>
      <w:r w:rsidRPr="008E0004">
        <w:rPr>
          <w:rFonts w:cstheme="minorHAnsi"/>
          <w:b/>
          <w:i/>
          <w:lang w:val="hr-HR"/>
        </w:rPr>
        <w:t xml:space="preserve">Ostali rashodi </w:t>
      </w:r>
    </w:p>
    <w:p w:rsidR="00135C45" w:rsidRPr="008E0004" w:rsidRDefault="00135C45" w:rsidP="00135C45">
      <w:pPr>
        <w:spacing w:after="0"/>
        <w:jc w:val="both"/>
        <w:rPr>
          <w:rFonts w:cstheme="minorHAnsi"/>
          <w:lang w:val="hr-HR"/>
        </w:rPr>
      </w:pPr>
      <w:r w:rsidRPr="008E0004">
        <w:rPr>
          <w:rFonts w:cstheme="minorHAnsi"/>
          <w:lang w:val="hr-HR"/>
        </w:rPr>
        <w:t>Ukupni ostali rashodi povećavaju se za 122,3 milijuna eura i to zbog povećanja rashoda financiranih iz općih prihoda i primitaka, doprinosa i namjenskih primitaka u iznosu od 167,5 milijuna eura</w:t>
      </w:r>
      <w:r w:rsidRPr="008E0004">
        <w:rPr>
          <w:rFonts w:cstheme="minorHAnsi"/>
          <w:bCs/>
          <w:lang w:val="hr-HR"/>
        </w:rPr>
        <w:t xml:space="preserve"> s jedne strane te s smanjena rashoda </w:t>
      </w:r>
      <w:r w:rsidRPr="008E0004">
        <w:rPr>
          <w:rFonts w:cstheme="minorHAnsi"/>
          <w:lang w:val="hr-HR"/>
        </w:rPr>
        <w:t>financiranih iz EU i ostalih izvora u iznosu od 45,2 milijun eura s druge strane. Povećanje rashoda financiranih iz općih prihoda i primitaka, doprinosa i namjenskih primitaka prvenstveno je rezultat osiguranja sredstava za izgradnju plinovoda Zlobin – Bosiljevo i povećanje kapaciteta LNG terminala (kapitalna pomoć), sredstava za ublažavanje posljedica afričke svinjske kuge i sanaciju šteta od potresa. Smanjenje rashoda financiranih iz EU i ostalih izvora prvenstveno rezultat usklađenja s dinamikom provedbe projekata krajnjih korisnika.</w:t>
      </w:r>
    </w:p>
    <w:p w:rsidR="00135C45" w:rsidRPr="008E0004" w:rsidRDefault="00135C45" w:rsidP="00135C45">
      <w:pPr>
        <w:spacing w:after="0"/>
        <w:jc w:val="both"/>
        <w:rPr>
          <w:rFonts w:cstheme="minorHAnsi"/>
          <w:lang w:val="hr-HR"/>
        </w:rPr>
      </w:pPr>
    </w:p>
    <w:p w:rsidR="00135C45" w:rsidRPr="008E0004" w:rsidRDefault="00135C45" w:rsidP="00135C45">
      <w:pPr>
        <w:spacing w:after="0"/>
        <w:jc w:val="both"/>
        <w:rPr>
          <w:rFonts w:cstheme="minorHAnsi"/>
          <w:b/>
          <w:lang w:val="hr-HR"/>
        </w:rPr>
      </w:pPr>
      <w:r w:rsidRPr="008E0004">
        <w:rPr>
          <w:rFonts w:cstheme="minorHAnsi"/>
          <w:b/>
          <w:lang w:val="hr-HR"/>
        </w:rPr>
        <w:t>Rashodi za nabavu nefinancijske imovine</w:t>
      </w:r>
    </w:p>
    <w:p w:rsidR="00135C45" w:rsidRPr="008E0004" w:rsidRDefault="00135C45" w:rsidP="00135C45">
      <w:pPr>
        <w:spacing w:after="0"/>
        <w:jc w:val="both"/>
        <w:rPr>
          <w:rFonts w:cstheme="minorHAnsi"/>
          <w:lang w:val="hr-HR"/>
        </w:rPr>
      </w:pPr>
      <w:r w:rsidRPr="008E0004">
        <w:rPr>
          <w:rFonts w:cstheme="minorHAnsi"/>
          <w:lang w:val="hr-HR"/>
        </w:rPr>
        <w:t xml:space="preserve">Ukupni rashodi za nabavu nefinancijske imovine se radi usklađenja s dinamikom provedbe projekata krajnjih korisnika smanjuju za 150,5 milijuna eura i iznose 1,9 milijardi eura. </w:t>
      </w:r>
    </w:p>
    <w:p w:rsidR="001F1D66" w:rsidRPr="005D0BFC" w:rsidRDefault="001F1D66" w:rsidP="007C5725">
      <w:pPr>
        <w:spacing w:after="0"/>
        <w:jc w:val="both"/>
        <w:rPr>
          <w:rFonts w:cstheme="minorHAnsi"/>
          <w:highlight w:val="yellow"/>
          <w:lang w:val="hr-HR"/>
        </w:rPr>
      </w:pPr>
    </w:p>
    <w:p w:rsidR="00D46757" w:rsidRDefault="00A461B3" w:rsidP="00D46757">
      <w:pPr>
        <w:pStyle w:val="Heading2"/>
        <w:numPr>
          <w:ilvl w:val="1"/>
          <w:numId w:val="3"/>
        </w:numPr>
        <w:spacing w:after="240"/>
        <w:ind w:left="993" w:hanging="567"/>
        <w:rPr>
          <w:rFonts w:asciiTheme="minorHAnsi" w:hAnsiTheme="minorHAnsi" w:cstheme="minorHAnsi"/>
          <w:sz w:val="22"/>
          <w:szCs w:val="22"/>
          <w:lang w:val="hr-HR"/>
        </w:rPr>
      </w:pPr>
      <w:bookmarkStart w:id="13" w:name="_Toc23378482"/>
      <w:bookmarkStart w:id="14" w:name="_Toc147939404"/>
      <w:r w:rsidRPr="00D46757">
        <w:rPr>
          <w:rFonts w:asciiTheme="minorHAnsi" w:hAnsiTheme="minorHAnsi" w:cstheme="minorHAnsi"/>
          <w:sz w:val="22"/>
          <w:szCs w:val="22"/>
          <w:lang w:val="hr-HR"/>
        </w:rPr>
        <w:t>Obrazloženje rashoda po funkcijskoj klasifikaciji</w:t>
      </w:r>
      <w:bookmarkEnd w:id="13"/>
      <w:bookmarkEnd w:id="14"/>
    </w:p>
    <w:p w:rsidR="0090598D" w:rsidRPr="008E0004" w:rsidRDefault="0090598D" w:rsidP="0090598D">
      <w:pPr>
        <w:spacing w:after="0"/>
        <w:jc w:val="both"/>
        <w:rPr>
          <w:rFonts w:cstheme="minorHAnsi"/>
          <w:lang w:val="hr-HR"/>
        </w:rPr>
      </w:pPr>
      <w:r w:rsidRPr="008E0004">
        <w:rPr>
          <w:rFonts w:cstheme="minorHAnsi"/>
          <w:lang w:val="hr-HR"/>
        </w:rPr>
        <w:t>Gledano kroz funkcijsku klasifikaciju rashodi državnog proračuna povećavaju se za 1,2 milijarde eura, najvećim dijelom uslijed povećanih izdvajanja za:</w:t>
      </w:r>
    </w:p>
    <w:p w:rsidR="0090598D" w:rsidRPr="008E0004" w:rsidRDefault="0090598D" w:rsidP="0090598D">
      <w:pPr>
        <w:pStyle w:val="ListParagraph"/>
        <w:numPr>
          <w:ilvl w:val="0"/>
          <w:numId w:val="11"/>
        </w:numPr>
        <w:spacing w:after="0"/>
        <w:jc w:val="both"/>
        <w:rPr>
          <w:rFonts w:cstheme="minorHAnsi"/>
          <w:lang w:val="hr-HR"/>
        </w:rPr>
      </w:pPr>
      <w:r w:rsidRPr="008E0004">
        <w:rPr>
          <w:rFonts w:cstheme="minorHAnsi"/>
          <w:lang w:val="hr-HR"/>
        </w:rPr>
        <w:t>socijalnu zaštitu u iznosu od 469,5 milijuna eura prvenstveno zbog izdvajanja za mirovine i mirovinska primanja, socijalne pomoći i naknade te dodatni rodiljni dopust,</w:t>
      </w:r>
    </w:p>
    <w:p w:rsidR="0090598D" w:rsidRPr="008E0004" w:rsidRDefault="0090598D" w:rsidP="0090598D">
      <w:pPr>
        <w:pStyle w:val="ListParagraph"/>
        <w:numPr>
          <w:ilvl w:val="0"/>
          <w:numId w:val="11"/>
        </w:numPr>
        <w:spacing w:after="0"/>
        <w:jc w:val="both"/>
        <w:rPr>
          <w:rFonts w:cstheme="minorHAnsi"/>
          <w:lang w:val="hr-HR"/>
        </w:rPr>
      </w:pPr>
      <w:r w:rsidRPr="008E0004">
        <w:rPr>
          <w:rFonts w:cstheme="minorHAnsi"/>
          <w:lang w:val="hr-HR"/>
        </w:rPr>
        <w:t xml:space="preserve">opće javne usluge u iznosu od 336,2 milijuna eura prvenstveno zbog osiguranja sredstava </w:t>
      </w:r>
      <w:r w:rsidRPr="008E0004">
        <w:rPr>
          <w:rFonts w:cstheme="minorHAnsi"/>
          <w:bCs/>
          <w:lang w:val="hr-HR"/>
        </w:rPr>
        <w:t xml:space="preserve">za sanaciju štete od potresa, </w:t>
      </w:r>
      <w:r w:rsidRPr="008E0004">
        <w:rPr>
          <w:rFonts w:cstheme="minorHAnsi"/>
          <w:lang w:val="hr-HR"/>
        </w:rPr>
        <w:t>dodatna sredstva za rashode za zaposlene u osnovnom i srednjem školstvu zbog isplate ugovorenih privremenih dodataka na plaću i doprinos Republike Hrvatske proračunu Europske unije,</w:t>
      </w:r>
    </w:p>
    <w:p w:rsidR="0090598D" w:rsidRPr="008E0004" w:rsidRDefault="0090598D" w:rsidP="0090598D">
      <w:pPr>
        <w:pStyle w:val="ListParagraph"/>
        <w:numPr>
          <w:ilvl w:val="0"/>
          <w:numId w:val="11"/>
        </w:numPr>
        <w:spacing w:after="0"/>
        <w:jc w:val="both"/>
        <w:rPr>
          <w:rFonts w:cstheme="minorHAnsi"/>
          <w:lang w:val="hr-HR"/>
        </w:rPr>
      </w:pPr>
      <w:r w:rsidRPr="008E0004">
        <w:rPr>
          <w:rFonts w:cstheme="minorHAnsi"/>
          <w:lang w:val="hr-HR"/>
        </w:rPr>
        <w:t>zdravstvo u iznosu od 189,8 milijuna eura, a najvećim dijelom zbog osiguranja dodatnih sredstava za ustanove u zdravstvu financirane iz prihoda temeljem ugovornog odnosa sa Hrvatskim zavodom za zdravstveno osiguranje i</w:t>
      </w:r>
    </w:p>
    <w:p w:rsidR="0090598D" w:rsidRDefault="0090598D" w:rsidP="0054100C">
      <w:pPr>
        <w:pStyle w:val="ListParagraph"/>
        <w:numPr>
          <w:ilvl w:val="0"/>
          <w:numId w:val="11"/>
        </w:numPr>
        <w:spacing w:after="0"/>
        <w:jc w:val="both"/>
        <w:rPr>
          <w:rFonts w:cstheme="minorHAnsi"/>
          <w:lang w:val="hr-HR"/>
        </w:rPr>
      </w:pPr>
      <w:r w:rsidRPr="008E0004">
        <w:rPr>
          <w:rFonts w:cstheme="minorHAnsi"/>
          <w:lang w:val="hr-HR"/>
        </w:rPr>
        <w:t xml:space="preserve">ekonomske poslove u iznosu od 122,8 milijuna eura radi </w:t>
      </w:r>
      <w:r w:rsidRPr="008E0004">
        <w:rPr>
          <w:rFonts w:cstheme="minorHAnsi"/>
          <w:bCs/>
          <w:lang w:val="hr-HR"/>
        </w:rPr>
        <w:t>osiguranja sredstava za 5</w:t>
      </w:r>
      <w:r w:rsidRPr="008E0004">
        <w:rPr>
          <w:rFonts w:cstheme="minorHAnsi"/>
          <w:lang w:val="hr-HR"/>
        </w:rPr>
        <w:t>. paket mjera Vlade Republike Hrvatske za zaštitu kućanstva i gospodarstva od rasta cijena, dodatna sredstva za naknadu u cijeni goriva za HC d.o.o. i HŽ infrastrukturu d.o.o., poticanje željezničkog putničkog prijevoza i upravljanje, organizaciju i regulaciju željezničkog prometa i potporu županijskim upravama za ceste u iznosu od 14,9 milijuna eura.</w:t>
      </w:r>
    </w:p>
    <w:p w:rsidR="0054100C" w:rsidRPr="0090598D" w:rsidRDefault="0054100C" w:rsidP="0090598D">
      <w:pPr>
        <w:spacing w:after="0"/>
        <w:jc w:val="both"/>
        <w:rPr>
          <w:rFonts w:cstheme="minorHAnsi"/>
          <w:lang w:val="hr-HR"/>
        </w:rPr>
      </w:pPr>
      <w:r w:rsidRPr="0090598D">
        <w:rPr>
          <w:rFonts w:cstheme="minorHAnsi"/>
          <w:i/>
        </w:rPr>
        <w:lastRenderedPageBreak/>
        <w:t xml:space="preserve">Tablica </w:t>
      </w:r>
      <w:r w:rsidR="00F03484">
        <w:rPr>
          <w:rFonts w:cstheme="minorHAnsi"/>
          <w:i/>
        </w:rPr>
        <w:t>4</w:t>
      </w:r>
      <w:r w:rsidRPr="0090598D">
        <w:rPr>
          <w:rFonts w:cstheme="minorHAnsi"/>
          <w:i/>
        </w:rPr>
        <w:t>. Rashodi državnog proračuna po funkcijskoj klasifikaciji</w:t>
      </w:r>
      <w:r w:rsidRPr="0090598D">
        <w:rPr>
          <w:rFonts w:cstheme="minorHAnsi"/>
        </w:rPr>
        <w:t xml:space="preserve">  </w:t>
      </w:r>
    </w:p>
    <w:p w:rsidR="00D46757" w:rsidRPr="00D46757" w:rsidRDefault="0090598D" w:rsidP="002D1818">
      <w:pPr>
        <w:spacing w:after="120"/>
        <w:rPr>
          <w:lang w:val="hr-HR"/>
        </w:rPr>
      </w:pPr>
      <w:r w:rsidRPr="008E0004">
        <w:rPr>
          <w:noProof/>
          <w:lang w:val="hr-HR" w:eastAsia="hr-HR"/>
        </w:rPr>
        <w:drawing>
          <wp:inline distT="0" distB="0" distL="0" distR="0" wp14:anchorId="409BF706" wp14:editId="3A6084D6">
            <wp:extent cx="5641975" cy="2673985"/>
            <wp:effectExtent l="0" t="0" r="0" b="0"/>
            <wp:docPr id="5" name="Slika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641975" cy="2673985"/>
                    </a:xfrm>
                    <a:prstGeom prst="rect">
                      <a:avLst/>
                    </a:prstGeom>
                    <a:noFill/>
                    <a:ln>
                      <a:noFill/>
                    </a:ln>
                  </pic:spPr>
                </pic:pic>
              </a:graphicData>
            </a:graphic>
          </wp:inline>
        </w:drawing>
      </w:r>
    </w:p>
    <w:p w:rsidR="007C5725" w:rsidRDefault="0054100C" w:rsidP="0054100C">
      <w:pPr>
        <w:rPr>
          <w:rFonts w:cstheme="minorHAnsi"/>
          <w:i/>
        </w:rPr>
      </w:pPr>
      <w:r w:rsidRPr="00D46757">
        <w:rPr>
          <w:rFonts w:cstheme="minorHAnsi"/>
          <w:i/>
        </w:rPr>
        <w:t>Izvor: Ministarstvo financija</w:t>
      </w:r>
    </w:p>
    <w:p w:rsidR="00A77AFD" w:rsidRPr="00D46757" w:rsidRDefault="00A77AFD" w:rsidP="0054100C">
      <w:pPr>
        <w:rPr>
          <w:rFonts w:cstheme="minorHAnsi"/>
          <w:b/>
          <w:i/>
        </w:rPr>
      </w:pPr>
    </w:p>
    <w:p w:rsidR="00E21C16" w:rsidRPr="00DC504A" w:rsidRDefault="00A461B3" w:rsidP="007C5725">
      <w:pPr>
        <w:pStyle w:val="Heading2"/>
        <w:numPr>
          <w:ilvl w:val="1"/>
          <w:numId w:val="3"/>
        </w:numPr>
        <w:spacing w:after="240"/>
        <w:ind w:left="993" w:hanging="567"/>
        <w:rPr>
          <w:rFonts w:asciiTheme="minorHAnsi" w:hAnsiTheme="minorHAnsi" w:cstheme="minorHAnsi"/>
          <w:sz w:val="22"/>
          <w:szCs w:val="22"/>
          <w:lang w:val="hr-HR"/>
        </w:rPr>
      </w:pPr>
      <w:bookmarkStart w:id="15" w:name="_Toc23378483"/>
      <w:bookmarkStart w:id="16" w:name="_Toc147939405"/>
      <w:r w:rsidRPr="00DC504A">
        <w:rPr>
          <w:rFonts w:asciiTheme="minorHAnsi" w:hAnsiTheme="minorHAnsi" w:cstheme="minorHAnsi"/>
          <w:sz w:val="22"/>
          <w:szCs w:val="22"/>
          <w:lang w:val="hr-HR"/>
        </w:rPr>
        <w:t>Obrazloženje rashoda po izvorima financiranja</w:t>
      </w:r>
      <w:bookmarkEnd w:id="15"/>
      <w:bookmarkEnd w:id="16"/>
    </w:p>
    <w:p w:rsidR="00A77AFD" w:rsidRDefault="00A77AFD" w:rsidP="00961B26">
      <w:pPr>
        <w:pStyle w:val="Caption"/>
        <w:spacing w:line="276" w:lineRule="auto"/>
        <w:rPr>
          <w:rFonts w:asciiTheme="minorHAnsi" w:eastAsiaTheme="minorHAnsi" w:hAnsiTheme="minorHAnsi" w:cstheme="minorHAnsi"/>
          <w:b w:val="0"/>
          <w:bCs w:val="0"/>
          <w:sz w:val="22"/>
          <w:szCs w:val="22"/>
        </w:rPr>
      </w:pPr>
    </w:p>
    <w:p w:rsidR="007751CC" w:rsidRPr="008E0004" w:rsidRDefault="007751CC" w:rsidP="007751CC">
      <w:pPr>
        <w:spacing w:after="0"/>
        <w:jc w:val="both"/>
        <w:rPr>
          <w:rFonts w:cstheme="minorHAnsi"/>
          <w:lang w:val="hr-HR"/>
        </w:rPr>
      </w:pPr>
      <w:r w:rsidRPr="008E0004">
        <w:rPr>
          <w:rFonts w:cstheme="minorHAnsi"/>
          <w:lang w:val="hr-HR"/>
        </w:rPr>
        <w:t xml:space="preserve">Sa ciljem daljnjeg povećanja transparentnosti korištenja proračunskih sredstava u nastavku se u okviru obrazloženja rashoda državnog proračuna, daje prikaz rashoda i po izvorima financiranja. </w:t>
      </w:r>
    </w:p>
    <w:p w:rsidR="00A77AFD" w:rsidRDefault="00A77AFD" w:rsidP="0054100C">
      <w:pPr>
        <w:pStyle w:val="Caption"/>
        <w:rPr>
          <w:rFonts w:asciiTheme="minorHAnsi" w:eastAsiaTheme="minorHAnsi" w:hAnsiTheme="minorHAnsi" w:cstheme="minorBidi"/>
          <w:b w:val="0"/>
          <w:bCs w:val="0"/>
          <w:sz w:val="22"/>
          <w:szCs w:val="22"/>
        </w:rPr>
      </w:pPr>
    </w:p>
    <w:p w:rsidR="0054100C" w:rsidRPr="004E62B4" w:rsidRDefault="00F03484" w:rsidP="0054100C">
      <w:pPr>
        <w:pStyle w:val="Caption"/>
        <w:rPr>
          <w:rFonts w:asciiTheme="minorHAnsi" w:hAnsiTheme="minorHAnsi" w:cstheme="minorHAnsi"/>
          <w:b w:val="0"/>
          <w:i/>
          <w:sz w:val="22"/>
          <w:szCs w:val="22"/>
        </w:rPr>
      </w:pPr>
      <w:r>
        <w:rPr>
          <w:rFonts w:asciiTheme="minorHAnsi" w:hAnsiTheme="minorHAnsi" w:cstheme="minorHAnsi"/>
          <w:b w:val="0"/>
          <w:i/>
          <w:sz w:val="22"/>
          <w:szCs w:val="22"/>
        </w:rPr>
        <w:t>Tablica 5</w:t>
      </w:r>
      <w:r w:rsidR="0054100C" w:rsidRPr="004E62B4">
        <w:rPr>
          <w:rFonts w:asciiTheme="minorHAnsi" w:hAnsiTheme="minorHAnsi" w:cstheme="minorHAnsi"/>
          <w:b w:val="0"/>
          <w:i/>
          <w:sz w:val="22"/>
          <w:szCs w:val="22"/>
        </w:rPr>
        <w:t>. Rashodi državnog proračuna po izvorima financiranja</w:t>
      </w:r>
    </w:p>
    <w:p w:rsidR="0054100C" w:rsidRPr="004E62B4" w:rsidRDefault="007502A4" w:rsidP="0054100C">
      <w:pPr>
        <w:pStyle w:val="Caption"/>
        <w:rPr>
          <w:rFonts w:asciiTheme="minorHAnsi" w:hAnsiTheme="minorHAnsi" w:cstheme="minorHAnsi"/>
          <w:sz w:val="22"/>
          <w:szCs w:val="22"/>
        </w:rPr>
      </w:pPr>
      <w:r w:rsidRPr="00357213">
        <w:rPr>
          <w:noProof/>
          <w:lang w:eastAsia="hr-HR"/>
        </w:rPr>
        <w:drawing>
          <wp:inline distT="0" distB="0" distL="0" distR="0" wp14:anchorId="3C44723E" wp14:editId="28DF9901">
            <wp:extent cx="5759450" cy="2224403"/>
            <wp:effectExtent l="0" t="0" r="0" b="5080"/>
            <wp:docPr id="7" name="Slika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759450" cy="2224403"/>
                    </a:xfrm>
                    <a:prstGeom prst="rect">
                      <a:avLst/>
                    </a:prstGeom>
                    <a:noFill/>
                    <a:ln>
                      <a:noFill/>
                    </a:ln>
                  </pic:spPr>
                </pic:pic>
              </a:graphicData>
            </a:graphic>
          </wp:inline>
        </w:drawing>
      </w:r>
    </w:p>
    <w:p w:rsidR="0054100C" w:rsidRPr="004E62B4" w:rsidRDefault="0054100C" w:rsidP="0054100C">
      <w:pPr>
        <w:spacing w:after="0" w:line="240" w:lineRule="auto"/>
        <w:rPr>
          <w:rFonts w:cstheme="minorHAnsi"/>
          <w:i/>
          <w:lang w:val="hr-HR"/>
        </w:rPr>
      </w:pPr>
      <w:r w:rsidRPr="004E62B4">
        <w:rPr>
          <w:rFonts w:cstheme="minorHAnsi"/>
          <w:i/>
          <w:lang w:val="hr-HR"/>
        </w:rPr>
        <w:t>Izvor: Ministarstvo financija</w:t>
      </w:r>
    </w:p>
    <w:p w:rsidR="0054100C" w:rsidRPr="005D0BFC" w:rsidRDefault="0054100C" w:rsidP="0054100C">
      <w:pPr>
        <w:spacing w:after="0" w:line="240" w:lineRule="auto"/>
        <w:jc w:val="both"/>
        <w:rPr>
          <w:rFonts w:cstheme="minorHAnsi"/>
          <w:highlight w:val="yellow"/>
          <w:lang w:val="hr-HR"/>
        </w:rPr>
      </w:pPr>
    </w:p>
    <w:p w:rsidR="005A0005" w:rsidRPr="008E0004" w:rsidRDefault="005A0005" w:rsidP="005A0005">
      <w:pPr>
        <w:spacing w:after="0"/>
        <w:jc w:val="both"/>
        <w:rPr>
          <w:rFonts w:cstheme="minorHAnsi"/>
          <w:lang w:val="hr-HR"/>
        </w:rPr>
      </w:pPr>
      <w:r w:rsidRPr="008E0004">
        <w:rPr>
          <w:rFonts w:cstheme="minorHAnsi"/>
          <w:lang w:val="hr-HR"/>
        </w:rPr>
        <w:t>Gledano kroz izvore financiranja, rashodi koji se financiraju iz općih prihoda i primitaka, doprinosa i namjenskih primitaka povećavaju se za 1,4 milijarde eura, dok se rashodi koji se financiraju iz vlastitih prihoda, prihoda za posebne namjene, pomoći (koje uključuju EU sredstva) i donacija smanjuju za 159,1 milijun eura.</w:t>
      </w:r>
    </w:p>
    <w:p w:rsidR="0054100C" w:rsidRPr="0054100C" w:rsidRDefault="0054100C" w:rsidP="00F97CF8">
      <w:pPr>
        <w:jc w:val="both"/>
        <w:rPr>
          <w:rFonts w:cstheme="minorHAnsi"/>
          <w:lang w:val="hr-HR"/>
        </w:rPr>
      </w:pPr>
      <w:r>
        <w:rPr>
          <w:rFonts w:cstheme="minorHAnsi"/>
          <w:lang w:val="hr-HR"/>
        </w:rPr>
        <w:br w:type="page"/>
      </w:r>
    </w:p>
    <w:p w:rsidR="00462EC5" w:rsidRPr="0054100C" w:rsidRDefault="00462EC5" w:rsidP="0054100C">
      <w:pPr>
        <w:pStyle w:val="Heading1"/>
        <w:numPr>
          <w:ilvl w:val="0"/>
          <w:numId w:val="1"/>
        </w:numPr>
        <w:rPr>
          <w:lang w:val="hr-HR"/>
        </w:rPr>
      </w:pPr>
      <w:bookmarkStart w:id="17" w:name="_Toc147939406"/>
      <w:r w:rsidRPr="009B5CBF">
        <w:rPr>
          <w:lang w:val="hr-HR"/>
        </w:rPr>
        <w:lastRenderedPageBreak/>
        <w:t>UKUPNI MANJAK DRŽAVNOG PRORAČUNA</w:t>
      </w:r>
      <w:bookmarkEnd w:id="17"/>
    </w:p>
    <w:p w:rsidR="00F03436" w:rsidRPr="00F03436" w:rsidRDefault="00F03436" w:rsidP="00F03436">
      <w:pPr>
        <w:spacing w:before="240"/>
        <w:jc w:val="both"/>
        <w:rPr>
          <w:rFonts w:cs="Times New Roman"/>
          <w:lang w:val="hr-HR"/>
        </w:rPr>
      </w:pPr>
      <w:r w:rsidRPr="00F03436">
        <w:rPr>
          <w:rFonts w:cs="Times New Roman"/>
          <w:lang w:val="hr-HR"/>
        </w:rPr>
        <w:t xml:space="preserve">Slijedom ukupno planiranih prihoda u iznosu od </w:t>
      </w:r>
      <w:r w:rsidR="005432B2">
        <w:rPr>
          <w:rFonts w:cs="Times New Roman"/>
          <w:lang w:val="hr-HR"/>
        </w:rPr>
        <w:t>27,7</w:t>
      </w:r>
      <w:r w:rsidRPr="00F03436">
        <w:rPr>
          <w:rFonts w:cs="Times New Roman"/>
          <w:lang w:val="hr-HR"/>
        </w:rPr>
        <w:t xml:space="preserve"> milijardi eura te ukupno planiranih rashoda u iznosu od </w:t>
      </w:r>
      <w:r w:rsidR="005432B2">
        <w:rPr>
          <w:rFonts w:cs="Times New Roman"/>
          <w:lang w:val="hr-HR"/>
        </w:rPr>
        <w:t>29,3</w:t>
      </w:r>
      <w:r w:rsidRPr="00F03436">
        <w:rPr>
          <w:rFonts w:cs="Times New Roman"/>
          <w:lang w:val="hr-HR"/>
        </w:rPr>
        <w:t xml:space="preserve"> milijardi eura, manjak državnog proračuna za 2023. godinu planiran je u iznosu od 1,</w:t>
      </w:r>
      <w:r w:rsidR="005432B2">
        <w:rPr>
          <w:rFonts w:cs="Times New Roman"/>
          <w:lang w:val="hr-HR"/>
        </w:rPr>
        <w:t>6</w:t>
      </w:r>
      <w:r w:rsidRPr="00F03436">
        <w:rPr>
          <w:rFonts w:cs="Times New Roman"/>
          <w:lang w:val="hr-HR"/>
        </w:rPr>
        <w:t xml:space="preserve"> milijardi eura ili 2</w:t>
      </w:r>
      <w:r w:rsidR="005432B2">
        <w:rPr>
          <w:rFonts w:cs="Times New Roman"/>
          <w:lang w:val="hr-HR"/>
        </w:rPr>
        <w:t>,1</w:t>
      </w:r>
      <w:r w:rsidRPr="00F03436">
        <w:rPr>
          <w:rFonts w:cs="Times New Roman"/>
          <w:lang w:val="hr-HR"/>
        </w:rPr>
        <w:t xml:space="preserve">% BDP-a, što predstavlja </w:t>
      </w:r>
      <w:r w:rsidR="005432B2">
        <w:rPr>
          <w:rFonts w:cs="Times New Roman"/>
          <w:lang w:val="hr-HR"/>
        </w:rPr>
        <w:t>povećanje</w:t>
      </w:r>
      <w:r w:rsidRPr="00F03436">
        <w:rPr>
          <w:rFonts w:cs="Times New Roman"/>
          <w:lang w:val="hr-HR"/>
        </w:rPr>
        <w:t xml:space="preserve"> od </w:t>
      </w:r>
      <w:r w:rsidR="005432B2">
        <w:rPr>
          <w:rFonts w:cs="Times New Roman"/>
          <w:lang w:val="hr-HR"/>
        </w:rPr>
        <w:t>159 milijuna eura</w:t>
      </w:r>
      <w:r w:rsidRPr="00F03436">
        <w:rPr>
          <w:rFonts w:cs="Times New Roman"/>
          <w:lang w:val="hr-HR"/>
        </w:rPr>
        <w:t xml:space="preserve"> u odnosu na originalni plan.</w:t>
      </w:r>
    </w:p>
    <w:p w:rsidR="00796C59" w:rsidRPr="003B24C8" w:rsidRDefault="00796C59" w:rsidP="006E0462">
      <w:pPr>
        <w:pStyle w:val="Caption"/>
        <w:spacing w:before="240" w:after="120"/>
        <w:jc w:val="both"/>
        <w:rPr>
          <w:rFonts w:asciiTheme="minorHAnsi" w:hAnsiTheme="minorHAnsi"/>
          <w:b w:val="0"/>
          <w:i/>
          <w:sz w:val="22"/>
          <w:szCs w:val="22"/>
        </w:rPr>
      </w:pPr>
      <w:r w:rsidRPr="003B24C8">
        <w:rPr>
          <w:rFonts w:asciiTheme="minorHAnsi" w:hAnsiTheme="minorHAnsi"/>
          <w:b w:val="0"/>
          <w:i/>
          <w:sz w:val="22"/>
          <w:szCs w:val="22"/>
        </w:rPr>
        <w:t xml:space="preserve">Tablica </w:t>
      </w:r>
      <w:r w:rsidR="00F03484">
        <w:rPr>
          <w:rFonts w:asciiTheme="minorHAnsi" w:hAnsiTheme="minorHAnsi"/>
          <w:b w:val="0"/>
          <w:i/>
          <w:sz w:val="22"/>
          <w:szCs w:val="22"/>
        </w:rPr>
        <w:t>6</w:t>
      </w:r>
      <w:r w:rsidRPr="003B24C8">
        <w:rPr>
          <w:rFonts w:asciiTheme="minorHAnsi" w:hAnsiTheme="minorHAnsi"/>
          <w:b w:val="0"/>
          <w:i/>
          <w:sz w:val="22"/>
          <w:szCs w:val="22"/>
        </w:rPr>
        <w:t>. Ukupni manjak državnog proračuna</w:t>
      </w:r>
    </w:p>
    <w:p w:rsidR="0006121D" w:rsidRPr="003B24C8" w:rsidRDefault="00197DB6" w:rsidP="0006121D">
      <w:pPr>
        <w:spacing w:after="0"/>
        <w:rPr>
          <w:noProof/>
          <w:lang w:val="hr-HR" w:eastAsia="hr-HR"/>
        </w:rPr>
      </w:pPr>
      <w:r w:rsidRPr="00197DB6">
        <w:rPr>
          <w:noProof/>
          <w:lang w:val="hr-HR" w:eastAsia="hr-HR"/>
        </w:rPr>
        <w:drawing>
          <wp:inline distT="0" distB="0" distL="0" distR="0">
            <wp:extent cx="5760720" cy="1750789"/>
            <wp:effectExtent l="0" t="0" r="0" b="1905"/>
            <wp:docPr id="10" name="Slika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760720" cy="1750789"/>
                    </a:xfrm>
                    <a:prstGeom prst="rect">
                      <a:avLst/>
                    </a:prstGeom>
                    <a:noFill/>
                    <a:ln>
                      <a:noFill/>
                    </a:ln>
                  </pic:spPr>
                </pic:pic>
              </a:graphicData>
            </a:graphic>
          </wp:inline>
        </w:drawing>
      </w:r>
    </w:p>
    <w:p w:rsidR="00462EC5" w:rsidRDefault="00462EC5" w:rsidP="006E0462">
      <w:pPr>
        <w:jc w:val="both"/>
        <w:rPr>
          <w:rFonts w:cs="Times New Roman"/>
          <w:i/>
          <w:color w:val="000000"/>
          <w:lang w:val="hr-HR"/>
        </w:rPr>
      </w:pPr>
      <w:r w:rsidRPr="003B24C8">
        <w:rPr>
          <w:rFonts w:cs="Times New Roman"/>
          <w:i/>
          <w:color w:val="000000"/>
          <w:lang w:val="hr-HR"/>
        </w:rPr>
        <w:t>Izvor: Ministarstvo financija</w:t>
      </w:r>
    </w:p>
    <w:p w:rsidR="007D3532" w:rsidRDefault="007D3532" w:rsidP="006E0462">
      <w:pPr>
        <w:jc w:val="both"/>
        <w:rPr>
          <w:rFonts w:cs="Times New Roman"/>
          <w:i/>
          <w:color w:val="000000"/>
          <w:lang w:val="hr-HR"/>
        </w:rPr>
      </w:pPr>
    </w:p>
    <w:p w:rsidR="007D3532" w:rsidRPr="009B5CBF" w:rsidRDefault="007D3532" w:rsidP="006E0462">
      <w:pPr>
        <w:jc w:val="both"/>
        <w:rPr>
          <w:rFonts w:cs="Times New Roman"/>
          <w:i/>
          <w:color w:val="000000"/>
          <w:lang w:val="hr-HR"/>
        </w:rPr>
      </w:pPr>
    </w:p>
    <w:p w:rsidR="00A461B3" w:rsidRPr="006C489E" w:rsidRDefault="00462EC5" w:rsidP="00A461B3">
      <w:pPr>
        <w:rPr>
          <w:lang w:val="hr-HR"/>
        </w:rPr>
      </w:pPr>
      <w:r w:rsidRPr="009B5CBF">
        <w:rPr>
          <w:lang w:val="hr-HR"/>
        </w:rPr>
        <w:br w:type="page"/>
      </w:r>
    </w:p>
    <w:p w:rsidR="00DC5CAF" w:rsidRPr="003B7E82" w:rsidRDefault="00DC5CAF" w:rsidP="00462EC5">
      <w:pPr>
        <w:pStyle w:val="Heading1"/>
        <w:numPr>
          <w:ilvl w:val="0"/>
          <w:numId w:val="1"/>
        </w:numPr>
        <w:rPr>
          <w:lang w:val="hr-HR"/>
        </w:rPr>
      </w:pPr>
      <w:bookmarkStart w:id="18" w:name="_Toc147939407"/>
      <w:r w:rsidRPr="003B7E82">
        <w:rPr>
          <w:lang w:val="hr-HR"/>
        </w:rPr>
        <w:lastRenderedPageBreak/>
        <w:t>RAČUN FINANCIRANJA DRŽAVNOG PRORAČUNA</w:t>
      </w:r>
      <w:bookmarkEnd w:id="18"/>
    </w:p>
    <w:p w:rsidR="00B6674E" w:rsidRPr="00F62D8E" w:rsidRDefault="00B6674E" w:rsidP="00AF233C">
      <w:pPr>
        <w:rPr>
          <w:highlight w:val="yellow"/>
          <w:lang w:val="hr-HR"/>
        </w:rPr>
      </w:pPr>
    </w:p>
    <w:p w:rsidR="00CD2526" w:rsidRPr="002D1818" w:rsidRDefault="00CD2526" w:rsidP="00CD2526">
      <w:pPr>
        <w:jc w:val="both"/>
        <w:rPr>
          <w:rFonts w:cstheme="minorHAnsi"/>
          <w:lang w:val="hr-HR"/>
        </w:rPr>
      </w:pPr>
      <w:r w:rsidRPr="002A645F">
        <w:rPr>
          <w:rFonts w:cstheme="minorHAnsi"/>
          <w:lang w:val="hr-HR"/>
        </w:rPr>
        <w:t xml:space="preserve">U Izmjenama i dopunama Državnog proračuna Republike Hrvatske za 2023. godinu i projekcijama za 2024. i 2025. godinu planiran je manjak državnog proračuna u iznosu od 1,6 milijardi eura, što je za 159,2 milijuna eura više u odnosu na iznos manjka planiran u Izmjenama i dopunama Državnog proračuna Republike Hrvatske za 2023. godinu i projekcijama za 2024. i 2025. godinu iz lipnja 2023. godine. Planirani manjak financirat će se razlikom ukupnih primitaka od financijske imovine i zaduživanja te ukupnih izdataka za financijsku imovinu i otplate zajmova. Pritom su ukupni primici od financijske imovine i zaduživanja planirani u iznosu od 7,5 milijardi eura, dok su ukupni izdaci za financijsku imovinu i otplate zajmova planirani u iznosu od 5,3 milijarde eura. </w:t>
      </w:r>
    </w:p>
    <w:p w:rsidR="00CD2526" w:rsidRPr="002D1818" w:rsidRDefault="00CD2526" w:rsidP="00CD2526">
      <w:pPr>
        <w:jc w:val="both"/>
        <w:rPr>
          <w:rFonts w:cstheme="minorHAnsi"/>
          <w:lang w:val="hr-HR"/>
        </w:rPr>
      </w:pPr>
      <w:r w:rsidRPr="002D1818">
        <w:rPr>
          <w:rFonts w:cstheme="minorHAnsi"/>
          <w:lang w:val="hr-HR"/>
        </w:rPr>
        <w:t>Ukupni primici od financijske imovine i zaduživanja planiraju se u iznosu od 7,5 milijardi eura, od čega primljeni povrati glavnica danih zajmova i depozita iznose 1,8 milijardi eura, primici od izdanih vrijednosnih papira 4,9 milijardi eura, primici od prodaje dionica i udjela u glavnici 20,0 milijuna eura te primici od zaduživanja 855,9 milijuna eura.</w:t>
      </w:r>
    </w:p>
    <w:p w:rsidR="00CD2526" w:rsidRPr="002D1818" w:rsidRDefault="00CD2526" w:rsidP="00CD2526">
      <w:pPr>
        <w:jc w:val="both"/>
        <w:rPr>
          <w:rFonts w:cstheme="minorHAnsi"/>
          <w:lang w:val="hr-HR"/>
        </w:rPr>
      </w:pPr>
      <w:r w:rsidRPr="002D1818">
        <w:rPr>
          <w:rFonts w:cstheme="minorHAnsi"/>
          <w:lang w:val="hr-HR"/>
        </w:rPr>
        <w:t>Plan ukupnih primitaka od financijske imovine i zaduživanja povećava se za 884,5 milijuna eura u odnosu na Izmjene i dopune Državnog proračuna Republike Hrvatske za 2023. godinu i projekcije za 2024. i 2025. godinu iz lipnja 2023. godine. Navedeno je prvenstveno rezultat povećanja plana primitaka od primljenih povrata glavnica danih zajmova i depozita u iznosu od 1.267,0  milijuna eura, povećanja primitaka od izdanih vrijednosnih papira u iznosu od 250,0 milijuna eura uz istovremeno smanjenje primitaka od zaduživanja u iznosu od 612,6 milijuna eura i primitaka od prodaje dionica i udjela u glavnici u iznosu od 19,9 milijuna eura.</w:t>
      </w:r>
    </w:p>
    <w:p w:rsidR="00CD2526" w:rsidRPr="002A645F" w:rsidRDefault="00CD2526" w:rsidP="00CD2526">
      <w:pPr>
        <w:jc w:val="both"/>
        <w:rPr>
          <w:rFonts w:cstheme="minorHAnsi"/>
          <w:lang w:val="hr-HR"/>
        </w:rPr>
      </w:pPr>
      <w:r w:rsidRPr="002A645F">
        <w:rPr>
          <w:rFonts w:cstheme="minorHAnsi"/>
          <w:lang w:val="hr-HR"/>
        </w:rPr>
        <w:t xml:space="preserve">Ukupni izdaci za financijsku imovinu i otplate zajmova planirani su u iznosu 5,3 milijarde eura, od čega su izdaci za dane zajmove i depozite planirani u iznosu od 890,9 milijuna eura, izdaci za dionice i udjele u glavnici u iznosu od 163,9 milijuna eura, izdaci za otplatu primljenih kredita i zajmova u iznosu od 1,2 milijarde eura te izdaci za otplatu glavnice za izdane vrijednosne papire u iznosu od 3,0 milijarde eura. Plan ukupnih izdataka za financijsku imovinu i otplate zajmova smanjuje se za 150,3 milijuna eura što je prvenstveno rezultat smanjenja planiranih izdataka za otplatu glavnice za izdane trezorske zapise u iznosu od 169,0 milijuna eura (razlika između ukupnih primitaka od izdanih trezorskih zapisa i izdataka za otplatu glavnice za izdane trezorske zapise) te izdataka za dionice i udjele u glavnici u iznosu od 9,1 milijun eura,  uz istovremeno povećanje izdataka za dane zajmove i depozite u iznosu od 23,1 milijun eura i izdataka za otplatu glavnice primljenih kredita i zajmova u iznosu od 4,7 milijuna eura. </w:t>
      </w:r>
    </w:p>
    <w:p w:rsidR="00CD2526" w:rsidRPr="002A645F" w:rsidRDefault="00CD2526" w:rsidP="00CD2526">
      <w:pPr>
        <w:jc w:val="both"/>
        <w:rPr>
          <w:rFonts w:cstheme="minorHAnsi"/>
          <w:lang w:val="hr-HR"/>
        </w:rPr>
      </w:pPr>
      <w:r w:rsidRPr="002A645F">
        <w:rPr>
          <w:rFonts w:cstheme="minorHAnsi"/>
          <w:lang w:val="hr-HR"/>
        </w:rPr>
        <w:t>Zatvarajuća stavka između ukupnih primitaka od financijske imovine i zaduživanja, ukupnih izdataka za financijsku imovinu i otplate zajmova te ukupnog manjka državnog proračuna jest razlika između prijenosa sredstava iz prethodne godine i prijenosa sredstava u sljedeću godinu.</w:t>
      </w:r>
    </w:p>
    <w:p w:rsidR="00967A84" w:rsidRDefault="00967A84" w:rsidP="00B6674E">
      <w:pPr>
        <w:pStyle w:val="Caption"/>
        <w:spacing w:before="240" w:after="120"/>
        <w:jc w:val="both"/>
        <w:rPr>
          <w:rFonts w:asciiTheme="minorHAnsi" w:hAnsiTheme="minorHAnsi" w:cstheme="minorHAnsi"/>
          <w:b w:val="0"/>
          <w:i/>
          <w:sz w:val="22"/>
          <w:szCs w:val="22"/>
          <w:highlight w:val="yellow"/>
        </w:rPr>
      </w:pPr>
    </w:p>
    <w:p w:rsidR="00967A84" w:rsidRDefault="00967A84" w:rsidP="00B6674E">
      <w:pPr>
        <w:pStyle w:val="Caption"/>
        <w:spacing w:before="240" w:after="120"/>
        <w:jc w:val="both"/>
        <w:rPr>
          <w:rFonts w:asciiTheme="minorHAnsi" w:hAnsiTheme="minorHAnsi" w:cstheme="minorHAnsi"/>
          <w:b w:val="0"/>
          <w:i/>
          <w:sz w:val="22"/>
          <w:szCs w:val="22"/>
        </w:rPr>
      </w:pPr>
    </w:p>
    <w:p w:rsidR="00967A84" w:rsidRDefault="00967A84" w:rsidP="00B6674E">
      <w:pPr>
        <w:pStyle w:val="Caption"/>
        <w:spacing w:before="240" w:after="120"/>
        <w:jc w:val="both"/>
        <w:rPr>
          <w:rFonts w:asciiTheme="minorHAnsi" w:hAnsiTheme="minorHAnsi" w:cstheme="minorHAnsi"/>
          <w:b w:val="0"/>
          <w:i/>
          <w:sz w:val="22"/>
          <w:szCs w:val="22"/>
        </w:rPr>
      </w:pPr>
    </w:p>
    <w:p w:rsidR="00CD2526" w:rsidRDefault="00CD2526" w:rsidP="00B6674E">
      <w:pPr>
        <w:pStyle w:val="Caption"/>
        <w:spacing w:before="240" w:after="120"/>
        <w:jc w:val="both"/>
        <w:rPr>
          <w:rFonts w:asciiTheme="minorHAnsi" w:hAnsiTheme="minorHAnsi" w:cstheme="minorHAnsi"/>
          <w:b w:val="0"/>
          <w:i/>
          <w:sz w:val="22"/>
          <w:szCs w:val="22"/>
        </w:rPr>
      </w:pPr>
    </w:p>
    <w:p w:rsidR="00B6674E" w:rsidRPr="00C95CFE" w:rsidRDefault="00F03484" w:rsidP="00B6674E">
      <w:pPr>
        <w:pStyle w:val="Caption"/>
        <w:spacing w:before="240" w:after="120"/>
        <w:jc w:val="both"/>
        <w:rPr>
          <w:rFonts w:asciiTheme="minorHAnsi" w:hAnsiTheme="minorHAnsi" w:cstheme="minorHAnsi"/>
          <w:b w:val="0"/>
          <w:i/>
          <w:sz w:val="22"/>
          <w:szCs w:val="22"/>
        </w:rPr>
      </w:pPr>
      <w:r>
        <w:rPr>
          <w:rFonts w:asciiTheme="minorHAnsi" w:hAnsiTheme="minorHAnsi" w:cstheme="minorHAnsi"/>
          <w:b w:val="0"/>
          <w:i/>
          <w:sz w:val="22"/>
          <w:szCs w:val="22"/>
        </w:rPr>
        <w:lastRenderedPageBreak/>
        <w:t>Tablica 7</w:t>
      </w:r>
      <w:r w:rsidR="00B6674E" w:rsidRPr="00C95CFE">
        <w:rPr>
          <w:rFonts w:asciiTheme="minorHAnsi" w:hAnsiTheme="minorHAnsi" w:cstheme="minorHAnsi"/>
          <w:b w:val="0"/>
          <w:i/>
          <w:sz w:val="22"/>
          <w:szCs w:val="22"/>
        </w:rPr>
        <w:t>. Ukupni prihodi, rashodi i financiranje državnog proračuna</w:t>
      </w:r>
    </w:p>
    <w:p w:rsidR="00B6674E" w:rsidRPr="00C95CFE" w:rsidRDefault="00CD2526" w:rsidP="002D1818">
      <w:pPr>
        <w:spacing w:after="120"/>
        <w:rPr>
          <w:rFonts w:cstheme="minorHAnsi"/>
          <w:lang w:val="hr-HR"/>
        </w:rPr>
      </w:pPr>
      <w:r w:rsidRPr="00D36E18">
        <w:rPr>
          <w:noProof/>
          <w:lang w:val="hr-HR" w:eastAsia="hr-HR"/>
        </w:rPr>
        <w:drawing>
          <wp:inline distT="0" distB="0" distL="0" distR="0" wp14:anchorId="28A683CA" wp14:editId="171AABCF">
            <wp:extent cx="5760720" cy="2331085"/>
            <wp:effectExtent l="0" t="0" r="0" b="0"/>
            <wp:docPr id="8" name="Slika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760720" cy="2331085"/>
                    </a:xfrm>
                    <a:prstGeom prst="rect">
                      <a:avLst/>
                    </a:prstGeom>
                    <a:noFill/>
                    <a:ln>
                      <a:noFill/>
                    </a:ln>
                  </pic:spPr>
                </pic:pic>
              </a:graphicData>
            </a:graphic>
          </wp:inline>
        </w:drawing>
      </w:r>
    </w:p>
    <w:p w:rsidR="00B6674E" w:rsidRPr="00B6674E" w:rsidRDefault="00B6674E" w:rsidP="00B6674E">
      <w:pPr>
        <w:jc w:val="both"/>
        <w:rPr>
          <w:rFonts w:cstheme="minorHAnsi"/>
          <w:i/>
          <w:lang w:val="hr-HR"/>
        </w:rPr>
      </w:pPr>
      <w:r w:rsidRPr="00C95CFE">
        <w:rPr>
          <w:rFonts w:cstheme="minorHAnsi"/>
          <w:i/>
          <w:lang w:val="hr-HR"/>
        </w:rPr>
        <w:t>Izvor: Ministarstvo financija</w:t>
      </w:r>
    </w:p>
    <w:p w:rsidR="00F6029A" w:rsidRDefault="00F6029A">
      <w:pPr>
        <w:rPr>
          <w:rFonts w:asciiTheme="majorHAnsi" w:eastAsiaTheme="majorEastAsia" w:hAnsiTheme="majorHAnsi" w:cstheme="majorBidi"/>
          <w:b/>
          <w:bCs/>
          <w:color w:val="365F91" w:themeColor="accent1" w:themeShade="BF"/>
          <w:sz w:val="28"/>
          <w:szCs w:val="28"/>
          <w:lang w:val="hr-HR"/>
        </w:rPr>
      </w:pPr>
      <w:r>
        <w:rPr>
          <w:lang w:val="hr-HR"/>
        </w:rPr>
        <w:br w:type="page"/>
      </w:r>
    </w:p>
    <w:p w:rsidR="00025948" w:rsidRPr="009B5CBF" w:rsidRDefault="00025948" w:rsidP="00462EC5">
      <w:pPr>
        <w:pStyle w:val="Heading1"/>
        <w:numPr>
          <w:ilvl w:val="0"/>
          <w:numId w:val="1"/>
        </w:numPr>
        <w:rPr>
          <w:lang w:val="hr-HR"/>
        </w:rPr>
      </w:pPr>
      <w:bookmarkStart w:id="19" w:name="_Toc147939408"/>
      <w:r w:rsidRPr="009B5CBF">
        <w:rPr>
          <w:lang w:val="hr-HR"/>
        </w:rPr>
        <w:lastRenderedPageBreak/>
        <w:t>PROCJENA UKUPNOG MANJKA PRORAČUNA OPĆE DRŽAVE</w:t>
      </w:r>
      <w:bookmarkEnd w:id="19"/>
      <w:r w:rsidRPr="009B5CBF">
        <w:rPr>
          <w:lang w:val="hr-HR"/>
        </w:rPr>
        <w:t xml:space="preserve"> </w:t>
      </w:r>
    </w:p>
    <w:p w:rsidR="001628CF" w:rsidRDefault="001628CF" w:rsidP="00025948">
      <w:pPr>
        <w:jc w:val="both"/>
        <w:rPr>
          <w:rFonts w:cs="Times New Roman"/>
          <w:lang w:val="hr-HR"/>
        </w:rPr>
      </w:pPr>
    </w:p>
    <w:p w:rsidR="003955B2" w:rsidRPr="003955B2" w:rsidRDefault="003955B2" w:rsidP="003955B2">
      <w:pPr>
        <w:jc w:val="both"/>
        <w:rPr>
          <w:rFonts w:cs="Times New Roman"/>
          <w:lang w:val="hr-HR"/>
        </w:rPr>
      </w:pPr>
      <w:r w:rsidRPr="003955B2">
        <w:rPr>
          <w:rFonts w:cs="Times New Roman"/>
          <w:lang w:val="hr-HR"/>
        </w:rPr>
        <w:t>Novim planom u 2023. godini opći proračun prema nacionalnoj metodologiji ostvaruje manjak od 1</w:t>
      </w:r>
      <w:r w:rsidR="00832499">
        <w:rPr>
          <w:rFonts w:cs="Times New Roman"/>
          <w:lang w:val="hr-HR"/>
        </w:rPr>
        <w:t>,4</w:t>
      </w:r>
      <w:r w:rsidRPr="003955B2">
        <w:rPr>
          <w:rFonts w:cs="Times New Roman"/>
          <w:lang w:val="hr-HR"/>
        </w:rPr>
        <w:t xml:space="preserve"> milijard</w:t>
      </w:r>
      <w:r w:rsidR="005A3FA6">
        <w:rPr>
          <w:rFonts w:cs="Times New Roman"/>
          <w:lang w:val="hr-HR"/>
        </w:rPr>
        <w:t>e</w:t>
      </w:r>
      <w:r w:rsidRPr="003955B2">
        <w:rPr>
          <w:rFonts w:cs="Times New Roman"/>
          <w:lang w:val="hr-HR"/>
        </w:rPr>
        <w:t xml:space="preserve"> eura, što predstavlja 1,</w:t>
      </w:r>
      <w:r w:rsidR="00832499">
        <w:rPr>
          <w:rFonts w:cs="Times New Roman"/>
          <w:lang w:val="hr-HR"/>
        </w:rPr>
        <w:t>8</w:t>
      </w:r>
      <w:r w:rsidRPr="003955B2">
        <w:rPr>
          <w:rFonts w:cs="Times New Roman"/>
          <w:lang w:val="hr-HR"/>
        </w:rPr>
        <w:t>% BDP-a. Pritom državni proračun bilježi razinu manjka od 2</w:t>
      </w:r>
      <w:r w:rsidR="00832499">
        <w:rPr>
          <w:rFonts w:cs="Times New Roman"/>
          <w:lang w:val="hr-HR"/>
        </w:rPr>
        <w:t>,1</w:t>
      </w:r>
      <w:r w:rsidR="005A3FA6">
        <w:rPr>
          <w:rFonts w:cs="Times New Roman"/>
          <w:lang w:val="hr-HR"/>
        </w:rPr>
        <w:t xml:space="preserve">% BDP-a. Izvanproračunski korisnici i </w:t>
      </w:r>
      <w:r w:rsidRPr="003955B2">
        <w:rPr>
          <w:rFonts w:cs="Times New Roman"/>
          <w:lang w:val="hr-HR"/>
        </w:rPr>
        <w:t>jedinice lokalne i područne (regionalne) samouprave ostvaruju višak od 0,</w:t>
      </w:r>
      <w:r w:rsidR="00832499">
        <w:rPr>
          <w:rFonts w:cs="Times New Roman"/>
          <w:lang w:val="hr-HR"/>
        </w:rPr>
        <w:t>2</w:t>
      </w:r>
      <w:r w:rsidRPr="003955B2">
        <w:rPr>
          <w:rFonts w:cs="Times New Roman"/>
          <w:lang w:val="hr-HR"/>
        </w:rPr>
        <w:t xml:space="preserve">% BDP-a. </w:t>
      </w:r>
    </w:p>
    <w:p w:rsidR="006E0462" w:rsidRPr="007B5B19" w:rsidRDefault="006E0462" w:rsidP="00817E42">
      <w:pPr>
        <w:spacing w:after="120"/>
        <w:jc w:val="both"/>
        <w:rPr>
          <w:rFonts w:cs="Times New Roman"/>
          <w:lang w:val="hr-HR"/>
        </w:rPr>
      </w:pPr>
      <w:r w:rsidRPr="00515E82">
        <w:rPr>
          <w:i/>
        </w:rPr>
        <w:t>Tablica</w:t>
      </w:r>
      <w:r w:rsidR="00F03484">
        <w:rPr>
          <w:i/>
        </w:rPr>
        <w:t xml:space="preserve"> 8</w:t>
      </w:r>
      <w:r w:rsidRPr="00515E82">
        <w:rPr>
          <w:i/>
        </w:rPr>
        <w:t>. Procjena ukupnog manjka/viška proračuna opće države</w:t>
      </w:r>
    </w:p>
    <w:p w:rsidR="001F2B62" w:rsidRPr="001F2B62" w:rsidRDefault="00832499" w:rsidP="006E0462">
      <w:pPr>
        <w:spacing w:after="0"/>
        <w:rPr>
          <w:lang w:val="hr-HR"/>
        </w:rPr>
      </w:pPr>
      <w:r w:rsidRPr="00832499">
        <w:rPr>
          <w:noProof/>
          <w:lang w:val="hr-HR" w:eastAsia="hr-HR"/>
        </w:rPr>
        <w:drawing>
          <wp:inline distT="0" distB="0" distL="0" distR="0">
            <wp:extent cx="5082493" cy="5091952"/>
            <wp:effectExtent l="0" t="0" r="4445" b="0"/>
            <wp:docPr id="11" name="Slika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096375" cy="5105859"/>
                    </a:xfrm>
                    <a:prstGeom prst="rect">
                      <a:avLst/>
                    </a:prstGeom>
                    <a:noFill/>
                    <a:ln>
                      <a:noFill/>
                    </a:ln>
                  </pic:spPr>
                </pic:pic>
              </a:graphicData>
            </a:graphic>
          </wp:inline>
        </w:drawing>
      </w:r>
    </w:p>
    <w:p w:rsidR="00992BE3" w:rsidRPr="009B5CBF" w:rsidRDefault="00025948" w:rsidP="006E0462">
      <w:pPr>
        <w:jc w:val="both"/>
        <w:rPr>
          <w:rFonts w:cs="Times New Roman"/>
          <w:i/>
          <w:color w:val="000000"/>
          <w:lang w:val="hr-HR"/>
        </w:rPr>
      </w:pPr>
      <w:r w:rsidRPr="009B5CBF">
        <w:rPr>
          <w:rFonts w:cs="Times New Roman"/>
          <w:i/>
          <w:color w:val="000000"/>
          <w:lang w:val="hr-HR"/>
        </w:rPr>
        <w:t>Izvor: Ministarstvo financija</w:t>
      </w:r>
    </w:p>
    <w:p w:rsidR="00B174AC" w:rsidRDefault="003955B2" w:rsidP="003955B2">
      <w:pPr>
        <w:spacing w:after="120"/>
        <w:jc w:val="both"/>
        <w:rPr>
          <w:rFonts w:ascii="Calibri" w:hAnsi="Calibri"/>
          <w:lang w:val="hr-HR"/>
        </w:rPr>
      </w:pPr>
      <w:r w:rsidRPr="000416D7">
        <w:rPr>
          <w:rFonts w:ascii="Calibri" w:hAnsi="Calibri"/>
          <w:lang w:val="hr-HR"/>
        </w:rPr>
        <w:t>Kada se ovim veličinama pridodaju prilagodbe nacionalne metodologije računskog plana europskoj statističkoj metodologiji ESA 2010 te projekcije ostalih pravnih osoba koje su statistički uključene u sektor opće države, procjenjuje se kako će pla</w:t>
      </w:r>
      <w:r>
        <w:rPr>
          <w:rFonts w:ascii="Calibri" w:hAnsi="Calibri"/>
          <w:lang w:val="hr-HR"/>
        </w:rPr>
        <w:t>nirani manjak opće</w:t>
      </w:r>
      <w:r w:rsidRPr="000416D7">
        <w:rPr>
          <w:rFonts w:ascii="Calibri" w:hAnsi="Calibri"/>
          <w:lang w:val="hr-HR"/>
        </w:rPr>
        <w:t xml:space="preserve"> </w:t>
      </w:r>
      <w:r>
        <w:rPr>
          <w:rFonts w:ascii="Calibri" w:hAnsi="Calibri"/>
          <w:lang w:val="hr-HR"/>
        </w:rPr>
        <w:t>države u 2023</w:t>
      </w:r>
      <w:r w:rsidRPr="000416D7">
        <w:rPr>
          <w:rFonts w:ascii="Calibri" w:hAnsi="Calibri"/>
          <w:lang w:val="hr-HR"/>
        </w:rPr>
        <w:t xml:space="preserve">. godini iznositi </w:t>
      </w:r>
      <w:r w:rsidR="002447E3">
        <w:rPr>
          <w:rFonts w:ascii="Calibri" w:hAnsi="Calibri"/>
          <w:lang w:val="hr-HR"/>
        </w:rPr>
        <w:t xml:space="preserve">235 </w:t>
      </w:r>
      <w:r w:rsidRPr="000416D7">
        <w:rPr>
          <w:rFonts w:ascii="Calibri" w:hAnsi="Calibri"/>
          <w:lang w:val="hr-HR"/>
        </w:rPr>
        <w:t>milijuna eura ili 0,</w:t>
      </w:r>
      <w:r w:rsidR="002447E3">
        <w:rPr>
          <w:rFonts w:ascii="Calibri" w:hAnsi="Calibri"/>
          <w:lang w:val="hr-HR"/>
        </w:rPr>
        <w:t>3</w:t>
      </w:r>
      <w:r w:rsidRPr="000416D7">
        <w:rPr>
          <w:rFonts w:ascii="Calibri" w:hAnsi="Calibri"/>
          <w:lang w:val="hr-HR"/>
        </w:rPr>
        <w:t>% BDP-a.</w:t>
      </w:r>
    </w:p>
    <w:p w:rsidR="00B1290A" w:rsidRDefault="00B1290A" w:rsidP="00023A60">
      <w:pPr>
        <w:spacing w:after="120"/>
        <w:jc w:val="both"/>
        <w:rPr>
          <w:rFonts w:ascii="Calibri" w:hAnsi="Calibri"/>
          <w:lang w:val="hr-HR"/>
        </w:rPr>
      </w:pPr>
    </w:p>
    <w:p w:rsidR="003955B2" w:rsidRDefault="003955B2" w:rsidP="00023A60">
      <w:pPr>
        <w:spacing w:after="120"/>
        <w:jc w:val="both"/>
        <w:rPr>
          <w:i/>
          <w:lang w:val="hr-HR"/>
        </w:rPr>
      </w:pPr>
    </w:p>
    <w:p w:rsidR="00EE08FA" w:rsidRDefault="00EE08FA" w:rsidP="00023A60">
      <w:pPr>
        <w:spacing w:after="120"/>
        <w:jc w:val="both"/>
        <w:rPr>
          <w:i/>
          <w:lang w:val="hr-HR"/>
        </w:rPr>
      </w:pPr>
    </w:p>
    <w:p w:rsidR="008564E7" w:rsidRPr="008564E7" w:rsidRDefault="008564E7" w:rsidP="00023A60">
      <w:pPr>
        <w:spacing w:after="120"/>
        <w:jc w:val="both"/>
        <w:rPr>
          <w:i/>
          <w:lang w:val="hr-HR"/>
        </w:rPr>
      </w:pPr>
      <w:r w:rsidRPr="008564E7">
        <w:rPr>
          <w:i/>
          <w:lang w:val="hr-HR"/>
        </w:rPr>
        <w:lastRenderedPageBreak/>
        <w:t xml:space="preserve">Grafikon </w:t>
      </w:r>
      <w:r w:rsidRPr="008564E7">
        <w:rPr>
          <w:i/>
          <w:lang w:val="hr-HR"/>
        </w:rPr>
        <w:fldChar w:fldCharType="begin"/>
      </w:r>
      <w:r w:rsidRPr="008564E7">
        <w:rPr>
          <w:i/>
          <w:lang w:val="hr-HR"/>
        </w:rPr>
        <w:instrText xml:space="preserve"> SEQ Grafikon \* ARABIC </w:instrText>
      </w:r>
      <w:r w:rsidRPr="008564E7">
        <w:rPr>
          <w:i/>
          <w:lang w:val="hr-HR"/>
        </w:rPr>
        <w:fldChar w:fldCharType="separate"/>
      </w:r>
      <w:r w:rsidR="0049458F">
        <w:rPr>
          <w:i/>
          <w:noProof/>
          <w:lang w:val="hr-HR"/>
        </w:rPr>
        <w:t>1</w:t>
      </w:r>
      <w:r w:rsidRPr="008564E7">
        <w:rPr>
          <w:i/>
          <w:lang w:val="hr-HR"/>
        </w:rPr>
        <w:fldChar w:fldCharType="end"/>
      </w:r>
      <w:r w:rsidRPr="008564E7">
        <w:rPr>
          <w:i/>
          <w:lang w:val="hr-HR"/>
        </w:rPr>
        <w:t>: Javni dug u razdoblju 201</w:t>
      </w:r>
      <w:r w:rsidR="003955B2">
        <w:rPr>
          <w:i/>
          <w:lang w:val="hr-HR"/>
        </w:rPr>
        <w:t>7</w:t>
      </w:r>
      <w:r w:rsidRPr="008564E7">
        <w:rPr>
          <w:i/>
          <w:lang w:val="hr-HR"/>
        </w:rPr>
        <w:t>. – 202</w:t>
      </w:r>
      <w:r w:rsidR="003955B2">
        <w:rPr>
          <w:i/>
          <w:lang w:val="hr-HR"/>
        </w:rPr>
        <w:t>3</w:t>
      </w:r>
      <w:r w:rsidRPr="008564E7">
        <w:rPr>
          <w:i/>
          <w:lang w:val="hr-HR"/>
        </w:rPr>
        <w:t>.</w:t>
      </w:r>
    </w:p>
    <w:p w:rsidR="006C7BE6" w:rsidRDefault="00EE08FA" w:rsidP="009277FC">
      <w:pPr>
        <w:spacing w:after="120"/>
        <w:jc w:val="both"/>
        <w:rPr>
          <w:rFonts w:ascii="Calibri" w:hAnsi="Calibri"/>
          <w:lang w:val="hr-HR"/>
        </w:rPr>
      </w:pPr>
      <w:r>
        <w:rPr>
          <w:rFonts w:ascii="Calibri" w:hAnsi="Calibri"/>
          <w:noProof/>
          <w:lang w:val="hr-HR" w:eastAsia="hr-HR"/>
        </w:rPr>
        <w:drawing>
          <wp:inline distT="0" distB="0" distL="0" distR="0" wp14:anchorId="005D2746">
            <wp:extent cx="5757152" cy="2674104"/>
            <wp:effectExtent l="0" t="0" r="0" b="0"/>
            <wp:docPr id="12" name="Slika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773612" cy="2681749"/>
                    </a:xfrm>
                    <a:prstGeom prst="rect">
                      <a:avLst/>
                    </a:prstGeom>
                    <a:noFill/>
                  </pic:spPr>
                </pic:pic>
              </a:graphicData>
            </a:graphic>
          </wp:inline>
        </w:drawing>
      </w:r>
    </w:p>
    <w:p w:rsidR="008564E7" w:rsidRPr="008564E7" w:rsidRDefault="008564E7" w:rsidP="008564E7">
      <w:pPr>
        <w:spacing w:after="120"/>
        <w:rPr>
          <w:rFonts w:ascii="Calibri" w:hAnsi="Calibri"/>
          <w:i/>
          <w:sz w:val="20"/>
          <w:szCs w:val="20"/>
          <w:lang w:val="hr-HR"/>
        </w:rPr>
      </w:pPr>
      <w:r w:rsidRPr="008564E7">
        <w:rPr>
          <w:rFonts w:ascii="Calibri" w:hAnsi="Calibri"/>
          <w:i/>
          <w:sz w:val="20"/>
          <w:szCs w:val="20"/>
          <w:lang w:val="hr-HR"/>
        </w:rPr>
        <w:t>Izvor: DZS, HNB, Ministarstvo financija</w:t>
      </w:r>
    </w:p>
    <w:p w:rsidR="008564E7" w:rsidRDefault="008564E7" w:rsidP="009277FC">
      <w:pPr>
        <w:spacing w:after="120"/>
        <w:jc w:val="both"/>
        <w:rPr>
          <w:rFonts w:ascii="Calibri" w:hAnsi="Calibri"/>
          <w:lang w:val="hr-HR"/>
        </w:rPr>
      </w:pPr>
    </w:p>
    <w:p w:rsidR="005B125D" w:rsidRPr="00CF03AD" w:rsidRDefault="005B125D" w:rsidP="005B125D">
      <w:pPr>
        <w:spacing w:after="240"/>
        <w:jc w:val="both"/>
        <w:rPr>
          <w:lang w:val="hr-HR"/>
        </w:rPr>
      </w:pPr>
      <w:r w:rsidRPr="00CF03AD">
        <w:rPr>
          <w:lang w:val="hr-HR"/>
        </w:rPr>
        <w:t>Uslijed snažnog gospodarskog pada na razini čitave EU uzrokovanog pandemijom koronavirusa, Vijeće EU je u ožujku 2020. odobrilo punu fleksibilnost Pakta o stabilnosti i rastu, odnosno primjenu opće klauzule o odstupanju (</w:t>
      </w:r>
      <w:r w:rsidRPr="00CF03AD">
        <w:rPr>
          <w:i/>
          <w:lang w:val="hr-HR"/>
        </w:rPr>
        <w:t>'general escape clause'</w:t>
      </w:r>
      <w:r w:rsidRPr="00CF03AD">
        <w:rPr>
          <w:lang w:val="hr-HR"/>
        </w:rPr>
        <w:t>) od proračunskih pravila definiranih Paktom o stabilnosti i rastu. Time je državama članicama dana mogućnost da u većoj mjeri pruže fiskalne poticaje svojim gospodarstvima kako bi se ublažili postojeći negativni utjecaji krize i osigurao što skoriji oporavak. Na nacionalnoj razini, Zakon o fiskalnoj odgovornosti</w:t>
      </w:r>
      <w:r w:rsidRPr="00CF03AD">
        <w:rPr>
          <w:rStyle w:val="FootnoteReference"/>
          <w:lang w:val="hr-HR"/>
        </w:rPr>
        <w:footnoteReference w:id="2"/>
      </w:r>
      <w:r w:rsidRPr="00CF03AD">
        <w:rPr>
          <w:lang w:val="hr-HR"/>
        </w:rPr>
        <w:t xml:space="preserve"> također omogućuje privremeno odgađanje primjene fiskalnih pravila u slučaju izvanrednih okolnosti, sukladno pravilima EU. U skladu s preporukom Povjerenstva za fiskalnu politiku, Vlada RH je 3. travnja 2020. donijela Odluku o privremenom odgađanju primjene fiskalnih pravila iz članaka 6., 7. i 8. Zakona o fiskalnoj odgovornosti. </w:t>
      </w:r>
    </w:p>
    <w:p w:rsidR="0095185C" w:rsidRPr="005B125D" w:rsidRDefault="005B125D" w:rsidP="005B125D">
      <w:pPr>
        <w:jc w:val="both"/>
      </w:pPr>
      <w:r w:rsidRPr="00332301">
        <w:rPr>
          <w:lang w:val="hr-HR"/>
        </w:rPr>
        <w:t>Nakon viška proračuna opće države od 0,4% BDP-a u 2022., fiskalna kretanja u 2023. rezultirat će proračunskim manjkom od 0,</w:t>
      </w:r>
      <w:r w:rsidR="001A7F56">
        <w:rPr>
          <w:lang w:val="hr-HR"/>
        </w:rPr>
        <w:t>3</w:t>
      </w:r>
      <w:r w:rsidRPr="00332301">
        <w:rPr>
          <w:lang w:val="hr-HR"/>
        </w:rPr>
        <w:t>% BDP-a</w:t>
      </w:r>
      <w:r>
        <w:rPr>
          <w:lang w:val="hr-HR"/>
        </w:rPr>
        <w:t>, čime</w:t>
      </w:r>
      <w:r w:rsidRPr="00332301">
        <w:rPr>
          <w:lang w:val="hr-HR"/>
        </w:rPr>
        <w:t xml:space="preserve"> je ispunjen kriterij proračunskog manjka sukladno odredbama Pakta o stabilnosti i rastu. Iako su negativne gospodarske posljedice pandemije koronavirusa dovele do visokog rasta</w:t>
      </w:r>
      <w:r w:rsidRPr="00CF03AD">
        <w:rPr>
          <w:lang w:val="hr-HR"/>
        </w:rPr>
        <w:t xml:space="preserve"> javnog duga</w:t>
      </w:r>
      <w:r w:rsidRPr="00606C95">
        <w:rPr>
          <w:lang w:val="hr-HR"/>
        </w:rPr>
        <w:t xml:space="preserve"> </w:t>
      </w:r>
      <w:r w:rsidRPr="00CF03AD">
        <w:rPr>
          <w:lang w:val="hr-HR"/>
        </w:rPr>
        <w:t xml:space="preserve">u 2020., u </w:t>
      </w:r>
      <w:r>
        <w:rPr>
          <w:lang w:val="hr-HR"/>
        </w:rPr>
        <w:t xml:space="preserve">protekle dvije godine </w:t>
      </w:r>
      <w:r w:rsidRPr="00CF03AD">
        <w:rPr>
          <w:lang w:val="hr-HR"/>
        </w:rPr>
        <w:t xml:space="preserve">navedeni pokazatelj </w:t>
      </w:r>
      <w:r>
        <w:rPr>
          <w:lang w:val="hr-HR"/>
        </w:rPr>
        <w:t xml:space="preserve">bilježi </w:t>
      </w:r>
      <w:r w:rsidRPr="00CF03AD">
        <w:rPr>
          <w:lang w:val="hr-HR"/>
        </w:rPr>
        <w:t>znatno poboljšanje te će se ovaj trend nastaviti i u 202</w:t>
      </w:r>
      <w:r>
        <w:rPr>
          <w:lang w:val="hr-HR"/>
        </w:rPr>
        <w:t>3. godini. Naime,</w:t>
      </w:r>
      <w:r w:rsidRPr="00AE62BB">
        <w:rPr>
          <w:lang w:val="hr-HR"/>
        </w:rPr>
        <w:t xml:space="preserve"> </w:t>
      </w:r>
      <w:r w:rsidRPr="00C97D4F">
        <w:rPr>
          <w:lang w:val="hr-HR"/>
        </w:rPr>
        <w:t xml:space="preserve">očekuje se da će udio javnog duga u BDP-u u </w:t>
      </w:r>
      <w:r>
        <w:rPr>
          <w:lang w:val="hr-HR"/>
        </w:rPr>
        <w:t xml:space="preserve">ovoj </w:t>
      </w:r>
      <w:r w:rsidRPr="00C97D4F">
        <w:rPr>
          <w:lang w:val="hr-HR"/>
        </w:rPr>
        <w:t xml:space="preserve">godini zabilježiti smanjenje za </w:t>
      </w:r>
      <w:r w:rsidR="001A7F56">
        <w:rPr>
          <w:lang w:val="hr-HR"/>
        </w:rPr>
        <w:t>7,5</w:t>
      </w:r>
      <w:r w:rsidRPr="00C97D4F">
        <w:rPr>
          <w:lang w:val="hr-HR"/>
        </w:rPr>
        <w:t xml:space="preserve"> postotnih bodova</w:t>
      </w:r>
      <w:r>
        <w:rPr>
          <w:lang w:val="hr-HR"/>
        </w:rPr>
        <w:t>, sa 68,</w:t>
      </w:r>
      <w:r w:rsidR="001A7F56">
        <w:rPr>
          <w:lang w:val="hr-HR"/>
        </w:rPr>
        <w:t>2</w:t>
      </w:r>
      <w:r>
        <w:rPr>
          <w:lang w:val="hr-HR"/>
        </w:rPr>
        <w:t>% BDP-a krajem 2022. na</w:t>
      </w:r>
      <w:r w:rsidRPr="00C97D4F">
        <w:rPr>
          <w:lang w:val="hr-HR"/>
        </w:rPr>
        <w:t xml:space="preserve"> </w:t>
      </w:r>
      <w:r w:rsidR="001A7F56">
        <w:rPr>
          <w:lang w:val="hr-HR"/>
        </w:rPr>
        <w:t>60,7</w:t>
      </w:r>
      <w:r w:rsidR="009E0862">
        <w:rPr>
          <w:lang w:val="hr-HR"/>
        </w:rPr>
        <w:t>% BDP-a</w:t>
      </w:r>
      <w:r>
        <w:rPr>
          <w:lang w:val="hr-HR"/>
        </w:rPr>
        <w:t xml:space="preserve"> krajem 2023. godine.</w:t>
      </w:r>
      <w:r w:rsidRPr="00CF03AD">
        <w:rPr>
          <w:lang w:val="hr-HR"/>
        </w:rPr>
        <w:t xml:space="preserve"> </w:t>
      </w:r>
      <w:r>
        <w:rPr>
          <w:lang w:val="hr-HR"/>
        </w:rPr>
        <w:t>T</w:t>
      </w:r>
      <w:r w:rsidRPr="00CF03AD">
        <w:rPr>
          <w:lang w:val="hr-HR"/>
        </w:rPr>
        <w:t xml:space="preserve">ime će </w:t>
      </w:r>
      <w:r>
        <w:rPr>
          <w:lang w:val="hr-HR"/>
        </w:rPr>
        <w:t>osjetno biti nadmašena dinamika smanjenja koju zahtijeva fiskalno</w:t>
      </w:r>
      <w:r w:rsidRPr="00CF03AD">
        <w:rPr>
          <w:lang w:val="hr-HR"/>
        </w:rPr>
        <w:t xml:space="preserve"> pravilo javnog duga</w:t>
      </w:r>
      <w:r>
        <w:rPr>
          <w:lang w:val="hr-HR"/>
        </w:rPr>
        <w:t xml:space="preserve"> u </w:t>
      </w:r>
      <w:r w:rsidRPr="00606C95">
        <w:rPr>
          <w:lang w:val="hr-HR"/>
        </w:rPr>
        <w:t xml:space="preserve">okviru Pakta o stabilnosti i rastu. </w:t>
      </w:r>
    </w:p>
    <w:sectPr w:rsidR="0095185C" w:rsidRPr="005B125D">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950B1" w:rsidRDefault="00B950B1">
      <w:pPr>
        <w:spacing w:after="0" w:line="240" w:lineRule="auto"/>
      </w:pPr>
      <w:r>
        <w:separator/>
      </w:r>
    </w:p>
  </w:endnote>
  <w:endnote w:type="continuationSeparator" w:id="0">
    <w:p w:rsidR="00B950B1" w:rsidRDefault="00B950B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1870035"/>
      <w:docPartObj>
        <w:docPartGallery w:val="Page Numbers (Bottom of Page)"/>
        <w:docPartUnique/>
      </w:docPartObj>
    </w:sdtPr>
    <w:sdtEndPr>
      <w:rPr>
        <w:noProof/>
        <w:sz w:val="20"/>
        <w:szCs w:val="20"/>
      </w:rPr>
    </w:sdtEndPr>
    <w:sdtContent>
      <w:p w:rsidR="00927736" w:rsidRPr="00927736" w:rsidRDefault="00AA04C8">
        <w:pPr>
          <w:pStyle w:val="Footer"/>
          <w:jc w:val="right"/>
          <w:rPr>
            <w:sz w:val="20"/>
            <w:szCs w:val="20"/>
          </w:rPr>
        </w:pPr>
        <w:r w:rsidRPr="00927736">
          <w:rPr>
            <w:sz w:val="20"/>
            <w:szCs w:val="20"/>
          </w:rPr>
          <w:fldChar w:fldCharType="begin"/>
        </w:r>
        <w:r w:rsidRPr="00927736">
          <w:rPr>
            <w:sz w:val="20"/>
            <w:szCs w:val="20"/>
          </w:rPr>
          <w:instrText xml:space="preserve"> PAGE   \* MERGEFORMAT </w:instrText>
        </w:r>
        <w:r w:rsidRPr="00927736">
          <w:rPr>
            <w:sz w:val="20"/>
            <w:szCs w:val="20"/>
          </w:rPr>
          <w:fldChar w:fldCharType="separate"/>
        </w:r>
        <w:r w:rsidR="00653031">
          <w:rPr>
            <w:noProof/>
            <w:sz w:val="20"/>
            <w:szCs w:val="20"/>
          </w:rPr>
          <w:t>3</w:t>
        </w:r>
        <w:r w:rsidRPr="00927736">
          <w:rPr>
            <w:noProof/>
            <w:sz w:val="20"/>
            <w:szCs w:val="20"/>
          </w:rPr>
          <w:fldChar w:fldCharType="end"/>
        </w:r>
      </w:p>
    </w:sdtContent>
  </w:sdt>
  <w:p w:rsidR="00927736" w:rsidRDefault="0065303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950B1" w:rsidRDefault="00B950B1">
      <w:pPr>
        <w:spacing w:after="0" w:line="240" w:lineRule="auto"/>
      </w:pPr>
      <w:r>
        <w:separator/>
      </w:r>
    </w:p>
  </w:footnote>
  <w:footnote w:type="continuationSeparator" w:id="0">
    <w:p w:rsidR="00B950B1" w:rsidRDefault="00B950B1">
      <w:pPr>
        <w:spacing w:after="0" w:line="240" w:lineRule="auto"/>
      </w:pPr>
      <w:r>
        <w:continuationSeparator/>
      </w:r>
    </w:p>
  </w:footnote>
  <w:footnote w:id="1">
    <w:p w:rsidR="00BE257E" w:rsidRPr="002D1818" w:rsidRDefault="00BE257E" w:rsidP="002D1818">
      <w:pPr>
        <w:pStyle w:val="FootnoteText"/>
        <w:jc w:val="both"/>
        <w:rPr>
          <w:lang w:val="hr-HR"/>
        </w:rPr>
      </w:pPr>
      <w:r w:rsidRPr="002D1818">
        <w:rPr>
          <w:rStyle w:val="FootnoteReference"/>
          <w:lang w:val="hr-HR"/>
        </w:rPr>
        <w:footnoteRef/>
      </w:r>
      <w:r w:rsidRPr="002D1818">
        <w:rPr>
          <w:lang w:val="hr-HR"/>
        </w:rPr>
        <w:t xml:space="preserve"> Detaljna projekcija komponenata BDP-a s rashodne strane bit će objavljena u okviru Nacrta proračunskog plana Republike Hrvatske za 2024. godinu, koji će Vlada RH usvojiti do kraja listopada ove godine.</w:t>
      </w:r>
    </w:p>
  </w:footnote>
  <w:footnote w:id="2">
    <w:p w:rsidR="005B125D" w:rsidRPr="002D1818" w:rsidRDefault="005B125D" w:rsidP="002D1818">
      <w:pPr>
        <w:pStyle w:val="FootnoteText"/>
        <w:jc w:val="both"/>
        <w:rPr>
          <w:sz w:val="18"/>
          <w:szCs w:val="18"/>
          <w:lang w:val="hr-HR"/>
        </w:rPr>
      </w:pPr>
      <w:r w:rsidRPr="002D1818">
        <w:rPr>
          <w:rStyle w:val="FootnoteReference"/>
          <w:lang w:val="hr-HR"/>
        </w:rPr>
        <w:footnoteRef/>
      </w:r>
      <w:r w:rsidRPr="002D1818">
        <w:rPr>
          <w:lang w:val="hr-HR"/>
        </w:rPr>
        <w:t xml:space="preserve"> </w:t>
      </w:r>
      <w:r w:rsidRPr="002D1818">
        <w:rPr>
          <w:sz w:val="18"/>
          <w:szCs w:val="18"/>
          <w:lang w:val="hr-HR"/>
        </w:rPr>
        <w:t>Zakon o fiskalnoj odgovornosti, Narodne novine br. 111/2018</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5331B6"/>
    <w:multiLevelType w:val="hybridMultilevel"/>
    <w:tmpl w:val="B370616A"/>
    <w:lvl w:ilvl="0" w:tplc="67602842">
      <w:start w:val="1"/>
      <w:numFmt w:val="bullet"/>
      <w:lvlText w:val="•"/>
      <w:lvlJc w:val="left"/>
      <w:pPr>
        <w:ind w:left="720" w:hanging="360"/>
      </w:pPr>
      <w:rPr>
        <w:rFonts w:ascii="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0E434094"/>
    <w:multiLevelType w:val="hybridMultilevel"/>
    <w:tmpl w:val="409E4E64"/>
    <w:lvl w:ilvl="0" w:tplc="041A0001">
      <w:start w:val="1"/>
      <w:numFmt w:val="bullet"/>
      <w:lvlText w:val=""/>
      <w:lvlJc w:val="left"/>
      <w:pPr>
        <w:ind w:left="780" w:hanging="360"/>
      </w:pPr>
      <w:rPr>
        <w:rFonts w:ascii="Symbol" w:hAnsi="Symbol" w:hint="default"/>
      </w:rPr>
    </w:lvl>
    <w:lvl w:ilvl="1" w:tplc="041A0003" w:tentative="1">
      <w:start w:val="1"/>
      <w:numFmt w:val="bullet"/>
      <w:lvlText w:val="o"/>
      <w:lvlJc w:val="left"/>
      <w:pPr>
        <w:ind w:left="1500" w:hanging="360"/>
      </w:pPr>
      <w:rPr>
        <w:rFonts w:ascii="Courier New" w:hAnsi="Courier New" w:cs="Courier New" w:hint="default"/>
      </w:rPr>
    </w:lvl>
    <w:lvl w:ilvl="2" w:tplc="041A0005" w:tentative="1">
      <w:start w:val="1"/>
      <w:numFmt w:val="bullet"/>
      <w:lvlText w:val=""/>
      <w:lvlJc w:val="left"/>
      <w:pPr>
        <w:ind w:left="2220" w:hanging="360"/>
      </w:pPr>
      <w:rPr>
        <w:rFonts w:ascii="Wingdings" w:hAnsi="Wingdings" w:hint="default"/>
      </w:rPr>
    </w:lvl>
    <w:lvl w:ilvl="3" w:tplc="041A0001" w:tentative="1">
      <w:start w:val="1"/>
      <w:numFmt w:val="bullet"/>
      <w:lvlText w:val=""/>
      <w:lvlJc w:val="left"/>
      <w:pPr>
        <w:ind w:left="2940" w:hanging="360"/>
      </w:pPr>
      <w:rPr>
        <w:rFonts w:ascii="Symbol" w:hAnsi="Symbol" w:hint="default"/>
      </w:rPr>
    </w:lvl>
    <w:lvl w:ilvl="4" w:tplc="041A0003" w:tentative="1">
      <w:start w:val="1"/>
      <w:numFmt w:val="bullet"/>
      <w:lvlText w:val="o"/>
      <w:lvlJc w:val="left"/>
      <w:pPr>
        <w:ind w:left="3660" w:hanging="360"/>
      </w:pPr>
      <w:rPr>
        <w:rFonts w:ascii="Courier New" w:hAnsi="Courier New" w:cs="Courier New" w:hint="default"/>
      </w:rPr>
    </w:lvl>
    <w:lvl w:ilvl="5" w:tplc="041A0005" w:tentative="1">
      <w:start w:val="1"/>
      <w:numFmt w:val="bullet"/>
      <w:lvlText w:val=""/>
      <w:lvlJc w:val="left"/>
      <w:pPr>
        <w:ind w:left="4380" w:hanging="360"/>
      </w:pPr>
      <w:rPr>
        <w:rFonts w:ascii="Wingdings" w:hAnsi="Wingdings" w:hint="default"/>
      </w:rPr>
    </w:lvl>
    <w:lvl w:ilvl="6" w:tplc="041A0001" w:tentative="1">
      <w:start w:val="1"/>
      <w:numFmt w:val="bullet"/>
      <w:lvlText w:val=""/>
      <w:lvlJc w:val="left"/>
      <w:pPr>
        <w:ind w:left="5100" w:hanging="360"/>
      </w:pPr>
      <w:rPr>
        <w:rFonts w:ascii="Symbol" w:hAnsi="Symbol" w:hint="default"/>
      </w:rPr>
    </w:lvl>
    <w:lvl w:ilvl="7" w:tplc="041A0003" w:tentative="1">
      <w:start w:val="1"/>
      <w:numFmt w:val="bullet"/>
      <w:lvlText w:val="o"/>
      <w:lvlJc w:val="left"/>
      <w:pPr>
        <w:ind w:left="5820" w:hanging="360"/>
      </w:pPr>
      <w:rPr>
        <w:rFonts w:ascii="Courier New" w:hAnsi="Courier New" w:cs="Courier New" w:hint="default"/>
      </w:rPr>
    </w:lvl>
    <w:lvl w:ilvl="8" w:tplc="041A0005" w:tentative="1">
      <w:start w:val="1"/>
      <w:numFmt w:val="bullet"/>
      <w:lvlText w:val=""/>
      <w:lvlJc w:val="left"/>
      <w:pPr>
        <w:ind w:left="6540" w:hanging="360"/>
      </w:pPr>
      <w:rPr>
        <w:rFonts w:ascii="Wingdings" w:hAnsi="Wingdings" w:hint="default"/>
      </w:rPr>
    </w:lvl>
  </w:abstractNum>
  <w:abstractNum w:abstractNumId="2" w15:restartNumberingAfterBreak="0">
    <w:nsid w:val="0F9875CE"/>
    <w:multiLevelType w:val="hybridMultilevel"/>
    <w:tmpl w:val="431290E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4E417AD"/>
    <w:multiLevelType w:val="hybridMultilevel"/>
    <w:tmpl w:val="094E487E"/>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 w15:restartNumberingAfterBreak="0">
    <w:nsid w:val="1D741605"/>
    <w:multiLevelType w:val="hybridMultilevel"/>
    <w:tmpl w:val="96D4B97E"/>
    <w:lvl w:ilvl="0" w:tplc="041A0001">
      <w:start w:val="1"/>
      <w:numFmt w:val="bullet"/>
      <w:lvlText w:val=""/>
      <w:lvlJc w:val="left"/>
      <w:pPr>
        <w:ind w:left="1080" w:hanging="360"/>
      </w:pPr>
      <w:rPr>
        <w:rFonts w:ascii="Symbol" w:hAnsi="Symbol"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5" w15:restartNumberingAfterBreak="0">
    <w:nsid w:val="1E932E43"/>
    <w:multiLevelType w:val="hybridMultilevel"/>
    <w:tmpl w:val="3DCAE840"/>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 w15:restartNumberingAfterBreak="0">
    <w:nsid w:val="23397927"/>
    <w:multiLevelType w:val="multilevel"/>
    <w:tmpl w:val="B9E64E1E"/>
    <w:lvl w:ilvl="0">
      <w:start w:val="1"/>
      <w:numFmt w:val="decimal"/>
      <w:lvlText w:val="%1."/>
      <w:lvlJc w:val="left"/>
      <w:pPr>
        <w:ind w:left="720" w:hanging="360"/>
      </w:pPr>
      <w:rPr>
        <w:rFonts w:hint="default"/>
      </w:rPr>
    </w:lvl>
    <w:lvl w:ilvl="1">
      <w:start w:val="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7" w15:restartNumberingAfterBreak="0">
    <w:nsid w:val="337E157D"/>
    <w:multiLevelType w:val="multilevel"/>
    <w:tmpl w:val="B9E64E1E"/>
    <w:lvl w:ilvl="0">
      <w:start w:val="1"/>
      <w:numFmt w:val="decimal"/>
      <w:lvlText w:val="%1."/>
      <w:lvlJc w:val="left"/>
      <w:pPr>
        <w:ind w:left="720" w:hanging="360"/>
      </w:pPr>
      <w:rPr>
        <w:rFonts w:hint="default"/>
      </w:rPr>
    </w:lvl>
    <w:lvl w:ilvl="1">
      <w:start w:val="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8" w15:restartNumberingAfterBreak="0">
    <w:nsid w:val="360D3EF1"/>
    <w:multiLevelType w:val="hybridMultilevel"/>
    <w:tmpl w:val="CFAC9334"/>
    <w:lvl w:ilvl="0" w:tplc="041A0001">
      <w:start w:val="1"/>
      <w:numFmt w:val="bullet"/>
      <w:lvlText w:val=""/>
      <w:lvlJc w:val="left"/>
      <w:pPr>
        <w:ind w:left="780" w:hanging="360"/>
      </w:pPr>
      <w:rPr>
        <w:rFonts w:ascii="Symbol" w:hAnsi="Symbol" w:hint="default"/>
      </w:rPr>
    </w:lvl>
    <w:lvl w:ilvl="1" w:tplc="041A0003" w:tentative="1">
      <w:start w:val="1"/>
      <w:numFmt w:val="bullet"/>
      <w:lvlText w:val="o"/>
      <w:lvlJc w:val="left"/>
      <w:pPr>
        <w:ind w:left="1500" w:hanging="360"/>
      </w:pPr>
      <w:rPr>
        <w:rFonts w:ascii="Courier New" w:hAnsi="Courier New" w:cs="Courier New" w:hint="default"/>
      </w:rPr>
    </w:lvl>
    <w:lvl w:ilvl="2" w:tplc="041A0005" w:tentative="1">
      <w:start w:val="1"/>
      <w:numFmt w:val="bullet"/>
      <w:lvlText w:val=""/>
      <w:lvlJc w:val="left"/>
      <w:pPr>
        <w:ind w:left="2220" w:hanging="360"/>
      </w:pPr>
      <w:rPr>
        <w:rFonts w:ascii="Wingdings" w:hAnsi="Wingdings" w:hint="default"/>
      </w:rPr>
    </w:lvl>
    <w:lvl w:ilvl="3" w:tplc="041A0001" w:tentative="1">
      <w:start w:val="1"/>
      <w:numFmt w:val="bullet"/>
      <w:lvlText w:val=""/>
      <w:lvlJc w:val="left"/>
      <w:pPr>
        <w:ind w:left="2940" w:hanging="360"/>
      </w:pPr>
      <w:rPr>
        <w:rFonts w:ascii="Symbol" w:hAnsi="Symbol" w:hint="default"/>
      </w:rPr>
    </w:lvl>
    <w:lvl w:ilvl="4" w:tplc="041A0003" w:tentative="1">
      <w:start w:val="1"/>
      <w:numFmt w:val="bullet"/>
      <w:lvlText w:val="o"/>
      <w:lvlJc w:val="left"/>
      <w:pPr>
        <w:ind w:left="3660" w:hanging="360"/>
      </w:pPr>
      <w:rPr>
        <w:rFonts w:ascii="Courier New" w:hAnsi="Courier New" w:cs="Courier New" w:hint="default"/>
      </w:rPr>
    </w:lvl>
    <w:lvl w:ilvl="5" w:tplc="041A0005" w:tentative="1">
      <w:start w:val="1"/>
      <w:numFmt w:val="bullet"/>
      <w:lvlText w:val=""/>
      <w:lvlJc w:val="left"/>
      <w:pPr>
        <w:ind w:left="4380" w:hanging="360"/>
      </w:pPr>
      <w:rPr>
        <w:rFonts w:ascii="Wingdings" w:hAnsi="Wingdings" w:hint="default"/>
      </w:rPr>
    </w:lvl>
    <w:lvl w:ilvl="6" w:tplc="041A0001" w:tentative="1">
      <w:start w:val="1"/>
      <w:numFmt w:val="bullet"/>
      <w:lvlText w:val=""/>
      <w:lvlJc w:val="left"/>
      <w:pPr>
        <w:ind w:left="5100" w:hanging="360"/>
      </w:pPr>
      <w:rPr>
        <w:rFonts w:ascii="Symbol" w:hAnsi="Symbol" w:hint="default"/>
      </w:rPr>
    </w:lvl>
    <w:lvl w:ilvl="7" w:tplc="041A0003" w:tentative="1">
      <w:start w:val="1"/>
      <w:numFmt w:val="bullet"/>
      <w:lvlText w:val="o"/>
      <w:lvlJc w:val="left"/>
      <w:pPr>
        <w:ind w:left="5820" w:hanging="360"/>
      </w:pPr>
      <w:rPr>
        <w:rFonts w:ascii="Courier New" w:hAnsi="Courier New" w:cs="Courier New" w:hint="default"/>
      </w:rPr>
    </w:lvl>
    <w:lvl w:ilvl="8" w:tplc="041A0005" w:tentative="1">
      <w:start w:val="1"/>
      <w:numFmt w:val="bullet"/>
      <w:lvlText w:val=""/>
      <w:lvlJc w:val="left"/>
      <w:pPr>
        <w:ind w:left="6540" w:hanging="360"/>
      </w:pPr>
      <w:rPr>
        <w:rFonts w:ascii="Wingdings" w:hAnsi="Wingdings" w:hint="default"/>
      </w:rPr>
    </w:lvl>
  </w:abstractNum>
  <w:abstractNum w:abstractNumId="9" w15:restartNumberingAfterBreak="0">
    <w:nsid w:val="50423EA3"/>
    <w:multiLevelType w:val="hybridMultilevel"/>
    <w:tmpl w:val="68DE9FEE"/>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0" w15:restartNumberingAfterBreak="0">
    <w:nsid w:val="55B01652"/>
    <w:multiLevelType w:val="hybridMultilevel"/>
    <w:tmpl w:val="D5D4DF6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1" w15:restartNumberingAfterBreak="0">
    <w:nsid w:val="592A72A3"/>
    <w:multiLevelType w:val="multilevel"/>
    <w:tmpl w:val="8326B91C"/>
    <w:lvl w:ilvl="0">
      <w:start w:val="1"/>
      <w:numFmt w:val="decimal"/>
      <w:lvlText w:val="%1."/>
      <w:lvlJc w:val="left"/>
      <w:pPr>
        <w:tabs>
          <w:tab w:val="num" w:pos="432"/>
        </w:tabs>
        <w:ind w:left="432" w:hanging="432"/>
      </w:pPr>
      <w:rPr>
        <w:rFonts w:asciiTheme="minorHAnsi" w:hAnsiTheme="minorHAnsi" w:hint="default"/>
        <w:b/>
        <w:bCs/>
        <w:i w:val="0"/>
        <w:iCs w:val="0"/>
        <w:caps w:val="0"/>
        <w:smallCaps w:val="0"/>
        <w:strike w:val="0"/>
        <w:dstrike w:val="0"/>
        <w:color w:val="auto"/>
        <w:spacing w:val="0"/>
        <w:w w:val="100"/>
        <w:kern w:val="0"/>
        <w:position w:val="0"/>
        <w:sz w:val="26"/>
        <w:u w:val="none"/>
        <w:effect w:val="none"/>
        <w:bdr w:val="none" w:sz="0" w:space="0" w:color="auto"/>
        <w:shd w:val="clear" w:color="auto" w:fill="auto"/>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76"/>
        </w:tabs>
        <w:ind w:left="576" w:hanging="576"/>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702A40F6"/>
    <w:multiLevelType w:val="hybridMultilevel"/>
    <w:tmpl w:val="C6AA1D9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3" w15:restartNumberingAfterBreak="0">
    <w:nsid w:val="70315F45"/>
    <w:multiLevelType w:val="multilevel"/>
    <w:tmpl w:val="41FE205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70703F9F"/>
    <w:multiLevelType w:val="multilevel"/>
    <w:tmpl w:val="D374C218"/>
    <w:lvl w:ilvl="0">
      <w:start w:val="4"/>
      <w:numFmt w:val="decimal"/>
      <w:lvlText w:val="%1."/>
      <w:lvlJc w:val="left"/>
      <w:pPr>
        <w:ind w:left="360" w:hanging="360"/>
      </w:pPr>
      <w:rPr>
        <w:rFonts w:hint="default"/>
        <w:i w:val="0"/>
      </w:rPr>
    </w:lvl>
    <w:lvl w:ilvl="1">
      <w:start w:val="1"/>
      <w:numFmt w:val="decimal"/>
      <w:lvlText w:val="%1.%2."/>
      <w:lvlJc w:val="left"/>
      <w:pPr>
        <w:ind w:left="360" w:hanging="36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abstractNum w:abstractNumId="15" w15:restartNumberingAfterBreak="0">
    <w:nsid w:val="71C5691A"/>
    <w:multiLevelType w:val="hybridMultilevel"/>
    <w:tmpl w:val="22F0A9A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6" w15:restartNumberingAfterBreak="0">
    <w:nsid w:val="79003C21"/>
    <w:multiLevelType w:val="multilevel"/>
    <w:tmpl w:val="B9E64E1E"/>
    <w:lvl w:ilvl="0">
      <w:start w:val="1"/>
      <w:numFmt w:val="decimal"/>
      <w:lvlText w:val="%1."/>
      <w:lvlJc w:val="left"/>
      <w:pPr>
        <w:ind w:left="720" w:hanging="360"/>
      </w:pPr>
      <w:rPr>
        <w:rFonts w:hint="default"/>
      </w:rPr>
    </w:lvl>
    <w:lvl w:ilvl="1">
      <w:start w:val="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7" w15:restartNumberingAfterBreak="0">
    <w:nsid w:val="7DD5345B"/>
    <w:multiLevelType w:val="hybridMultilevel"/>
    <w:tmpl w:val="9D043C8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7F9D0D93"/>
    <w:multiLevelType w:val="hybridMultilevel"/>
    <w:tmpl w:val="59DA8A08"/>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16"/>
  </w:num>
  <w:num w:numId="2">
    <w:abstractNumId w:val="11"/>
  </w:num>
  <w:num w:numId="3">
    <w:abstractNumId w:val="14"/>
  </w:num>
  <w:num w:numId="4">
    <w:abstractNumId w:val="2"/>
  </w:num>
  <w:num w:numId="5">
    <w:abstractNumId w:val="17"/>
  </w:num>
  <w:num w:numId="6">
    <w:abstractNumId w:val="3"/>
  </w:num>
  <w:num w:numId="7">
    <w:abstractNumId w:val="0"/>
  </w:num>
  <w:num w:numId="8">
    <w:abstractNumId w:val="4"/>
  </w:num>
  <w:num w:numId="9">
    <w:abstractNumId w:val="15"/>
  </w:num>
  <w:num w:numId="10">
    <w:abstractNumId w:val="18"/>
  </w:num>
  <w:num w:numId="11">
    <w:abstractNumId w:val="10"/>
  </w:num>
  <w:num w:numId="12">
    <w:abstractNumId w:val="6"/>
  </w:num>
  <w:num w:numId="13">
    <w:abstractNumId w:val="7"/>
  </w:num>
  <w:num w:numId="14">
    <w:abstractNumId w:val="1"/>
  </w:num>
  <w:num w:numId="15">
    <w:abstractNumId w:val="13"/>
  </w:num>
  <w:num w:numId="16">
    <w:abstractNumId w:val="12"/>
  </w:num>
  <w:num w:numId="17">
    <w:abstractNumId w:val="9"/>
  </w:num>
  <w:num w:numId="18">
    <w:abstractNumId w:val="5"/>
  </w:num>
  <w:num w:numId="1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5948"/>
    <w:rsid w:val="000002CE"/>
    <w:rsid w:val="0000261D"/>
    <w:rsid w:val="00003D5E"/>
    <w:rsid w:val="00004CF8"/>
    <w:rsid w:val="0000672A"/>
    <w:rsid w:val="00006731"/>
    <w:rsid w:val="000101D8"/>
    <w:rsid w:val="0001315E"/>
    <w:rsid w:val="00021B81"/>
    <w:rsid w:val="00023A60"/>
    <w:rsid w:val="00023F38"/>
    <w:rsid w:val="00025948"/>
    <w:rsid w:val="00027686"/>
    <w:rsid w:val="00027EBF"/>
    <w:rsid w:val="000307B2"/>
    <w:rsid w:val="00044D20"/>
    <w:rsid w:val="0004579A"/>
    <w:rsid w:val="000465E0"/>
    <w:rsid w:val="0005132A"/>
    <w:rsid w:val="000516ED"/>
    <w:rsid w:val="00060E64"/>
    <w:rsid w:val="0006121D"/>
    <w:rsid w:val="000674BE"/>
    <w:rsid w:val="0007216A"/>
    <w:rsid w:val="000722F3"/>
    <w:rsid w:val="00077291"/>
    <w:rsid w:val="00081C54"/>
    <w:rsid w:val="000848F3"/>
    <w:rsid w:val="00085157"/>
    <w:rsid w:val="000949E5"/>
    <w:rsid w:val="000A2502"/>
    <w:rsid w:val="000A253C"/>
    <w:rsid w:val="000A57CF"/>
    <w:rsid w:val="000B4B02"/>
    <w:rsid w:val="000B7EEC"/>
    <w:rsid w:val="000C1CEE"/>
    <w:rsid w:val="000C4539"/>
    <w:rsid w:val="000D3576"/>
    <w:rsid w:val="000D59BF"/>
    <w:rsid w:val="000E4A39"/>
    <w:rsid w:val="000F091E"/>
    <w:rsid w:val="000F0944"/>
    <w:rsid w:val="000F2753"/>
    <w:rsid w:val="001021B6"/>
    <w:rsid w:val="001039E2"/>
    <w:rsid w:val="00103C81"/>
    <w:rsid w:val="001127D4"/>
    <w:rsid w:val="00116F22"/>
    <w:rsid w:val="00122C87"/>
    <w:rsid w:val="0013052B"/>
    <w:rsid w:val="001314F6"/>
    <w:rsid w:val="001321EB"/>
    <w:rsid w:val="00134B35"/>
    <w:rsid w:val="00135C45"/>
    <w:rsid w:val="00144841"/>
    <w:rsid w:val="00146291"/>
    <w:rsid w:val="00153EC8"/>
    <w:rsid w:val="00161610"/>
    <w:rsid w:val="001628CF"/>
    <w:rsid w:val="00163C80"/>
    <w:rsid w:val="001642D4"/>
    <w:rsid w:val="001660B7"/>
    <w:rsid w:val="00176E3C"/>
    <w:rsid w:val="00180523"/>
    <w:rsid w:val="001830E6"/>
    <w:rsid w:val="00195EBE"/>
    <w:rsid w:val="001968B6"/>
    <w:rsid w:val="00196F0D"/>
    <w:rsid w:val="00197DB6"/>
    <w:rsid w:val="001A487B"/>
    <w:rsid w:val="001A7F56"/>
    <w:rsid w:val="001C0A3F"/>
    <w:rsid w:val="001C0D49"/>
    <w:rsid w:val="001C50F6"/>
    <w:rsid w:val="001C518F"/>
    <w:rsid w:val="001C5874"/>
    <w:rsid w:val="001D5595"/>
    <w:rsid w:val="001E0575"/>
    <w:rsid w:val="001E19B0"/>
    <w:rsid w:val="001E514B"/>
    <w:rsid w:val="001F1D66"/>
    <w:rsid w:val="001F2B62"/>
    <w:rsid w:val="001F3D73"/>
    <w:rsid w:val="001F4161"/>
    <w:rsid w:val="001F5712"/>
    <w:rsid w:val="002022F9"/>
    <w:rsid w:val="002029CF"/>
    <w:rsid w:val="00202ECD"/>
    <w:rsid w:val="00203260"/>
    <w:rsid w:val="00205365"/>
    <w:rsid w:val="002177E5"/>
    <w:rsid w:val="0022280E"/>
    <w:rsid w:val="002447E3"/>
    <w:rsid w:val="0024536B"/>
    <w:rsid w:val="0024773E"/>
    <w:rsid w:val="00256902"/>
    <w:rsid w:val="002632A5"/>
    <w:rsid w:val="0026390D"/>
    <w:rsid w:val="00263C6F"/>
    <w:rsid w:val="0026503E"/>
    <w:rsid w:val="00270A0D"/>
    <w:rsid w:val="00272320"/>
    <w:rsid w:val="002776E1"/>
    <w:rsid w:val="00277BFE"/>
    <w:rsid w:val="002821C1"/>
    <w:rsid w:val="00287171"/>
    <w:rsid w:val="002875DE"/>
    <w:rsid w:val="00287D4E"/>
    <w:rsid w:val="00291285"/>
    <w:rsid w:val="002A19FA"/>
    <w:rsid w:val="002B3BAA"/>
    <w:rsid w:val="002C1D0D"/>
    <w:rsid w:val="002C4294"/>
    <w:rsid w:val="002C5A48"/>
    <w:rsid w:val="002C7056"/>
    <w:rsid w:val="002D1818"/>
    <w:rsid w:val="002D3AA1"/>
    <w:rsid w:val="002D563E"/>
    <w:rsid w:val="002E0711"/>
    <w:rsid w:val="002E165F"/>
    <w:rsid w:val="002E2FFA"/>
    <w:rsid w:val="002F110B"/>
    <w:rsid w:val="002F1167"/>
    <w:rsid w:val="002F2569"/>
    <w:rsid w:val="002F3F2E"/>
    <w:rsid w:val="00305F0F"/>
    <w:rsid w:val="0031135C"/>
    <w:rsid w:val="0031161A"/>
    <w:rsid w:val="00322E85"/>
    <w:rsid w:val="0032576C"/>
    <w:rsid w:val="0032614A"/>
    <w:rsid w:val="0033243E"/>
    <w:rsid w:val="00336226"/>
    <w:rsid w:val="00343D8F"/>
    <w:rsid w:val="003459A2"/>
    <w:rsid w:val="003461F5"/>
    <w:rsid w:val="00354B24"/>
    <w:rsid w:val="00363C1C"/>
    <w:rsid w:val="00364E3D"/>
    <w:rsid w:val="00371DE3"/>
    <w:rsid w:val="0037580C"/>
    <w:rsid w:val="00380E0B"/>
    <w:rsid w:val="00382903"/>
    <w:rsid w:val="00393372"/>
    <w:rsid w:val="003955B2"/>
    <w:rsid w:val="003A141B"/>
    <w:rsid w:val="003A3C60"/>
    <w:rsid w:val="003A3ED1"/>
    <w:rsid w:val="003A5942"/>
    <w:rsid w:val="003B24C8"/>
    <w:rsid w:val="003B4749"/>
    <w:rsid w:val="003B7E82"/>
    <w:rsid w:val="003C16AA"/>
    <w:rsid w:val="003C1F05"/>
    <w:rsid w:val="003C433B"/>
    <w:rsid w:val="003D66F3"/>
    <w:rsid w:val="003E132F"/>
    <w:rsid w:val="003E2AE9"/>
    <w:rsid w:val="003E4F61"/>
    <w:rsid w:val="003E6AB4"/>
    <w:rsid w:val="003E770D"/>
    <w:rsid w:val="003F33C8"/>
    <w:rsid w:val="003F5AF9"/>
    <w:rsid w:val="004017B2"/>
    <w:rsid w:val="004041B9"/>
    <w:rsid w:val="00411965"/>
    <w:rsid w:val="00412A4D"/>
    <w:rsid w:val="00413A8B"/>
    <w:rsid w:val="00424966"/>
    <w:rsid w:val="00431373"/>
    <w:rsid w:val="00431436"/>
    <w:rsid w:val="0043248F"/>
    <w:rsid w:val="00432971"/>
    <w:rsid w:val="00433F61"/>
    <w:rsid w:val="00436640"/>
    <w:rsid w:val="00437A80"/>
    <w:rsid w:val="00443089"/>
    <w:rsid w:val="004430B0"/>
    <w:rsid w:val="00460A30"/>
    <w:rsid w:val="0046118F"/>
    <w:rsid w:val="004619A3"/>
    <w:rsid w:val="00462A9E"/>
    <w:rsid w:val="00462EC5"/>
    <w:rsid w:val="00464930"/>
    <w:rsid w:val="0047545F"/>
    <w:rsid w:val="00475489"/>
    <w:rsid w:val="00477293"/>
    <w:rsid w:val="00480958"/>
    <w:rsid w:val="0048144B"/>
    <w:rsid w:val="00484ACC"/>
    <w:rsid w:val="00485117"/>
    <w:rsid w:val="004869ED"/>
    <w:rsid w:val="00493C2F"/>
    <w:rsid w:val="004941A1"/>
    <w:rsid w:val="0049458F"/>
    <w:rsid w:val="00497255"/>
    <w:rsid w:val="004A0B3C"/>
    <w:rsid w:val="004A6071"/>
    <w:rsid w:val="004A6E12"/>
    <w:rsid w:val="004B07D7"/>
    <w:rsid w:val="004C0D92"/>
    <w:rsid w:val="004C1AAF"/>
    <w:rsid w:val="004C3991"/>
    <w:rsid w:val="004D3018"/>
    <w:rsid w:val="004E22FA"/>
    <w:rsid w:val="004E31D4"/>
    <w:rsid w:val="004E3244"/>
    <w:rsid w:val="004E4E67"/>
    <w:rsid w:val="004E62B4"/>
    <w:rsid w:val="004E6301"/>
    <w:rsid w:val="004F024C"/>
    <w:rsid w:val="004F679C"/>
    <w:rsid w:val="004F7F6A"/>
    <w:rsid w:val="00501B37"/>
    <w:rsid w:val="005052A5"/>
    <w:rsid w:val="005116C4"/>
    <w:rsid w:val="00515E82"/>
    <w:rsid w:val="00516C30"/>
    <w:rsid w:val="00523FC5"/>
    <w:rsid w:val="0052640F"/>
    <w:rsid w:val="00527CC0"/>
    <w:rsid w:val="00530EA6"/>
    <w:rsid w:val="0053462C"/>
    <w:rsid w:val="00534EB8"/>
    <w:rsid w:val="0054100C"/>
    <w:rsid w:val="005432B2"/>
    <w:rsid w:val="00555278"/>
    <w:rsid w:val="00564895"/>
    <w:rsid w:val="00565534"/>
    <w:rsid w:val="00575C1C"/>
    <w:rsid w:val="00581587"/>
    <w:rsid w:val="005874C7"/>
    <w:rsid w:val="00590B56"/>
    <w:rsid w:val="005910E9"/>
    <w:rsid w:val="00594EDD"/>
    <w:rsid w:val="005A0005"/>
    <w:rsid w:val="005A21E0"/>
    <w:rsid w:val="005A232D"/>
    <w:rsid w:val="005A3FA6"/>
    <w:rsid w:val="005A4D7F"/>
    <w:rsid w:val="005A5CBC"/>
    <w:rsid w:val="005A6A43"/>
    <w:rsid w:val="005A794A"/>
    <w:rsid w:val="005B125D"/>
    <w:rsid w:val="005B2307"/>
    <w:rsid w:val="005B48B6"/>
    <w:rsid w:val="005B5449"/>
    <w:rsid w:val="005B551F"/>
    <w:rsid w:val="005B6C0E"/>
    <w:rsid w:val="005C0106"/>
    <w:rsid w:val="005D0BFC"/>
    <w:rsid w:val="005D1E70"/>
    <w:rsid w:val="005E07B9"/>
    <w:rsid w:val="005F50CC"/>
    <w:rsid w:val="006006A7"/>
    <w:rsid w:val="00604A00"/>
    <w:rsid w:val="00612BE3"/>
    <w:rsid w:val="00613326"/>
    <w:rsid w:val="0061798F"/>
    <w:rsid w:val="00621C85"/>
    <w:rsid w:val="00623D98"/>
    <w:rsid w:val="006344E3"/>
    <w:rsid w:val="00636B36"/>
    <w:rsid w:val="0063732B"/>
    <w:rsid w:val="00643BD3"/>
    <w:rsid w:val="00653031"/>
    <w:rsid w:val="006543D7"/>
    <w:rsid w:val="00663BAE"/>
    <w:rsid w:val="00663C53"/>
    <w:rsid w:val="00664373"/>
    <w:rsid w:val="0066449E"/>
    <w:rsid w:val="00664705"/>
    <w:rsid w:val="00664A81"/>
    <w:rsid w:val="00664B51"/>
    <w:rsid w:val="00665B80"/>
    <w:rsid w:val="00671EBB"/>
    <w:rsid w:val="00673FB2"/>
    <w:rsid w:val="006829D5"/>
    <w:rsid w:val="00684659"/>
    <w:rsid w:val="00690FC0"/>
    <w:rsid w:val="006926E8"/>
    <w:rsid w:val="006933C6"/>
    <w:rsid w:val="00695A3B"/>
    <w:rsid w:val="006A0870"/>
    <w:rsid w:val="006A0DFE"/>
    <w:rsid w:val="006B61E8"/>
    <w:rsid w:val="006C2D6D"/>
    <w:rsid w:val="006C378E"/>
    <w:rsid w:val="006C7BE6"/>
    <w:rsid w:val="006D1E67"/>
    <w:rsid w:val="006D216C"/>
    <w:rsid w:val="006E0462"/>
    <w:rsid w:val="006E2E2C"/>
    <w:rsid w:val="006F38A8"/>
    <w:rsid w:val="00701485"/>
    <w:rsid w:val="00702946"/>
    <w:rsid w:val="00716AF3"/>
    <w:rsid w:val="0072362F"/>
    <w:rsid w:val="00731F4D"/>
    <w:rsid w:val="007329D4"/>
    <w:rsid w:val="00732DC2"/>
    <w:rsid w:val="00746FEB"/>
    <w:rsid w:val="007502A4"/>
    <w:rsid w:val="007542A0"/>
    <w:rsid w:val="0075491A"/>
    <w:rsid w:val="00757FA8"/>
    <w:rsid w:val="0076522F"/>
    <w:rsid w:val="00766D65"/>
    <w:rsid w:val="00770408"/>
    <w:rsid w:val="007751CC"/>
    <w:rsid w:val="007770EE"/>
    <w:rsid w:val="00784406"/>
    <w:rsid w:val="00787D80"/>
    <w:rsid w:val="007905BA"/>
    <w:rsid w:val="00790CDC"/>
    <w:rsid w:val="0079230A"/>
    <w:rsid w:val="00796C59"/>
    <w:rsid w:val="007A4B97"/>
    <w:rsid w:val="007A6C24"/>
    <w:rsid w:val="007B1C3F"/>
    <w:rsid w:val="007B5B19"/>
    <w:rsid w:val="007C299C"/>
    <w:rsid w:val="007C3AA7"/>
    <w:rsid w:val="007C44C4"/>
    <w:rsid w:val="007C5725"/>
    <w:rsid w:val="007C66CE"/>
    <w:rsid w:val="007D1376"/>
    <w:rsid w:val="007D1F26"/>
    <w:rsid w:val="007D3532"/>
    <w:rsid w:val="007D65E1"/>
    <w:rsid w:val="007E5126"/>
    <w:rsid w:val="007E7F0F"/>
    <w:rsid w:val="007F57ED"/>
    <w:rsid w:val="007F5D36"/>
    <w:rsid w:val="00817577"/>
    <w:rsid w:val="00817E42"/>
    <w:rsid w:val="00832499"/>
    <w:rsid w:val="00834F7F"/>
    <w:rsid w:val="00842ABA"/>
    <w:rsid w:val="00842AFE"/>
    <w:rsid w:val="0084456C"/>
    <w:rsid w:val="00844759"/>
    <w:rsid w:val="008459EF"/>
    <w:rsid w:val="00853137"/>
    <w:rsid w:val="00855015"/>
    <w:rsid w:val="008564C5"/>
    <w:rsid w:val="008564E7"/>
    <w:rsid w:val="00862D60"/>
    <w:rsid w:val="008640C8"/>
    <w:rsid w:val="00866FE4"/>
    <w:rsid w:val="00872199"/>
    <w:rsid w:val="008806AD"/>
    <w:rsid w:val="0088473B"/>
    <w:rsid w:val="00890A93"/>
    <w:rsid w:val="00892DEC"/>
    <w:rsid w:val="008A355E"/>
    <w:rsid w:val="008B023E"/>
    <w:rsid w:val="008B11A1"/>
    <w:rsid w:val="008B2BF8"/>
    <w:rsid w:val="008B3DDE"/>
    <w:rsid w:val="008B5A3F"/>
    <w:rsid w:val="008B6A21"/>
    <w:rsid w:val="008C09FB"/>
    <w:rsid w:val="008D1E3F"/>
    <w:rsid w:val="008D59D4"/>
    <w:rsid w:val="008E0A92"/>
    <w:rsid w:val="008E433A"/>
    <w:rsid w:val="008E663A"/>
    <w:rsid w:val="008E6B89"/>
    <w:rsid w:val="008F3ABC"/>
    <w:rsid w:val="008F43CA"/>
    <w:rsid w:val="008F77E8"/>
    <w:rsid w:val="00900091"/>
    <w:rsid w:val="0090598D"/>
    <w:rsid w:val="009066BC"/>
    <w:rsid w:val="00906CDD"/>
    <w:rsid w:val="00910147"/>
    <w:rsid w:val="00911875"/>
    <w:rsid w:val="009259EC"/>
    <w:rsid w:val="009277FC"/>
    <w:rsid w:val="00927931"/>
    <w:rsid w:val="00935190"/>
    <w:rsid w:val="0093578D"/>
    <w:rsid w:val="009378FA"/>
    <w:rsid w:val="009472B4"/>
    <w:rsid w:val="0095185C"/>
    <w:rsid w:val="00956D9C"/>
    <w:rsid w:val="00961B26"/>
    <w:rsid w:val="00965909"/>
    <w:rsid w:val="00965B91"/>
    <w:rsid w:val="00966612"/>
    <w:rsid w:val="00967A84"/>
    <w:rsid w:val="00970046"/>
    <w:rsid w:val="00970185"/>
    <w:rsid w:val="00972E2E"/>
    <w:rsid w:val="0098527F"/>
    <w:rsid w:val="009910AD"/>
    <w:rsid w:val="00991529"/>
    <w:rsid w:val="00991D29"/>
    <w:rsid w:val="00992BE3"/>
    <w:rsid w:val="009967B3"/>
    <w:rsid w:val="00997638"/>
    <w:rsid w:val="009A46B0"/>
    <w:rsid w:val="009A6F6C"/>
    <w:rsid w:val="009B5CBF"/>
    <w:rsid w:val="009C05C5"/>
    <w:rsid w:val="009C1408"/>
    <w:rsid w:val="009C6EC4"/>
    <w:rsid w:val="009D0FF5"/>
    <w:rsid w:val="009D2095"/>
    <w:rsid w:val="009D7C74"/>
    <w:rsid w:val="009E06DD"/>
    <w:rsid w:val="009E0862"/>
    <w:rsid w:val="009E2EE7"/>
    <w:rsid w:val="009F1616"/>
    <w:rsid w:val="009F7E77"/>
    <w:rsid w:val="00A030F1"/>
    <w:rsid w:val="00A07A6D"/>
    <w:rsid w:val="00A15365"/>
    <w:rsid w:val="00A21D60"/>
    <w:rsid w:val="00A21F78"/>
    <w:rsid w:val="00A22498"/>
    <w:rsid w:val="00A23247"/>
    <w:rsid w:val="00A3339D"/>
    <w:rsid w:val="00A3497D"/>
    <w:rsid w:val="00A3569F"/>
    <w:rsid w:val="00A42F39"/>
    <w:rsid w:val="00A461B3"/>
    <w:rsid w:val="00A51F1D"/>
    <w:rsid w:val="00A52208"/>
    <w:rsid w:val="00A52D48"/>
    <w:rsid w:val="00A66542"/>
    <w:rsid w:val="00A6778B"/>
    <w:rsid w:val="00A74C1D"/>
    <w:rsid w:val="00A75BB0"/>
    <w:rsid w:val="00A77AFD"/>
    <w:rsid w:val="00A77D9B"/>
    <w:rsid w:val="00A92178"/>
    <w:rsid w:val="00A93616"/>
    <w:rsid w:val="00A97837"/>
    <w:rsid w:val="00AA04C8"/>
    <w:rsid w:val="00AA256A"/>
    <w:rsid w:val="00AA402D"/>
    <w:rsid w:val="00AB14F5"/>
    <w:rsid w:val="00AB1A7D"/>
    <w:rsid w:val="00AC174D"/>
    <w:rsid w:val="00AC3A63"/>
    <w:rsid w:val="00AC4047"/>
    <w:rsid w:val="00AD4D90"/>
    <w:rsid w:val="00AD7171"/>
    <w:rsid w:val="00AF233C"/>
    <w:rsid w:val="00B00F17"/>
    <w:rsid w:val="00B07A9E"/>
    <w:rsid w:val="00B1290A"/>
    <w:rsid w:val="00B135AC"/>
    <w:rsid w:val="00B13D42"/>
    <w:rsid w:val="00B14811"/>
    <w:rsid w:val="00B15953"/>
    <w:rsid w:val="00B174AC"/>
    <w:rsid w:val="00B26378"/>
    <w:rsid w:val="00B31D1F"/>
    <w:rsid w:val="00B32FA6"/>
    <w:rsid w:val="00B3494F"/>
    <w:rsid w:val="00B3517B"/>
    <w:rsid w:val="00B36CEE"/>
    <w:rsid w:val="00B448B2"/>
    <w:rsid w:val="00B50485"/>
    <w:rsid w:val="00B51E04"/>
    <w:rsid w:val="00B52D51"/>
    <w:rsid w:val="00B56836"/>
    <w:rsid w:val="00B606DE"/>
    <w:rsid w:val="00B63062"/>
    <w:rsid w:val="00B65176"/>
    <w:rsid w:val="00B66561"/>
    <w:rsid w:val="00B6674E"/>
    <w:rsid w:val="00B72346"/>
    <w:rsid w:val="00B74EF4"/>
    <w:rsid w:val="00B74F0B"/>
    <w:rsid w:val="00B7748B"/>
    <w:rsid w:val="00B91C82"/>
    <w:rsid w:val="00B950B1"/>
    <w:rsid w:val="00B96BDF"/>
    <w:rsid w:val="00BA3F52"/>
    <w:rsid w:val="00BA4CAA"/>
    <w:rsid w:val="00BA7EE7"/>
    <w:rsid w:val="00BB2EE4"/>
    <w:rsid w:val="00BB70D5"/>
    <w:rsid w:val="00BC18A3"/>
    <w:rsid w:val="00BD5FC6"/>
    <w:rsid w:val="00BD6A94"/>
    <w:rsid w:val="00BE1308"/>
    <w:rsid w:val="00BE257E"/>
    <w:rsid w:val="00BE4D10"/>
    <w:rsid w:val="00BE5075"/>
    <w:rsid w:val="00BF3942"/>
    <w:rsid w:val="00BF3C17"/>
    <w:rsid w:val="00BF57CE"/>
    <w:rsid w:val="00BF661A"/>
    <w:rsid w:val="00C00C23"/>
    <w:rsid w:val="00C062D4"/>
    <w:rsid w:val="00C06873"/>
    <w:rsid w:val="00C1059A"/>
    <w:rsid w:val="00C17512"/>
    <w:rsid w:val="00C17FF7"/>
    <w:rsid w:val="00C24DB0"/>
    <w:rsid w:val="00C262BF"/>
    <w:rsid w:val="00C31E42"/>
    <w:rsid w:val="00C32CBF"/>
    <w:rsid w:val="00C36434"/>
    <w:rsid w:val="00C3717D"/>
    <w:rsid w:val="00C41D6F"/>
    <w:rsid w:val="00C46632"/>
    <w:rsid w:val="00C47F89"/>
    <w:rsid w:val="00C51F2C"/>
    <w:rsid w:val="00C533A2"/>
    <w:rsid w:val="00C54C06"/>
    <w:rsid w:val="00C555C3"/>
    <w:rsid w:val="00C56E02"/>
    <w:rsid w:val="00C60125"/>
    <w:rsid w:val="00C610F9"/>
    <w:rsid w:val="00C67DD6"/>
    <w:rsid w:val="00C7479D"/>
    <w:rsid w:val="00C763F9"/>
    <w:rsid w:val="00C77421"/>
    <w:rsid w:val="00C84E40"/>
    <w:rsid w:val="00C92C5B"/>
    <w:rsid w:val="00C95CFE"/>
    <w:rsid w:val="00CA437A"/>
    <w:rsid w:val="00CA5BC3"/>
    <w:rsid w:val="00CC069F"/>
    <w:rsid w:val="00CD14C8"/>
    <w:rsid w:val="00CD15C6"/>
    <w:rsid w:val="00CD2526"/>
    <w:rsid w:val="00CD730D"/>
    <w:rsid w:val="00CF000A"/>
    <w:rsid w:val="00CF03AD"/>
    <w:rsid w:val="00CF0514"/>
    <w:rsid w:val="00CF4823"/>
    <w:rsid w:val="00CF50C0"/>
    <w:rsid w:val="00CF5406"/>
    <w:rsid w:val="00CF5DD9"/>
    <w:rsid w:val="00D27947"/>
    <w:rsid w:val="00D40284"/>
    <w:rsid w:val="00D45B2D"/>
    <w:rsid w:val="00D46757"/>
    <w:rsid w:val="00D511CC"/>
    <w:rsid w:val="00D5262A"/>
    <w:rsid w:val="00D56004"/>
    <w:rsid w:val="00D570FC"/>
    <w:rsid w:val="00D70C36"/>
    <w:rsid w:val="00D82CC3"/>
    <w:rsid w:val="00D864E1"/>
    <w:rsid w:val="00D92DB5"/>
    <w:rsid w:val="00D93C56"/>
    <w:rsid w:val="00DA1189"/>
    <w:rsid w:val="00DA22D3"/>
    <w:rsid w:val="00DB5186"/>
    <w:rsid w:val="00DC26C9"/>
    <w:rsid w:val="00DC504A"/>
    <w:rsid w:val="00DC5CAF"/>
    <w:rsid w:val="00DC5E71"/>
    <w:rsid w:val="00DC6AAE"/>
    <w:rsid w:val="00DE5A47"/>
    <w:rsid w:val="00DE6EED"/>
    <w:rsid w:val="00DF49B8"/>
    <w:rsid w:val="00DF7A70"/>
    <w:rsid w:val="00E060E7"/>
    <w:rsid w:val="00E12DB3"/>
    <w:rsid w:val="00E15E9E"/>
    <w:rsid w:val="00E20D37"/>
    <w:rsid w:val="00E20FF7"/>
    <w:rsid w:val="00E21C16"/>
    <w:rsid w:val="00E27147"/>
    <w:rsid w:val="00E30880"/>
    <w:rsid w:val="00E32B85"/>
    <w:rsid w:val="00E465A1"/>
    <w:rsid w:val="00E5667D"/>
    <w:rsid w:val="00E57CFF"/>
    <w:rsid w:val="00E75BE4"/>
    <w:rsid w:val="00E80FFF"/>
    <w:rsid w:val="00E82346"/>
    <w:rsid w:val="00E93CB7"/>
    <w:rsid w:val="00E95E7A"/>
    <w:rsid w:val="00E97503"/>
    <w:rsid w:val="00EA2577"/>
    <w:rsid w:val="00EB22C9"/>
    <w:rsid w:val="00EB3983"/>
    <w:rsid w:val="00EC1365"/>
    <w:rsid w:val="00ED0AB1"/>
    <w:rsid w:val="00ED0B28"/>
    <w:rsid w:val="00ED5700"/>
    <w:rsid w:val="00EE08FA"/>
    <w:rsid w:val="00EE2C12"/>
    <w:rsid w:val="00EE3D13"/>
    <w:rsid w:val="00EE3D93"/>
    <w:rsid w:val="00EF036D"/>
    <w:rsid w:val="00EF353D"/>
    <w:rsid w:val="00EF63E6"/>
    <w:rsid w:val="00EF7029"/>
    <w:rsid w:val="00F03436"/>
    <w:rsid w:val="00F03484"/>
    <w:rsid w:val="00F1659B"/>
    <w:rsid w:val="00F16C25"/>
    <w:rsid w:val="00F21197"/>
    <w:rsid w:val="00F212E0"/>
    <w:rsid w:val="00F32EC6"/>
    <w:rsid w:val="00F45CF8"/>
    <w:rsid w:val="00F46764"/>
    <w:rsid w:val="00F50D8B"/>
    <w:rsid w:val="00F51DEA"/>
    <w:rsid w:val="00F6029A"/>
    <w:rsid w:val="00F62D8E"/>
    <w:rsid w:val="00F651AE"/>
    <w:rsid w:val="00F6790C"/>
    <w:rsid w:val="00F827CA"/>
    <w:rsid w:val="00F92DA4"/>
    <w:rsid w:val="00F94493"/>
    <w:rsid w:val="00F94845"/>
    <w:rsid w:val="00F94FB5"/>
    <w:rsid w:val="00F971FE"/>
    <w:rsid w:val="00F97A81"/>
    <w:rsid w:val="00F97CF8"/>
    <w:rsid w:val="00FB085B"/>
    <w:rsid w:val="00FB270B"/>
    <w:rsid w:val="00FB27A7"/>
    <w:rsid w:val="00FB5ADB"/>
    <w:rsid w:val="00FC6D21"/>
    <w:rsid w:val="00FD559D"/>
    <w:rsid w:val="00FE0382"/>
    <w:rsid w:val="00FE5FFC"/>
    <w:rsid w:val="00FF1CDA"/>
    <w:rsid w:val="00FF472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15ABAE5-60B7-49E2-AFD6-FBF5662A68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02594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025948"/>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025948"/>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025948"/>
    <w:rPr>
      <w:rFonts w:asciiTheme="majorHAnsi" w:eastAsiaTheme="majorEastAsia" w:hAnsiTheme="majorHAnsi" w:cstheme="majorBidi"/>
      <w:color w:val="17365D" w:themeColor="text2" w:themeShade="BF"/>
      <w:spacing w:val="5"/>
      <w:kern w:val="28"/>
      <w:sz w:val="52"/>
      <w:szCs w:val="52"/>
    </w:rPr>
  </w:style>
  <w:style w:type="paragraph" w:styleId="Footer">
    <w:name w:val="footer"/>
    <w:basedOn w:val="Normal"/>
    <w:link w:val="FooterChar"/>
    <w:uiPriority w:val="99"/>
    <w:unhideWhenUsed/>
    <w:rsid w:val="00025948"/>
    <w:pPr>
      <w:tabs>
        <w:tab w:val="center" w:pos="4536"/>
        <w:tab w:val="right" w:pos="9072"/>
      </w:tabs>
      <w:spacing w:after="0" w:line="240" w:lineRule="auto"/>
    </w:pPr>
  </w:style>
  <w:style w:type="character" w:customStyle="1" w:styleId="FooterChar">
    <w:name w:val="Footer Char"/>
    <w:basedOn w:val="DefaultParagraphFont"/>
    <w:link w:val="Footer"/>
    <w:uiPriority w:val="99"/>
    <w:rsid w:val="00025948"/>
  </w:style>
  <w:style w:type="character" w:customStyle="1" w:styleId="Heading1Char">
    <w:name w:val="Heading 1 Char"/>
    <w:basedOn w:val="DefaultParagraphFont"/>
    <w:link w:val="Heading1"/>
    <w:uiPriority w:val="9"/>
    <w:rsid w:val="00025948"/>
    <w:rPr>
      <w:rFonts w:asciiTheme="majorHAnsi" w:eastAsiaTheme="majorEastAsia" w:hAnsiTheme="majorHAnsi" w:cstheme="majorBidi"/>
      <w:b/>
      <w:bCs/>
      <w:color w:val="365F91" w:themeColor="accent1" w:themeShade="BF"/>
      <w:sz w:val="28"/>
      <w:szCs w:val="28"/>
    </w:rPr>
  </w:style>
  <w:style w:type="paragraph" w:styleId="Caption">
    <w:name w:val="caption"/>
    <w:basedOn w:val="Normal"/>
    <w:next w:val="Normal"/>
    <w:qFormat/>
    <w:rsid w:val="00025948"/>
    <w:pPr>
      <w:spacing w:after="0" w:line="240" w:lineRule="auto"/>
    </w:pPr>
    <w:rPr>
      <w:rFonts w:ascii="Times New Roman" w:eastAsia="Times New Roman" w:hAnsi="Times New Roman" w:cs="Times New Roman"/>
      <w:b/>
      <w:bCs/>
      <w:sz w:val="20"/>
      <w:szCs w:val="20"/>
      <w:lang w:val="hr-HR"/>
    </w:rPr>
  </w:style>
  <w:style w:type="paragraph" w:styleId="BalloonText">
    <w:name w:val="Balloon Text"/>
    <w:basedOn w:val="Normal"/>
    <w:link w:val="BalloonTextChar"/>
    <w:uiPriority w:val="99"/>
    <w:semiHidden/>
    <w:unhideWhenUsed/>
    <w:rsid w:val="0002594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25948"/>
    <w:rPr>
      <w:rFonts w:ascii="Tahoma" w:hAnsi="Tahoma" w:cs="Tahoma"/>
      <w:sz w:val="16"/>
      <w:szCs w:val="16"/>
    </w:rPr>
  </w:style>
  <w:style w:type="character" w:customStyle="1" w:styleId="Heading2Char">
    <w:name w:val="Heading 2 Char"/>
    <w:basedOn w:val="DefaultParagraphFont"/>
    <w:link w:val="Heading2"/>
    <w:uiPriority w:val="9"/>
    <w:rsid w:val="00025948"/>
    <w:rPr>
      <w:rFonts w:asciiTheme="majorHAnsi" w:eastAsiaTheme="majorEastAsia" w:hAnsiTheme="majorHAnsi" w:cstheme="majorBidi"/>
      <w:b/>
      <w:bCs/>
      <w:color w:val="4F81BD" w:themeColor="accent1"/>
      <w:sz w:val="26"/>
      <w:szCs w:val="26"/>
    </w:rPr>
  </w:style>
  <w:style w:type="paragraph" w:styleId="ListParagraph">
    <w:name w:val="List Paragraph"/>
    <w:basedOn w:val="Normal"/>
    <w:uiPriority w:val="34"/>
    <w:qFormat/>
    <w:rsid w:val="00025948"/>
    <w:pPr>
      <w:ind w:left="720"/>
      <w:contextualSpacing/>
    </w:pPr>
  </w:style>
  <w:style w:type="paragraph" w:styleId="TOCHeading">
    <w:name w:val="TOC Heading"/>
    <w:basedOn w:val="Heading1"/>
    <w:next w:val="Normal"/>
    <w:uiPriority w:val="39"/>
    <w:semiHidden/>
    <w:unhideWhenUsed/>
    <w:qFormat/>
    <w:rsid w:val="00025948"/>
    <w:pPr>
      <w:outlineLvl w:val="9"/>
    </w:pPr>
    <w:rPr>
      <w:lang w:val="en-US" w:eastAsia="ja-JP"/>
    </w:rPr>
  </w:style>
  <w:style w:type="paragraph" w:styleId="TOC1">
    <w:name w:val="toc 1"/>
    <w:basedOn w:val="Normal"/>
    <w:next w:val="Normal"/>
    <w:autoRedefine/>
    <w:uiPriority w:val="39"/>
    <w:unhideWhenUsed/>
    <w:rsid w:val="00025948"/>
    <w:pPr>
      <w:spacing w:after="100"/>
    </w:pPr>
  </w:style>
  <w:style w:type="paragraph" w:styleId="TOC2">
    <w:name w:val="toc 2"/>
    <w:basedOn w:val="Normal"/>
    <w:next w:val="Normal"/>
    <w:autoRedefine/>
    <w:uiPriority w:val="39"/>
    <w:unhideWhenUsed/>
    <w:rsid w:val="00025948"/>
    <w:pPr>
      <w:spacing w:after="100"/>
      <w:ind w:left="220"/>
    </w:pPr>
  </w:style>
  <w:style w:type="character" w:styleId="Hyperlink">
    <w:name w:val="Hyperlink"/>
    <w:basedOn w:val="DefaultParagraphFont"/>
    <w:uiPriority w:val="99"/>
    <w:unhideWhenUsed/>
    <w:rsid w:val="00025948"/>
    <w:rPr>
      <w:color w:val="0000FF" w:themeColor="hyperlink"/>
      <w:u w:val="single"/>
    </w:rPr>
  </w:style>
  <w:style w:type="paragraph" w:styleId="FootnoteText">
    <w:name w:val="footnote text"/>
    <w:aliases w:val="Tekst fusnote Char2 Char,Tekst fusnote Char1 Char1 Char,Tekst fusnote Char Char Char1 Char,Tekst fusnote Char1 Char Char Char Char,Tekst fusnote Char Char Char Char Char Char,Tekst fusnote Char Char1 Char Char,fn,Fußnote"/>
    <w:basedOn w:val="Normal"/>
    <w:link w:val="FootnoteTextChar"/>
    <w:uiPriority w:val="99"/>
    <w:unhideWhenUsed/>
    <w:qFormat/>
    <w:rsid w:val="00436640"/>
    <w:pPr>
      <w:spacing w:after="0" w:line="240" w:lineRule="auto"/>
    </w:pPr>
    <w:rPr>
      <w:sz w:val="20"/>
      <w:szCs w:val="20"/>
    </w:rPr>
  </w:style>
  <w:style w:type="character" w:customStyle="1" w:styleId="FootnoteTextChar">
    <w:name w:val="Footnote Text Char"/>
    <w:aliases w:val="Tekst fusnote Char2 Char Char,Tekst fusnote Char1 Char1 Char Char,Tekst fusnote Char Char Char1 Char Char,Tekst fusnote Char1 Char Char Char Char Char,Tekst fusnote Char Char Char Char Char Char Char,fn Char,Fußnote Char"/>
    <w:basedOn w:val="DefaultParagraphFont"/>
    <w:link w:val="FootnoteText"/>
    <w:uiPriority w:val="99"/>
    <w:qFormat/>
    <w:rsid w:val="00436640"/>
    <w:rPr>
      <w:sz w:val="20"/>
      <w:szCs w:val="20"/>
    </w:rPr>
  </w:style>
  <w:style w:type="character" w:styleId="FootnoteReference">
    <w:name w:val="footnote reference"/>
    <w:aliases w:val="BVI fnr,16 Point,Superscript 6 Point"/>
    <w:basedOn w:val="DefaultParagraphFont"/>
    <w:uiPriority w:val="99"/>
    <w:unhideWhenUsed/>
    <w:qFormat/>
    <w:rsid w:val="00436640"/>
    <w:rPr>
      <w:vertAlign w:val="superscript"/>
    </w:rPr>
  </w:style>
  <w:style w:type="character" w:styleId="CommentReference">
    <w:name w:val="annotation reference"/>
    <w:basedOn w:val="DefaultParagraphFont"/>
    <w:uiPriority w:val="99"/>
    <w:semiHidden/>
    <w:unhideWhenUsed/>
    <w:rsid w:val="00E95E7A"/>
    <w:rPr>
      <w:sz w:val="16"/>
      <w:szCs w:val="16"/>
    </w:rPr>
  </w:style>
  <w:style w:type="paragraph" w:styleId="CommentText">
    <w:name w:val="annotation text"/>
    <w:basedOn w:val="Normal"/>
    <w:link w:val="CommentTextChar"/>
    <w:uiPriority w:val="99"/>
    <w:semiHidden/>
    <w:unhideWhenUsed/>
    <w:rsid w:val="00E95E7A"/>
    <w:pPr>
      <w:spacing w:line="240" w:lineRule="auto"/>
    </w:pPr>
    <w:rPr>
      <w:sz w:val="20"/>
      <w:szCs w:val="20"/>
    </w:rPr>
  </w:style>
  <w:style w:type="character" w:customStyle="1" w:styleId="CommentTextChar">
    <w:name w:val="Comment Text Char"/>
    <w:basedOn w:val="DefaultParagraphFont"/>
    <w:link w:val="CommentText"/>
    <w:uiPriority w:val="99"/>
    <w:semiHidden/>
    <w:rsid w:val="00E95E7A"/>
    <w:rPr>
      <w:sz w:val="20"/>
      <w:szCs w:val="20"/>
    </w:rPr>
  </w:style>
  <w:style w:type="paragraph" w:styleId="BodyText">
    <w:name w:val="Body Text"/>
    <w:basedOn w:val="Normal"/>
    <w:link w:val="BodyTextChar"/>
    <w:rsid w:val="000D3576"/>
    <w:pPr>
      <w:spacing w:after="120" w:line="240" w:lineRule="auto"/>
    </w:pPr>
    <w:rPr>
      <w:rFonts w:ascii="Times New Roman" w:eastAsia="Times New Roman" w:hAnsi="Times New Roman" w:cs="Times New Roman"/>
      <w:sz w:val="24"/>
      <w:szCs w:val="20"/>
      <w:lang w:val="hr-HR"/>
    </w:rPr>
  </w:style>
  <w:style w:type="character" w:customStyle="1" w:styleId="BodyTextChar">
    <w:name w:val="Body Text Char"/>
    <w:basedOn w:val="DefaultParagraphFont"/>
    <w:link w:val="BodyText"/>
    <w:rsid w:val="000D3576"/>
    <w:rPr>
      <w:rFonts w:ascii="Times New Roman" w:eastAsia="Times New Roman" w:hAnsi="Times New Roman" w:cs="Times New Roman"/>
      <w:sz w:val="24"/>
      <w:szCs w:val="20"/>
      <w:lang w:val="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4567738">
      <w:bodyDiv w:val="1"/>
      <w:marLeft w:val="0"/>
      <w:marRight w:val="0"/>
      <w:marTop w:val="0"/>
      <w:marBottom w:val="0"/>
      <w:divBdr>
        <w:top w:val="none" w:sz="0" w:space="0" w:color="auto"/>
        <w:left w:val="none" w:sz="0" w:space="0" w:color="auto"/>
        <w:bottom w:val="none" w:sz="0" w:space="0" w:color="auto"/>
        <w:right w:val="none" w:sz="0" w:space="0" w:color="auto"/>
      </w:divBdr>
    </w:div>
    <w:div w:id="722489681">
      <w:bodyDiv w:val="1"/>
      <w:marLeft w:val="0"/>
      <w:marRight w:val="0"/>
      <w:marTop w:val="0"/>
      <w:marBottom w:val="0"/>
      <w:divBdr>
        <w:top w:val="none" w:sz="0" w:space="0" w:color="auto"/>
        <w:left w:val="none" w:sz="0" w:space="0" w:color="auto"/>
        <w:bottom w:val="none" w:sz="0" w:space="0" w:color="auto"/>
        <w:right w:val="none" w:sz="0" w:space="0" w:color="auto"/>
      </w:divBdr>
    </w:div>
    <w:div w:id="1272392692">
      <w:bodyDiv w:val="1"/>
      <w:marLeft w:val="0"/>
      <w:marRight w:val="0"/>
      <w:marTop w:val="0"/>
      <w:marBottom w:val="0"/>
      <w:divBdr>
        <w:top w:val="none" w:sz="0" w:space="0" w:color="auto"/>
        <w:left w:val="none" w:sz="0" w:space="0" w:color="auto"/>
        <w:bottom w:val="none" w:sz="0" w:space="0" w:color="auto"/>
        <w:right w:val="none" w:sz="0" w:space="0" w:color="auto"/>
      </w:divBdr>
    </w:div>
    <w:div w:id="1907647823">
      <w:bodyDiv w:val="1"/>
      <w:marLeft w:val="0"/>
      <w:marRight w:val="0"/>
      <w:marTop w:val="0"/>
      <w:marBottom w:val="0"/>
      <w:divBdr>
        <w:top w:val="none" w:sz="0" w:space="0" w:color="auto"/>
        <w:left w:val="none" w:sz="0" w:space="0" w:color="auto"/>
        <w:bottom w:val="none" w:sz="0" w:space="0" w:color="auto"/>
        <w:right w:val="none" w:sz="0" w:space="0" w:color="auto"/>
      </w:divBdr>
    </w:div>
    <w:div w:id="19221734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5.emf"/><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emf"/><Relationship Id="rId17" Type="http://schemas.openxmlformats.org/officeDocument/2006/relationships/image" Target="media/image9.png"/><Relationship Id="rId2" Type="http://schemas.openxmlformats.org/officeDocument/2006/relationships/numbering" Target="numbering.xml"/><Relationship Id="rId16" Type="http://schemas.openxmlformats.org/officeDocument/2006/relationships/image" Target="media/image8.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emf"/><Relationship Id="rId5" Type="http://schemas.openxmlformats.org/officeDocument/2006/relationships/webSettings" Target="webSettings.xml"/><Relationship Id="rId15" Type="http://schemas.openxmlformats.org/officeDocument/2006/relationships/image" Target="media/image7.emf"/><Relationship Id="rId10" Type="http://schemas.openxmlformats.org/officeDocument/2006/relationships/image" Target="media/image2.emf"/><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1.emf"/><Relationship Id="rId14" Type="http://schemas.openxmlformats.org/officeDocument/2006/relationships/image" Target="media/image6.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FF9EB6-05A9-44A0-B2C4-9409F9811D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21</Pages>
  <Words>5672</Words>
  <Characters>32336</Characters>
  <Application>Microsoft Office Word</Application>
  <DocSecurity>0</DocSecurity>
  <Lines>269</Lines>
  <Paragraphs>75</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37933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ak</dc:creator>
  <cp:lastModifiedBy>Gabrijela Babić</cp:lastModifiedBy>
  <cp:revision>6</cp:revision>
  <cp:lastPrinted>2023-10-11T19:45:00Z</cp:lastPrinted>
  <dcterms:created xsi:type="dcterms:W3CDTF">2023-10-11T17:11:00Z</dcterms:created>
  <dcterms:modified xsi:type="dcterms:W3CDTF">2023-10-12T08:54:00Z</dcterms:modified>
</cp:coreProperties>
</file>