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0A56" w:rsidRPr="003364F0" w:rsidRDefault="006A0A56" w:rsidP="006A0A56">
      <w:pPr>
        <w:pBdr>
          <w:bottom w:val="single" w:sz="12" w:space="1" w:color="auto"/>
        </w:pBdr>
        <w:suppressAutoHyphens/>
        <w:spacing w:before="103" w:after="0" w:line="240" w:lineRule="auto"/>
        <w:jc w:val="center"/>
        <w:rPr>
          <w:rFonts w:ascii="Times New Roman" w:eastAsia="Calibri" w:hAnsi="Times New Roman" w:cs="Times New Roman"/>
          <w:b/>
          <w:sz w:val="24"/>
          <w:szCs w:val="24"/>
          <w:lang w:val="hr-HR" w:eastAsia="hr-HR"/>
        </w:rPr>
      </w:pPr>
      <w:r w:rsidRPr="003364F0">
        <w:rPr>
          <w:rFonts w:ascii="Times New Roman" w:eastAsia="Calibri" w:hAnsi="Times New Roman" w:cs="Times New Roman"/>
          <w:b/>
          <w:sz w:val="24"/>
          <w:szCs w:val="24"/>
          <w:lang w:val="hr-HR" w:eastAsia="hr-HR"/>
        </w:rPr>
        <w:t>VLADA REPUBLIKE HRVATSKE</w:t>
      </w:r>
    </w:p>
    <w:p w:rsidR="006A0A56" w:rsidRPr="003364F0" w:rsidRDefault="006A0A56" w:rsidP="006A0A56">
      <w:pPr>
        <w:suppressAutoHyphens/>
        <w:spacing w:before="103" w:after="0" w:line="240" w:lineRule="auto"/>
        <w:jc w:val="center"/>
        <w:rPr>
          <w:rFonts w:ascii="Times New Roman" w:eastAsia="Calibri" w:hAnsi="Times New Roman" w:cs="Times New Roman"/>
          <w:b/>
          <w:sz w:val="24"/>
          <w:szCs w:val="24"/>
          <w:lang w:val="hr-HR" w:eastAsia="hr-HR"/>
        </w:rPr>
      </w:pPr>
    </w:p>
    <w:p w:rsidR="006A0A56" w:rsidRPr="006B0F2A" w:rsidRDefault="006A0A56" w:rsidP="006A0A56">
      <w:pPr>
        <w:rPr>
          <w:lang w:val="hr-HR"/>
        </w:rPr>
      </w:pPr>
    </w:p>
    <w:p w:rsidR="00695821" w:rsidRPr="006B0F2A" w:rsidRDefault="00695821" w:rsidP="00695821">
      <w:pPr>
        <w:rPr>
          <w:lang w:val="hr-HR"/>
        </w:rPr>
      </w:pPr>
    </w:p>
    <w:p w:rsidR="00695821" w:rsidRPr="006B0F2A" w:rsidRDefault="00695821" w:rsidP="00695821">
      <w:pPr>
        <w:rPr>
          <w:lang w:val="hr-HR"/>
        </w:rPr>
      </w:pPr>
    </w:p>
    <w:p w:rsidR="00695821" w:rsidRPr="006B0F2A" w:rsidRDefault="00695821" w:rsidP="00695821">
      <w:pPr>
        <w:rPr>
          <w:lang w:val="hr-HR"/>
        </w:rPr>
      </w:pPr>
    </w:p>
    <w:p w:rsidR="00695821" w:rsidRDefault="00695821" w:rsidP="00695821">
      <w:pPr>
        <w:rPr>
          <w:lang w:val="hr-HR"/>
        </w:rPr>
      </w:pPr>
    </w:p>
    <w:p w:rsidR="006A0A56" w:rsidRDefault="006A0A56" w:rsidP="00695821">
      <w:pPr>
        <w:rPr>
          <w:lang w:val="hr-HR"/>
        </w:rPr>
      </w:pPr>
    </w:p>
    <w:p w:rsidR="006A0A56" w:rsidRDefault="006A0A56" w:rsidP="00695821">
      <w:pPr>
        <w:rPr>
          <w:lang w:val="hr-HR"/>
        </w:rPr>
      </w:pPr>
    </w:p>
    <w:p w:rsidR="006A0A56" w:rsidRPr="006B0F2A" w:rsidRDefault="006A0A56" w:rsidP="00695821">
      <w:pPr>
        <w:rPr>
          <w:lang w:val="hr-HR"/>
        </w:rPr>
      </w:pPr>
    </w:p>
    <w:p w:rsidR="00695821" w:rsidRPr="006B0F2A" w:rsidRDefault="00695821" w:rsidP="00695821">
      <w:pPr>
        <w:rPr>
          <w:lang w:val="hr-HR"/>
        </w:rPr>
      </w:pPr>
    </w:p>
    <w:p w:rsidR="00695821" w:rsidRPr="006B0F2A" w:rsidRDefault="00695821" w:rsidP="00695821">
      <w:pPr>
        <w:rPr>
          <w:lang w:val="hr-HR"/>
        </w:rPr>
      </w:pPr>
    </w:p>
    <w:p w:rsidR="006A0A56" w:rsidRPr="003364F0" w:rsidRDefault="006A0A56" w:rsidP="006A0A56">
      <w:pPr>
        <w:jc w:val="center"/>
        <w:rPr>
          <w:rFonts w:ascii="Times New Roman" w:hAnsi="Times New Roman" w:cs="Times New Roman"/>
          <w:b/>
          <w:sz w:val="24"/>
          <w:szCs w:val="24"/>
          <w:lang w:val="hr-HR"/>
        </w:rPr>
      </w:pPr>
      <w:r w:rsidRPr="003364F0">
        <w:rPr>
          <w:rFonts w:ascii="Times New Roman" w:hAnsi="Times New Roman" w:cs="Times New Roman"/>
          <w:b/>
          <w:sz w:val="24"/>
          <w:szCs w:val="24"/>
          <w:lang w:val="hr-HR"/>
        </w:rPr>
        <w:t>OBRAZLOŽENJE OPĆEG DIJELA DRŽAVNOG PRORAČUNA I FINANCIJSKIH PLANOVA IZV</w:t>
      </w:r>
      <w:r>
        <w:rPr>
          <w:rFonts w:ascii="Times New Roman" w:hAnsi="Times New Roman" w:cs="Times New Roman"/>
          <w:b/>
          <w:sz w:val="24"/>
          <w:szCs w:val="24"/>
          <w:lang w:val="hr-HR"/>
        </w:rPr>
        <w:t>ANPRORAČUNSKIH KORISNIKA ZA 2024</w:t>
      </w:r>
      <w:r w:rsidRPr="003364F0">
        <w:rPr>
          <w:rFonts w:ascii="Times New Roman" w:hAnsi="Times New Roman" w:cs="Times New Roman"/>
          <w:b/>
          <w:sz w:val="24"/>
          <w:szCs w:val="24"/>
          <w:lang w:val="hr-HR"/>
        </w:rPr>
        <w:t>. I PROJEKCIJE ZA 202</w:t>
      </w:r>
      <w:r>
        <w:rPr>
          <w:rFonts w:ascii="Times New Roman" w:hAnsi="Times New Roman" w:cs="Times New Roman"/>
          <w:b/>
          <w:sz w:val="24"/>
          <w:szCs w:val="24"/>
          <w:lang w:val="hr-HR"/>
        </w:rPr>
        <w:t>5. I 2026</w:t>
      </w:r>
      <w:r w:rsidRPr="003364F0">
        <w:rPr>
          <w:rFonts w:ascii="Times New Roman" w:hAnsi="Times New Roman" w:cs="Times New Roman"/>
          <w:b/>
          <w:sz w:val="24"/>
          <w:szCs w:val="24"/>
          <w:lang w:val="hr-HR"/>
        </w:rPr>
        <w:t>. GODINU</w:t>
      </w:r>
    </w:p>
    <w:p w:rsidR="00695821" w:rsidRPr="006B0F2A" w:rsidRDefault="00695821" w:rsidP="00695821">
      <w:pPr>
        <w:rPr>
          <w:lang w:val="hr-HR"/>
        </w:rPr>
      </w:pPr>
    </w:p>
    <w:p w:rsidR="00695821" w:rsidRDefault="00695821" w:rsidP="00695821">
      <w:pPr>
        <w:rPr>
          <w:lang w:val="hr-HR"/>
        </w:rPr>
      </w:pPr>
    </w:p>
    <w:p w:rsidR="006A0A56" w:rsidRDefault="006A0A56" w:rsidP="00695821">
      <w:pPr>
        <w:rPr>
          <w:lang w:val="hr-HR"/>
        </w:rPr>
      </w:pPr>
    </w:p>
    <w:p w:rsidR="006A0A56" w:rsidRDefault="006A0A56" w:rsidP="00695821">
      <w:pPr>
        <w:rPr>
          <w:lang w:val="hr-HR"/>
        </w:rPr>
      </w:pPr>
    </w:p>
    <w:p w:rsidR="006A0A56" w:rsidRDefault="006A0A56" w:rsidP="00695821">
      <w:pPr>
        <w:rPr>
          <w:lang w:val="hr-HR"/>
        </w:rPr>
      </w:pPr>
      <w:bookmarkStart w:id="0" w:name="_GoBack"/>
      <w:bookmarkEnd w:id="0"/>
    </w:p>
    <w:p w:rsidR="006A0A56" w:rsidRDefault="006A0A56" w:rsidP="00695821">
      <w:pPr>
        <w:rPr>
          <w:lang w:val="hr-HR"/>
        </w:rPr>
      </w:pPr>
    </w:p>
    <w:p w:rsidR="006A0A56" w:rsidRDefault="006A0A56" w:rsidP="00695821">
      <w:pPr>
        <w:rPr>
          <w:lang w:val="hr-HR"/>
        </w:rPr>
      </w:pPr>
    </w:p>
    <w:p w:rsidR="006A0A56" w:rsidRPr="006B0F2A" w:rsidRDefault="006A0A56" w:rsidP="00695821">
      <w:pPr>
        <w:rPr>
          <w:lang w:val="hr-HR"/>
        </w:rPr>
      </w:pPr>
    </w:p>
    <w:p w:rsidR="00695821" w:rsidRPr="006B0F2A" w:rsidRDefault="00695821" w:rsidP="00695821">
      <w:pPr>
        <w:rPr>
          <w:lang w:val="hr-HR"/>
        </w:rPr>
      </w:pPr>
    </w:p>
    <w:p w:rsidR="00695821" w:rsidRPr="006B0F2A" w:rsidRDefault="00695821" w:rsidP="00695821">
      <w:pPr>
        <w:rPr>
          <w:lang w:val="hr-HR"/>
        </w:rPr>
      </w:pPr>
    </w:p>
    <w:p w:rsidR="00695821" w:rsidRPr="006B0F2A" w:rsidRDefault="00695821" w:rsidP="00695821">
      <w:pPr>
        <w:rPr>
          <w:lang w:val="hr-HR"/>
        </w:rPr>
      </w:pPr>
    </w:p>
    <w:p w:rsidR="006A0A56" w:rsidRPr="003364F0" w:rsidRDefault="006A0A56" w:rsidP="006A0A56">
      <w:pPr>
        <w:pBdr>
          <w:bottom w:val="single" w:sz="12" w:space="1" w:color="auto"/>
        </w:pBdr>
        <w:suppressAutoHyphens/>
        <w:spacing w:before="103" w:after="0" w:line="240" w:lineRule="auto"/>
        <w:jc w:val="center"/>
        <w:rPr>
          <w:rFonts w:ascii="Times New Roman" w:eastAsia="Times New Roman" w:hAnsi="Times New Roman" w:cs="Times New Roman"/>
          <w:b/>
          <w:sz w:val="24"/>
          <w:szCs w:val="24"/>
          <w:lang w:val="hr-HR" w:eastAsia="hr-HR"/>
        </w:rPr>
      </w:pPr>
    </w:p>
    <w:p w:rsidR="00695821" w:rsidRPr="006B0F2A" w:rsidRDefault="006A0A56" w:rsidP="006A0A56">
      <w:pPr>
        <w:jc w:val="center"/>
        <w:rPr>
          <w:lang w:val="hr-HR"/>
        </w:rPr>
      </w:pPr>
      <w:r w:rsidRPr="003364F0">
        <w:rPr>
          <w:rFonts w:ascii="Times New Roman" w:eastAsia="Times New Roman" w:hAnsi="Times New Roman" w:cs="Times New Roman"/>
          <w:b/>
          <w:sz w:val="24"/>
          <w:szCs w:val="24"/>
          <w:lang w:val="hr-HR" w:eastAsia="hr-HR"/>
        </w:rPr>
        <w:t>Zagreb, studeni</w:t>
      </w:r>
      <w:r>
        <w:rPr>
          <w:rFonts w:ascii="Times New Roman" w:eastAsia="Times New Roman" w:hAnsi="Times New Roman" w:cs="Times New Roman"/>
          <w:b/>
          <w:sz w:val="24"/>
          <w:szCs w:val="24"/>
          <w:lang w:val="hr-HR" w:eastAsia="hr-HR"/>
        </w:rPr>
        <w:t xml:space="preserve"> 2023.</w:t>
      </w:r>
    </w:p>
    <w:p w:rsidR="00695821" w:rsidRPr="006B0F2A" w:rsidRDefault="00695821" w:rsidP="00C1023C">
      <w:pPr>
        <w:jc w:val="center"/>
        <w:rPr>
          <w:lang w:val="hr-HR"/>
        </w:rPr>
        <w:sectPr w:rsidR="00695821" w:rsidRPr="006B0F2A" w:rsidSect="00927736">
          <w:footerReference w:type="default" r:id="rId8"/>
          <w:pgSz w:w="11906" w:h="16838"/>
          <w:pgMar w:top="1417" w:right="1417" w:bottom="1417" w:left="1417" w:header="708" w:footer="708" w:gutter="0"/>
          <w:cols w:space="708"/>
          <w:titlePg/>
          <w:docGrid w:linePitch="360"/>
        </w:sectPr>
      </w:pPr>
    </w:p>
    <w:p w:rsidR="00695821" w:rsidRPr="006B0F2A" w:rsidRDefault="00695821" w:rsidP="00695821">
      <w:pPr>
        <w:rPr>
          <w:rFonts w:asciiTheme="majorHAnsi" w:hAnsiTheme="majorHAnsi"/>
          <w:b/>
          <w:color w:val="365F91" w:themeColor="accent1" w:themeShade="BF"/>
          <w:sz w:val="28"/>
          <w:lang w:val="hr-HR"/>
        </w:rPr>
      </w:pPr>
      <w:r w:rsidRPr="006B0F2A">
        <w:rPr>
          <w:rFonts w:asciiTheme="majorHAnsi" w:hAnsiTheme="majorHAnsi"/>
          <w:b/>
          <w:color w:val="365F91" w:themeColor="accent1" w:themeShade="BF"/>
          <w:sz w:val="28"/>
          <w:lang w:val="hr-HR"/>
        </w:rPr>
        <w:lastRenderedPageBreak/>
        <w:t>SADRŽAJ</w:t>
      </w:r>
    </w:p>
    <w:sdt>
      <w:sdtPr>
        <w:rPr>
          <w:rFonts w:asciiTheme="minorHAnsi" w:eastAsiaTheme="minorHAnsi" w:hAnsiTheme="minorHAnsi" w:cstheme="minorBidi"/>
          <w:b w:val="0"/>
          <w:bCs w:val="0"/>
          <w:color w:val="auto"/>
          <w:sz w:val="22"/>
          <w:szCs w:val="22"/>
          <w:lang w:val="hr-HR" w:eastAsia="en-US"/>
        </w:rPr>
        <w:id w:val="-814332695"/>
        <w:docPartObj>
          <w:docPartGallery w:val="Table of Contents"/>
          <w:docPartUnique/>
        </w:docPartObj>
      </w:sdtPr>
      <w:sdtEndPr/>
      <w:sdtContent>
        <w:p w:rsidR="00C93283" w:rsidRPr="006B0F2A" w:rsidRDefault="00C93283">
          <w:pPr>
            <w:pStyle w:val="TOCHeading"/>
            <w:rPr>
              <w:lang w:val="hr-HR"/>
            </w:rPr>
          </w:pPr>
        </w:p>
        <w:p w:rsidR="00EA0966" w:rsidRDefault="00C93283">
          <w:pPr>
            <w:pStyle w:val="TOC1"/>
            <w:rPr>
              <w:rFonts w:eastAsiaTheme="minorEastAsia"/>
              <w:noProof/>
              <w:lang w:val="hr-HR" w:eastAsia="hr-HR"/>
            </w:rPr>
          </w:pPr>
          <w:r w:rsidRPr="006B0F2A">
            <w:rPr>
              <w:lang w:val="hr-HR"/>
            </w:rPr>
            <w:fldChar w:fldCharType="begin"/>
          </w:r>
          <w:r w:rsidRPr="006B0F2A">
            <w:rPr>
              <w:lang w:val="hr-HR"/>
            </w:rPr>
            <w:instrText xml:space="preserve"> TOC \o "1-3" \h \z \u </w:instrText>
          </w:r>
          <w:r w:rsidRPr="006B0F2A">
            <w:rPr>
              <w:lang w:val="hr-HR"/>
            </w:rPr>
            <w:fldChar w:fldCharType="separate"/>
          </w:r>
          <w:hyperlink w:anchor="_Toc150380896" w:history="1">
            <w:r w:rsidR="00EA0966" w:rsidRPr="00385FB8">
              <w:rPr>
                <w:rStyle w:val="Hyperlink"/>
                <w:noProof/>
                <w:lang w:val="hr-HR"/>
              </w:rPr>
              <w:t>1.</w:t>
            </w:r>
            <w:r w:rsidR="00EA0966">
              <w:rPr>
                <w:rFonts w:eastAsiaTheme="minorEastAsia"/>
                <w:noProof/>
                <w:lang w:val="hr-HR" w:eastAsia="hr-HR"/>
              </w:rPr>
              <w:tab/>
            </w:r>
            <w:r w:rsidR="00EA0966" w:rsidRPr="00385FB8">
              <w:rPr>
                <w:rStyle w:val="Hyperlink"/>
                <w:noProof/>
                <w:lang w:val="hr-HR"/>
              </w:rPr>
              <w:t>UVOD</w:t>
            </w:r>
            <w:r w:rsidR="00EA0966">
              <w:rPr>
                <w:noProof/>
                <w:webHidden/>
              </w:rPr>
              <w:tab/>
            </w:r>
            <w:r w:rsidR="00EA0966">
              <w:rPr>
                <w:noProof/>
                <w:webHidden/>
              </w:rPr>
              <w:fldChar w:fldCharType="begin"/>
            </w:r>
            <w:r w:rsidR="00EA0966">
              <w:rPr>
                <w:noProof/>
                <w:webHidden/>
              </w:rPr>
              <w:instrText xml:space="preserve"> PAGEREF _Toc150380896 \h </w:instrText>
            </w:r>
            <w:r w:rsidR="00EA0966">
              <w:rPr>
                <w:noProof/>
                <w:webHidden/>
              </w:rPr>
            </w:r>
            <w:r w:rsidR="00EA0966">
              <w:rPr>
                <w:noProof/>
                <w:webHidden/>
              </w:rPr>
              <w:fldChar w:fldCharType="separate"/>
            </w:r>
            <w:r w:rsidR="006A0A56">
              <w:rPr>
                <w:noProof/>
                <w:webHidden/>
              </w:rPr>
              <w:t>3</w:t>
            </w:r>
            <w:r w:rsidR="00EA0966">
              <w:rPr>
                <w:noProof/>
                <w:webHidden/>
              </w:rPr>
              <w:fldChar w:fldCharType="end"/>
            </w:r>
          </w:hyperlink>
        </w:p>
        <w:p w:rsidR="00EA0966" w:rsidRDefault="006A0A56">
          <w:pPr>
            <w:pStyle w:val="TOC1"/>
            <w:rPr>
              <w:rFonts w:eastAsiaTheme="minorEastAsia"/>
              <w:noProof/>
              <w:lang w:val="hr-HR" w:eastAsia="hr-HR"/>
            </w:rPr>
          </w:pPr>
          <w:hyperlink w:anchor="_Toc150380897" w:history="1">
            <w:r w:rsidR="00EA0966" w:rsidRPr="00385FB8">
              <w:rPr>
                <w:rStyle w:val="Hyperlink"/>
                <w:noProof/>
                <w:lang w:val="hr-HR"/>
              </w:rPr>
              <w:t>2.</w:t>
            </w:r>
            <w:r w:rsidR="00EA0966">
              <w:rPr>
                <w:rFonts w:eastAsiaTheme="minorEastAsia"/>
                <w:noProof/>
                <w:lang w:val="hr-HR" w:eastAsia="hr-HR"/>
              </w:rPr>
              <w:tab/>
            </w:r>
            <w:r w:rsidR="00EA0966" w:rsidRPr="00385FB8">
              <w:rPr>
                <w:rStyle w:val="Hyperlink"/>
                <w:noProof/>
                <w:lang w:val="hr-HR"/>
              </w:rPr>
              <w:t>MAKROEKONOMSKI OKVIR</w:t>
            </w:r>
            <w:r w:rsidR="00EA0966">
              <w:rPr>
                <w:noProof/>
                <w:webHidden/>
              </w:rPr>
              <w:tab/>
            </w:r>
            <w:r w:rsidR="00EA0966">
              <w:rPr>
                <w:noProof/>
                <w:webHidden/>
              </w:rPr>
              <w:fldChar w:fldCharType="begin"/>
            </w:r>
            <w:r w:rsidR="00EA0966">
              <w:rPr>
                <w:noProof/>
                <w:webHidden/>
              </w:rPr>
              <w:instrText xml:space="preserve"> PAGEREF _Toc150380897 \h </w:instrText>
            </w:r>
            <w:r w:rsidR="00EA0966">
              <w:rPr>
                <w:noProof/>
                <w:webHidden/>
              </w:rPr>
            </w:r>
            <w:r w:rsidR="00EA0966">
              <w:rPr>
                <w:noProof/>
                <w:webHidden/>
              </w:rPr>
              <w:fldChar w:fldCharType="separate"/>
            </w:r>
            <w:r>
              <w:rPr>
                <w:noProof/>
                <w:webHidden/>
              </w:rPr>
              <w:t>5</w:t>
            </w:r>
            <w:r w:rsidR="00EA0966">
              <w:rPr>
                <w:noProof/>
                <w:webHidden/>
              </w:rPr>
              <w:fldChar w:fldCharType="end"/>
            </w:r>
          </w:hyperlink>
        </w:p>
        <w:p w:rsidR="00EA0966" w:rsidRDefault="006A0A56">
          <w:pPr>
            <w:pStyle w:val="TOC1"/>
            <w:rPr>
              <w:rFonts w:eastAsiaTheme="minorEastAsia"/>
              <w:noProof/>
              <w:lang w:val="hr-HR" w:eastAsia="hr-HR"/>
            </w:rPr>
          </w:pPr>
          <w:hyperlink w:anchor="_Toc150380898" w:history="1">
            <w:r w:rsidR="00EA0966" w:rsidRPr="00385FB8">
              <w:rPr>
                <w:rStyle w:val="Hyperlink"/>
                <w:noProof/>
                <w:lang w:val="hr-HR"/>
              </w:rPr>
              <w:t>2.</w:t>
            </w:r>
            <w:r w:rsidR="00EA0966">
              <w:rPr>
                <w:rFonts w:eastAsiaTheme="minorEastAsia"/>
                <w:noProof/>
                <w:lang w:val="hr-HR" w:eastAsia="hr-HR"/>
              </w:rPr>
              <w:tab/>
            </w:r>
            <w:r w:rsidR="00EA0966" w:rsidRPr="00385FB8">
              <w:rPr>
                <w:rStyle w:val="Hyperlink"/>
                <w:noProof/>
                <w:lang w:val="hr-HR"/>
              </w:rPr>
              <w:t>PRIHODI DRŽAVNOG PRORAČUNA</w:t>
            </w:r>
            <w:r w:rsidR="00EA0966">
              <w:rPr>
                <w:noProof/>
                <w:webHidden/>
              </w:rPr>
              <w:tab/>
            </w:r>
            <w:r w:rsidR="00EA0966">
              <w:rPr>
                <w:noProof/>
                <w:webHidden/>
              </w:rPr>
              <w:fldChar w:fldCharType="begin"/>
            </w:r>
            <w:r w:rsidR="00EA0966">
              <w:rPr>
                <w:noProof/>
                <w:webHidden/>
              </w:rPr>
              <w:instrText xml:space="preserve"> PAGEREF _Toc150380898 \h </w:instrText>
            </w:r>
            <w:r w:rsidR="00EA0966">
              <w:rPr>
                <w:noProof/>
                <w:webHidden/>
              </w:rPr>
            </w:r>
            <w:r w:rsidR="00EA0966">
              <w:rPr>
                <w:noProof/>
                <w:webHidden/>
              </w:rPr>
              <w:fldChar w:fldCharType="separate"/>
            </w:r>
            <w:r>
              <w:rPr>
                <w:noProof/>
                <w:webHidden/>
              </w:rPr>
              <w:t>10</w:t>
            </w:r>
            <w:r w:rsidR="00EA0966">
              <w:rPr>
                <w:noProof/>
                <w:webHidden/>
              </w:rPr>
              <w:fldChar w:fldCharType="end"/>
            </w:r>
          </w:hyperlink>
        </w:p>
        <w:p w:rsidR="00EA0966" w:rsidRDefault="006A0A56">
          <w:pPr>
            <w:pStyle w:val="TOC1"/>
            <w:rPr>
              <w:rFonts w:eastAsiaTheme="minorEastAsia"/>
              <w:noProof/>
              <w:lang w:val="hr-HR" w:eastAsia="hr-HR"/>
            </w:rPr>
          </w:pPr>
          <w:hyperlink w:anchor="_Toc150380899" w:history="1">
            <w:r w:rsidR="00EA0966" w:rsidRPr="00385FB8">
              <w:rPr>
                <w:rStyle w:val="Hyperlink"/>
                <w:noProof/>
                <w:lang w:val="hr-HR"/>
              </w:rPr>
              <w:t>3.</w:t>
            </w:r>
            <w:r w:rsidR="00EA0966">
              <w:rPr>
                <w:rFonts w:eastAsiaTheme="minorEastAsia"/>
                <w:noProof/>
                <w:lang w:val="hr-HR" w:eastAsia="hr-HR"/>
              </w:rPr>
              <w:tab/>
            </w:r>
            <w:r w:rsidR="00EA0966" w:rsidRPr="00385FB8">
              <w:rPr>
                <w:rStyle w:val="Hyperlink"/>
                <w:noProof/>
                <w:lang w:val="hr-HR"/>
              </w:rPr>
              <w:t>RASHODI DRŽAVNOG PRORAČUNA</w:t>
            </w:r>
            <w:r w:rsidR="00EA0966">
              <w:rPr>
                <w:noProof/>
                <w:webHidden/>
              </w:rPr>
              <w:tab/>
            </w:r>
            <w:r w:rsidR="00EA0966">
              <w:rPr>
                <w:noProof/>
                <w:webHidden/>
              </w:rPr>
              <w:fldChar w:fldCharType="begin"/>
            </w:r>
            <w:r w:rsidR="00EA0966">
              <w:rPr>
                <w:noProof/>
                <w:webHidden/>
              </w:rPr>
              <w:instrText xml:space="preserve"> PAGEREF _Toc150380899 \h </w:instrText>
            </w:r>
            <w:r w:rsidR="00EA0966">
              <w:rPr>
                <w:noProof/>
                <w:webHidden/>
              </w:rPr>
            </w:r>
            <w:r w:rsidR="00EA0966">
              <w:rPr>
                <w:noProof/>
                <w:webHidden/>
              </w:rPr>
              <w:fldChar w:fldCharType="separate"/>
            </w:r>
            <w:r>
              <w:rPr>
                <w:noProof/>
                <w:webHidden/>
              </w:rPr>
              <w:t>14</w:t>
            </w:r>
            <w:r w:rsidR="00EA0966">
              <w:rPr>
                <w:noProof/>
                <w:webHidden/>
              </w:rPr>
              <w:fldChar w:fldCharType="end"/>
            </w:r>
          </w:hyperlink>
        </w:p>
        <w:p w:rsidR="00EA0966" w:rsidRDefault="006A0A56">
          <w:pPr>
            <w:pStyle w:val="TOC2"/>
            <w:tabs>
              <w:tab w:val="left" w:pos="880"/>
              <w:tab w:val="right" w:leader="dot" w:pos="9062"/>
            </w:tabs>
            <w:rPr>
              <w:rFonts w:eastAsiaTheme="minorEastAsia"/>
              <w:noProof/>
              <w:lang w:val="hr-HR" w:eastAsia="hr-HR"/>
            </w:rPr>
          </w:pPr>
          <w:hyperlink w:anchor="_Toc150380900" w:history="1">
            <w:r w:rsidR="00EA0966" w:rsidRPr="00385FB8">
              <w:rPr>
                <w:rStyle w:val="Hyperlink"/>
                <w:noProof/>
                <w:lang w:val="hr-HR"/>
              </w:rPr>
              <w:t>4.1.</w:t>
            </w:r>
            <w:r w:rsidR="00EA0966">
              <w:rPr>
                <w:rFonts w:eastAsiaTheme="minorEastAsia"/>
                <w:noProof/>
                <w:lang w:val="hr-HR" w:eastAsia="hr-HR"/>
              </w:rPr>
              <w:tab/>
            </w:r>
            <w:r w:rsidR="00EA0966" w:rsidRPr="00385FB8">
              <w:rPr>
                <w:rStyle w:val="Hyperlink"/>
                <w:noProof/>
                <w:lang w:val="hr-HR"/>
              </w:rPr>
              <w:t>Obrazloženje rashoda po ekonomskoj klasifikaciji</w:t>
            </w:r>
            <w:r w:rsidR="00EA0966">
              <w:rPr>
                <w:noProof/>
                <w:webHidden/>
              </w:rPr>
              <w:tab/>
            </w:r>
            <w:r w:rsidR="00EA0966">
              <w:rPr>
                <w:noProof/>
                <w:webHidden/>
              </w:rPr>
              <w:fldChar w:fldCharType="begin"/>
            </w:r>
            <w:r w:rsidR="00EA0966">
              <w:rPr>
                <w:noProof/>
                <w:webHidden/>
              </w:rPr>
              <w:instrText xml:space="preserve"> PAGEREF _Toc150380900 \h </w:instrText>
            </w:r>
            <w:r w:rsidR="00EA0966">
              <w:rPr>
                <w:noProof/>
                <w:webHidden/>
              </w:rPr>
            </w:r>
            <w:r w:rsidR="00EA0966">
              <w:rPr>
                <w:noProof/>
                <w:webHidden/>
              </w:rPr>
              <w:fldChar w:fldCharType="separate"/>
            </w:r>
            <w:r>
              <w:rPr>
                <w:noProof/>
                <w:webHidden/>
              </w:rPr>
              <w:t>18</w:t>
            </w:r>
            <w:r w:rsidR="00EA0966">
              <w:rPr>
                <w:noProof/>
                <w:webHidden/>
              </w:rPr>
              <w:fldChar w:fldCharType="end"/>
            </w:r>
          </w:hyperlink>
        </w:p>
        <w:p w:rsidR="00EA0966" w:rsidRDefault="006A0A56">
          <w:pPr>
            <w:pStyle w:val="TOC2"/>
            <w:tabs>
              <w:tab w:val="left" w:pos="880"/>
              <w:tab w:val="right" w:leader="dot" w:pos="9062"/>
            </w:tabs>
            <w:rPr>
              <w:rFonts w:eastAsiaTheme="minorEastAsia"/>
              <w:noProof/>
              <w:lang w:val="hr-HR" w:eastAsia="hr-HR"/>
            </w:rPr>
          </w:pPr>
          <w:hyperlink w:anchor="_Toc150380901" w:history="1">
            <w:r w:rsidR="00EA0966" w:rsidRPr="00385FB8">
              <w:rPr>
                <w:rStyle w:val="Hyperlink"/>
                <w:noProof/>
                <w:lang w:val="hr-HR"/>
              </w:rPr>
              <w:t>4.2.</w:t>
            </w:r>
            <w:r w:rsidR="00EA0966">
              <w:rPr>
                <w:rFonts w:eastAsiaTheme="minorEastAsia"/>
                <w:noProof/>
                <w:lang w:val="hr-HR" w:eastAsia="hr-HR"/>
              </w:rPr>
              <w:tab/>
            </w:r>
            <w:r w:rsidR="00EA0966" w:rsidRPr="00385FB8">
              <w:rPr>
                <w:rStyle w:val="Hyperlink"/>
                <w:noProof/>
                <w:lang w:val="hr-HR"/>
              </w:rPr>
              <w:t>Obrazloženje rashoda po funkcijskoj klasifikaciji</w:t>
            </w:r>
            <w:r w:rsidR="00EA0966">
              <w:rPr>
                <w:noProof/>
                <w:webHidden/>
              </w:rPr>
              <w:tab/>
            </w:r>
            <w:r w:rsidR="00EA0966">
              <w:rPr>
                <w:noProof/>
                <w:webHidden/>
              </w:rPr>
              <w:fldChar w:fldCharType="begin"/>
            </w:r>
            <w:r w:rsidR="00EA0966">
              <w:rPr>
                <w:noProof/>
                <w:webHidden/>
              </w:rPr>
              <w:instrText xml:space="preserve"> PAGEREF _Toc150380901 \h </w:instrText>
            </w:r>
            <w:r w:rsidR="00EA0966">
              <w:rPr>
                <w:noProof/>
                <w:webHidden/>
              </w:rPr>
            </w:r>
            <w:r w:rsidR="00EA0966">
              <w:rPr>
                <w:noProof/>
                <w:webHidden/>
              </w:rPr>
              <w:fldChar w:fldCharType="separate"/>
            </w:r>
            <w:r>
              <w:rPr>
                <w:noProof/>
                <w:webHidden/>
              </w:rPr>
              <w:t>22</w:t>
            </w:r>
            <w:r w:rsidR="00EA0966">
              <w:rPr>
                <w:noProof/>
                <w:webHidden/>
              </w:rPr>
              <w:fldChar w:fldCharType="end"/>
            </w:r>
          </w:hyperlink>
        </w:p>
        <w:p w:rsidR="00EA0966" w:rsidRDefault="006A0A56">
          <w:pPr>
            <w:pStyle w:val="TOC1"/>
            <w:rPr>
              <w:rFonts w:eastAsiaTheme="minorEastAsia"/>
              <w:noProof/>
              <w:lang w:val="hr-HR" w:eastAsia="hr-HR"/>
            </w:rPr>
          </w:pPr>
          <w:hyperlink w:anchor="_Toc150380902" w:history="1">
            <w:r w:rsidR="00EA0966" w:rsidRPr="00385FB8">
              <w:rPr>
                <w:rStyle w:val="Hyperlink"/>
                <w:noProof/>
                <w:lang w:val="hr-HR"/>
              </w:rPr>
              <w:t>4.</w:t>
            </w:r>
            <w:r w:rsidR="00EA0966">
              <w:rPr>
                <w:rFonts w:eastAsiaTheme="minorEastAsia"/>
                <w:noProof/>
                <w:lang w:val="hr-HR" w:eastAsia="hr-HR"/>
              </w:rPr>
              <w:tab/>
            </w:r>
            <w:r w:rsidR="00EA0966" w:rsidRPr="00385FB8">
              <w:rPr>
                <w:rStyle w:val="Hyperlink"/>
                <w:noProof/>
                <w:lang w:val="hr-HR"/>
              </w:rPr>
              <w:t>UKUPNI MANJAK/VIŠAK DRŽAVNOG PRORAČUNA</w:t>
            </w:r>
            <w:r w:rsidR="00EA0966">
              <w:rPr>
                <w:noProof/>
                <w:webHidden/>
              </w:rPr>
              <w:tab/>
            </w:r>
            <w:r w:rsidR="00EA0966">
              <w:rPr>
                <w:noProof/>
                <w:webHidden/>
              </w:rPr>
              <w:fldChar w:fldCharType="begin"/>
            </w:r>
            <w:r w:rsidR="00EA0966">
              <w:rPr>
                <w:noProof/>
                <w:webHidden/>
              </w:rPr>
              <w:instrText xml:space="preserve"> PAGEREF _Toc150380902 \h </w:instrText>
            </w:r>
            <w:r w:rsidR="00EA0966">
              <w:rPr>
                <w:noProof/>
                <w:webHidden/>
              </w:rPr>
            </w:r>
            <w:r w:rsidR="00EA0966">
              <w:rPr>
                <w:noProof/>
                <w:webHidden/>
              </w:rPr>
              <w:fldChar w:fldCharType="separate"/>
            </w:r>
            <w:r>
              <w:rPr>
                <w:noProof/>
                <w:webHidden/>
              </w:rPr>
              <w:t>23</w:t>
            </w:r>
            <w:r w:rsidR="00EA0966">
              <w:rPr>
                <w:noProof/>
                <w:webHidden/>
              </w:rPr>
              <w:fldChar w:fldCharType="end"/>
            </w:r>
          </w:hyperlink>
        </w:p>
        <w:p w:rsidR="00EA0966" w:rsidRDefault="006A0A56">
          <w:pPr>
            <w:pStyle w:val="TOC1"/>
            <w:rPr>
              <w:rFonts w:eastAsiaTheme="minorEastAsia"/>
              <w:noProof/>
              <w:lang w:val="hr-HR" w:eastAsia="hr-HR"/>
            </w:rPr>
          </w:pPr>
          <w:hyperlink w:anchor="_Toc150380903" w:history="1">
            <w:r w:rsidR="00EA0966" w:rsidRPr="00385FB8">
              <w:rPr>
                <w:rStyle w:val="Hyperlink"/>
                <w:noProof/>
                <w:lang w:val="hr-HR"/>
              </w:rPr>
              <w:t>5.</w:t>
            </w:r>
            <w:r w:rsidR="00EA0966">
              <w:rPr>
                <w:rFonts w:eastAsiaTheme="minorEastAsia"/>
                <w:noProof/>
                <w:lang w:val="hr-HR" w:eastAsia="hr-HR"/>
              </w:rPr>
              <w:tab/>
            </w:r>
            <w:r w:rsidR="00EA0966" w:rsidRPr="00385FB8">
              <w:rPr>
                <w:rStyle w:val="Hyperlink"/>
                <w:noProof/>
                <w:lang w:val="hr-HR"/>
              </w:rPr>
              <w:t>RAČUN FINANCIRANJA DRŽAVNOG PRORAČUNA</w:t>
            </w:r>
            <w:r w:rsidR="00EA0966">
              <w:rPr>
                <w:noProof/>
                <w:webHidden/>
              </w:rPr>
              <w:tab/>
            </w:r>
            <w:r w:rsidR="00EA0966">
              <w:rPr>
                <w:noProof/>
                <w:webHidden/>
              </w:rPr>
              <w:fldChar w:fldCharType="begin"/>
            </w:r>
            <w:r w:rsidR="00EA0966">
              <w:rPr>
                <w:noProof/>
                <w:webHidden/>
              </w:rPr>
              <w:instrText xml:space="preserve"> PAGEREF _Toc150380903 \h </w:instrText>
            </w:r>
            <w:r w:rsidR="00EA0966">
              <w:rPr>
                <w:noProof/>
                <w:webHidden/>
              </w:rPr>
            </w:r>
            <w:r w:rsidR="00EA0966">
              <w:rPr>
                <w:noProof/>
                <w:webHidden/>
              </w:rPr>
              <w:fldChar w:fldCharType="separate"/>
            </w:r>
            <w:r>
              <w:rPr>
                <w:noProof/>
                <w:webHidden/>
              </w:rPr>
              <w:t>24</w:t>
            </w:r>
            <w:r w:rsidR="00EA0966">
              <w:rPr>
                <w:noProof/>
                <w:webHidden/>
              </w:rPr>
              <w:fldChar w:fldCharType="end"/>
            </w:r>
          </w:hyperlink>
        </w:p>
        <w:p w:rsidR="00EA0966" w:rsidRDefault="006A0A56">
          <w:pPr>
            <w:pStyle w:val="TOC1"/>
            <w:rPr>
              <w:rFonts w:eastAsiaTheme="minorEastAsia"/>
              <w:noProof/>
              <w:lang w:val="hr-HR" w:eastAsia="hr-HR"/>
            </w:rPr>
          </w:pPr>
          <w:hyperlink w:anchor="_Toc150380904" w:history="1">
            <w:r w:rsidR="00EA0966" w:rsidRPr="00385FB8">
              <w:rPr>
                <w:rStyle w:val="Hyperlink"/>
                <w:noProof/>
                <w:lang w:val="hr-HR"/>
              </w:rPr>
              <w:t>6.</w:t>
            </w:r>
            <w:r w:rsidR="00EA0966">
              <w:rPr>
                <w:rFonts w:eastAsiaTheme="minorEastAsia"/>
                <w:noProof/>
                <w:lang w:val="hr-HR" w:eastAsia="hr-HR"/>
              </w:rPr>
              <w:tab/>
            </w:r>
            <w:r w:rsidR="00EA0966" w:rsidRPr="00385FB8">
              <w:rPr>
                <w:rStyle w:val="Hyperlink"/>
                <w:noProof/>
                <w:lang w:val="hr-HR"/>
              </w:rPr>
              <w:t>STANJE DOSPJELIH NEPODMIRENIH OBVEZA PRORAČUNSKIH KORISNIKA DRŽAVNOG PRORAČUNA</w:t>
            </w:r>
            <w:r w:rsidR="00EA0966">
              <w:rPr>
                <w:noProof/>
                <w:webHidden/>
              </w:rPr>
              <w:tab/>
            </w:r>
            <w:r w:rsidR="00EA0966">
              <w:rPr>
                <w:noProof/>
                <w:webHidden/>
              </w:rPr>
              <w:fldChar w:fldCharType="begin"/>
            </w:r>
            <w:r w:rsidR="00EA0966">
              <w:rPr>
                <w:noProof/>
                <w:webHidden/>
              </w:rPr>
              <w:instrText xml:space="preserve"> PAGEREF _Toc150380904 \h </w:instrText>
            </w:r>
            <w:r w:rsidR="00EA0966">
              <w:rPr>
                <w:noProof/>
                <w:webHidden/>
              </w:rPr>
            </w:r>
            <w:r w:rsidR="00EA0966">
              <w:rPr>
                <w:noProof/>
                <w:webHidden/>
              </w:rPr>
              <w:fldChar w:fldCharType="separate"/>
            </w:r>
            <w:r>
              <w:rPr>
                <w:noProof/>
                <w:webHidden/>
              </w:rPr>
              <w:t>26</w:t>
            </w:r>
            <w:r w:rsidR="00EA0966">
              <w:rPr>
                <w:noProof/>
                <w:webHidden/>
              </w:rPr>
              <w:fldChar w:fldCharType="end"/>
            </w:r>
          </w:hyperlink>
        </w:p>
        <w:p w:rsidR="00EA0966" w:rsidRDefault="006A0A56">
          <w:pPr>
            <w:pStyle w:val="TOC1"/>
            <w:rPr>
              <w:rFonts w:eastAsiaTheme="minorEastAsia"/>
              <w:noProof/>
              <w:lang w:val="hr-HR" w:eastAsia="hr-HR"/>
            </w:rPr>
          </w:pPr>
          <w:hyperlink w:anchor="_Toc150380905" w:history="1">
            <w:r w:rsidR="00EA0966" w:rsidRPr="00385FB8">
              <w:rPr>
                <w:rStyle w:val="Hyperlink"/>
                <w:noProof/>
                <w:lang w:val="hr-HR"/>
              </w:rPr>
              <w:t>7.</w:t>
            </w:r>
            <w:r w:rsidR="00EA0966">
              <w:rPr>
                <w:rFonts w:eastAsiaTheme="minorEastAsia"/>
                <w:noProof/>
                <w:lang w:val="hr-HR" w:eastAsia="hr-HR"/>
              </w:rPr>
              <w:tab/>
            </w:r>
            <w:r w:rsidR="00EA0966" w:rsidRPr="00385FB8">
              <w:rPr>
                <w:rStyle w:val="Hyperlink"/>
                <w:noProof/>
                <w:lang w:val="hr-HR"/>
              </w:rPr>
              <w:t>PROCJENA UKUPNOG MANJKA/VIŠKA OPĆE DRŽAVE</w:t>
            </w:r>
            <w:r w:rsidR="00EA0966">
              <w:rPr>
                <w:noProof/>
                <w:webHidden/>
              </w:rPr>
              <w:tab/>
            </w:r>
            <w:r w:rsidR="00EA0966">
              <w:rPr>
                <w:noProof/>
                <w:webHidden/>
              </w:rPr>
              <w:fldChar w:fldCharType="begin"/>
            </w:r>
            <w:r w:rsidR="00EA0966">
              <w:rPr>
                <w:noProof/>
                <w:webHidden/>
              </w:rPr>
              <w:instrText xml:space="preserve"> PAGEREF _Toc150380905 \h </w:instrText>
            </w:r>
            <w:r w:rsidR="00EA0966">
              <w:rPr>
                <w:noProof/>
                <w:webHidden/>
              </w:rPr>
            </w:r>
            <w:r w:rsidR="00EA0966">
              <w:rPr>
                <w:noProof/>
                <w:webHidden/>
              </w:rPr>
              <w:fldChar w:fldCharType="separate"/>
            </w:r>
            <w:r>
              <w:rPr>
                <w:noProof/>
                <w:webHidden/>
              </w:rPr>
              <w:t>28</w:t>
            </w:r>
            <w:r w:rsidR="00EA0966">
              <w:rPr>
                <w:noProof/>
                <w:webHidden/>
              </w:rPr>
              <w:fldChar w:fldCharType="end"/>
            </w:r>
          </w:hyperlink>
        </w:p>
        <w:p w:rsidR="00EA0966" w:rsidRDefault="006A0A56">
          <w:pPr>
            <w:pStyle w:val="TOC1"/>
            <w:rPr>
              <w:rFonts w:eastAsiaTheme="minorEastAsia"/>
              <w:noProof/>
              <w:lang w:val="hr-HR" w:eastAsia="hr-HR"/>
            </w:rPr>
          </w:pPr>
          <w:hyperlink w:anchor="_Toc150380906" w:history="1">
            <w:r w:rsidR="00EA0966" w:rsidRPr="00385FB8">
              <w:rPr>
                <w:rStyle w:val="Hyperlink"/>
                <w:noProof/>
                <w:lang w:val="hr-HR"/>
              </w:rPr>
              <w:t>8.</w:t>
            </w:r>
            <w:r w:rsidR="00EA0966">
              <w:rPr>
                <w:rFonts w:eastAsiaTheme="minorEastAsia"/>
                <w:noProof/>
                <w:lang w:val="hr-HR" w:eastAsia="hr-HR"/>
              </w:rPr>
              <w:tab/>
            </w:r>
            <w:r w:rsidR="00EA0966" w:rsidRPr="00385FB8">
              <w:rPr>
                <w:rStyle w:val="Hyperlink"/>
                <w:noProof/>
                <w:lang w:val="hr-HR"/>
              </w:rPr>
              <w:t>OSVRT NA FISKALNA PRAVILA 2024. - 2026.</w:t>
            </w:r>
            <w:r w:rsidR="00EA0966">
              <w:rPr>
                <w:noProof/>
                <w:webHidden/>
              </w:rPr>
              <w:tab/>
            </w:r>
            <w:r w:rsidR="00EA0966">
              <w:rPr>
                <w:noProof/>
                <w:webHidden/>
              </w:rPr>
              <w:fldChar w:fldCharType="begin"/>
            </w:r>
            <w:r w:rsidR="00EA0966">
              <w:rPr>
                <w:noProof/>
                <w:webHidden/>
              </w:rPr>
              <w:instrText xml:space="preserve"> PAGEREF _Toc150380906 \h </w:instrText>
            </w:r>
            <w:r w:rsidR="00EA0966">
              <w:rPr>
                <w:noProof/>
                <w:webHidden/>
              </w:rPr>
            </w:r>
            <w:r w:rsidR="00EA0966">
              <w:rPr>
                <w:noProof/>
                <w:webHidden/>
              </w:rPr>
              <w:fldChar w:fldCharType="separate"/>
            </w:r>
            <w:r>
              <w:rPr>
                <w:noProof/>
                <w:webHidden/>
              </w:rPr>
              <w:t>31</w:t>
            </w:r>
            <w:r w:rsidR="00EA0966">
              <w:rPr>
                <w:noProof/>
                <w:webHidden/>
              </w:rPr>
              <w:fldChar w:fldCharType="end"/>
            </w:r>
          </w:hyperlink>
        </w:p>
        <w:p w:rsidR="00C93283" w:rsidRPr="006B0F2A" w:rsidRDefault="00C93283">
          <w:pPr>
            <w:rPr>
              <w:lang w:val="hr-HR"/>
            </w:rPr>
          </w:pPr>
          <w:r w:rsidRPr="006B0F2A">
            <w:rPr>
              <w:b/>
              <w:bCs/>
              <w:lang w:val="hr-HR"/>
            </w:rPr>
            <w:fldChar w:fldCharType="end"/>
          </w:r>
        </w:p>
      </w:sdtContent>
    </w:sdt>
    <w:p w:rsidR="00695821" w:rsidRPr="006B0F2A" w:rsidRDefault="00695821" w:rsidP="00695821">
      <w:pPr>
        <w:rPr>
          <w:lang w:val="hr-HR"/>
        </w:rPr>
      </w:pPr>
    </w:p>
    <w:p w:rsidR="00680042" w:rsidRPr="006B0F2A" w:rsidRDefault="00680042" w:rsidP="00695821">
      <w:pPr>
        <w:rPr>
          <w:lang w:val="hr-HR"/>
        </w:rPr>
      </w:pPr>
    </w:p>
    <w:p w:rsidR="00695821" w:rsidRPr="006B0F2A" w:rsidRDefault="00695821" w:rsidP="00695821">
      <w:pPr>
        <w:rPr>
          <w:lang w:val="hr-HR"/>
        </w:rPr>
      </w:pPr>
      <w:r w:rsidRPr="006B0F2A">
        <w:rPr>
          <w:lang w:val="hr-HR"/>
        </w:rPr>
        <w:br w:type="page"/>
      </w:r>
    </w:p>
    <w:p w:rsidR="00EE258E" w:rsidRPr="006B0F2A" w:rsidRDefault="00695821" w:rsidP="00E77049">
      <w:pPr>
        <w:pStyle w:val="Heading1"/>
        <w:numPr>
          <w:ilvl w:val="0"/>
          <w:numId w:val="2"/>
        </w:numPr>
        <w:rPr>
          <w:lang w:val="hr-HR"/>
        </w:rPr>
      </w:pPr>
      <w:bookmarkStart w:id="1" w:name="_Toc150380896"/>
      <w:r w:rsidRPr="006B0F2A">
        <w:rPr>
          <w:lang w:val="hr-HR"/>
        </w:rPr>
        <w:lastRenderedPageBreak/>
        <w:t>UVOD</w:t>
      </w:r>
      <w:bookmarkEnd w:id="1"/>
    </w:p>
    <w:p w:rsidR="00E77049" w:rsidRPr="006B0F2A" w:rsidRDefault="00E77049" w:rsidP="00E77049">
      <w:pPr>
        <w:rPr>
          <w:lang w:val="hr-HR"/>
        </w:rPr>
      </w:pPr>
    </w:p>
    <w:p w:rsidR="006705CC" w:rsidRPr="006705CC" w:rsidRDefault="006705CC" w:rsidP="006705CC">
      <w:pPr>
        <w:jc w:val="both"/>
        <w:rPr>
          <w:strike/>
          <w:lang w:val="hr-HR"/>
        </w:rPr>
      </w:pPr>
      <w:r w:rsidRPr="006705CC">
        <w:rPr>
          <w:lang w:val="hr-HR"/>
        </w:rPr>
        <w:t>Nadolazeće razdoblje u Republici Hrvatskoj karakterizira nastavak razmjerno pozitivnih gospodarskih kretanja, ali i visok stupanj neizvjesnosti kao i dominantni negativni rizici, što predstavlja izazove za ekonomsku politiku u cjelini te posebice fiskalnu politiku. U tom smislu, ona treba biti prilagodljiva, spremna na pravovremenu reakci</w:t>
      </w:r>
      <w:r w:rsidR="008241B6">
        <w:rPr>
          <w:lang w:val="hr-HR"/>
        </w:rPr>
        <w:t>ju u promjenjivim okolnostima. Tako je u</w:t>
      </w:r>
      <w:r w:rsidRPr="006705CC">
        <w:rPr>
          <w:lang w:val="hr-HR"/>
        </w:rPr>
        <w:t xml:space="preserve"> uvjetima još uvijek prisutnih inflacijskih pritisaka, planirani odgovor fiskalne politike usmjeren prije svega na zaštitu stanovništva i gospodarstva, uvažavajući izazove povezane s potrebom snažne socijalne osjetljivosti, demografskim i geopolitičkim kretanjima kao i osiguravanjem odgovarajućeg standarda za sve skupine društva. </w:t>
      </w:r>
    </w:p>
    <w:p w:rsidR="008241B6" w:rsidRDefault="008241B6" w:rsidP="008241B6">
      <w:pPr>
        <w:spacing w:before="240"/>
        <w:jc w:val="both"/>
        <w:rPr>
          <w:rFonts w:ascii="Calibri" w:hAnsi="Calibri" w:cs="Calibri"/>
          <w:color w:val="000000"/>
          <w:shd w:val="clear" w:color="auto" w:fill="FFFFFF"/>
          <w:lang w:val="hr-HR"/>
        </w:rPr>
      </w:pPr>
      <w:r w:rsidRPr="007E5DA9">
        <w:rPr>
          <w:rFonts w:cstheme="minorHAnsi"/>
          <w:lang w:val="hr-HR"/>
        </w:rPr>
        <w:t>Kretanj</w:t>
      </w:r>
      <w:r>
        <w:rPr>
          <w:rFonts w:cstheme="minorHAnsi"/>
          <w:lang w:val="hr-HR"/>
        </w:rPr>
        <w:t>e</w:t>
      </w:r>
      <w:r w:rsidRPr="007E5DA9">
        <w:rPr>
          <w:rFonts w:cstheme="minorHAnsi"/>
          <w:lang w:val="hr-HR"/>
        </w:rPr>
        <w:t xml:space="preserve"> prihoda državnog proračuna u razdoblju 202</w:t>
      </w:r>
      <w:r>
        <w:rPr>
          <w:rFonts w:cstheme="minorHAnsi"/>
          <w:lang w:val="hr-HR"/>
        </w:rPr>
        <w:t>4. – 2026. određeno je</w:t>
      </w:r>
      <w:r w:rsidRPr="007E5DA9">
        <w:rPr>
          <w:rFonts w:cstheme="minorHAnsi"/>
          <w:lang w:val="hr-HR"/>
        </w:rPr>
        <w:t xml:space="preserve"> </w:t>
      </w:r>
      <w:r w:rsidRPr="00607FE4">
        <w:rPr>
          <w:rFonts w:ascii="Calibri" w:hAnsi="Calibri" w:cs="Calibri"/>
          <w:color w:val="000000"/>
          <w:shd w:val="clear" w:color="auto" w:fill="FFFFFF"/>
          <w:lang w:val="hr-HR"/>
        </w:rPr>
        <w:t xml:space="preserve">projiciranim kretanjem gospodarske aktivnosti, </w:t>
      </w:r>
      <w:r w:rsidRPr="00FB5931">
        <w:rPr>
          <w:rFonts w:ascii="Calibri" w:hAnsi="Calibri" w:cs="Calibri"/>
          <w:color w:val="000000"/>
          <w:shd w:val="clear" w:color="auto" w:fill="FFFFFF"/>
          <w:lang w:val="hr-HR"/>
        </w:rPr>
        <w:t xml:space="preserve">uzimajući u obzir cjelogodišnji fiskalni učinak </w:t>
      </w:r>
      <w:r>
        <w:rPr>
          <w:rFonts w:ascii="Calibri" w:hAnsi="Calibri" w:cs="Calibri"/>
          <w:color w:val="000000"/>
          <w:shd w:val="clear" w:color="auto" w:fill="FFFFFF"/>
          <w:lang w:val="hr-HR"/>
        </w:rPr>
        <w:t xml:space="preserve">mjera koje je Vlada RH donijela u svrhu zaštite kućanstava i gospodarstva od rasta cijena, </w:t>
      </w:r>
      <w:r w:rsidRPr="00FB5931">
        <w:rPr>
          <w:rFonts w:ascii="Calibri" w:hAnsi="Calibri" w:cs="Calibri"/>
          <w:color w:val="000000"/>
          <w:shd w:val="clear" w:color="auto" w:fill="FFFFFF"/>
          <w:lang w:val="hr-HR"/>
        </w:rPr>
        <w:t>kao i</w:t>
      </w:r>
      <w:r>
        <w:rPr>
          <w:rFonts w:ascii="Calibri" w:hAnsi="Calibri" w:cs="Calibri"/>
          <w:color w:val="000000"/>
          <w:shd w:val="clear" w:color="auto" w:fill="FFFFFF"/>
          <w:lang w:val="hr-HR"/>
        </w:rPr>
        <w:t xml:space="preserve"> učinak porezne reforme </w:t>
      </w:r>
      <w:r w:rsidRPr="00FB5931">
        <w:rPr>
          <w:rFonts w:ascii="Calibri" w:hAnsi="Calibri" w:cs="Calibri"/>
          <w:color w:val="000000"/>
          <w:shd w:val="clear" w:color="auto" w:fill="FFFFFF"/>
          <w:lang w:val="hr-HR"/>
        </w:rPr>
        <w:t xml:space="preserve">u sustavu </w:t>
      </w:r>
      <w:r>
        <w:rPr>
          <w:rFonts w:ascii="Calibri" w:hAnsi="Calibri" w:cs="Calibri"/>
          <w:color w:val="000000"/>
          <w:shd w:val="clear" w:color="auto" w:fill="FFFFFF"/>
          <w:lang w:val="hr-HR"/>
        </w:rPr>
        <w:t>doprinosa za mirovinsko osiguranje, a koje</w:t>
      </w:r>
      <w:r w:rsidRPr="00FB5931">
        <w:rPr>
          <w:rFonts w:ascii="Calibri" w:hAnsi="Calibri" w:cs="Calibri"/>
          <w:color w:val="000000"/>
          <w:shd w:val="clear" w:color="auto" w:fill="FFFFFF"/>
          <w:lang w:val="hr-HR"/>
        </w:rPr>
        <w:t xml:space="preserve"> će st</w:t>
      </w:r>
      <w:r>
        <w:rPr>
          <w:rFonts w:ascii="Calibri" w:hAnsi="Calibri" w:cs="Calibri"/>
          <w:color w:val="000000"/>
          <w:shd w:val="clear" w:color="auto" w:fill="FFFFFF"/>
          <w:lang w:val="hr-HR"/>
        </w:rPr>
        <w:t xml:space="preserve">upiti na snagu od 1. siječnja 2024. </w:t>
      </w:r>
      <w:r w:rsidR="005576AE">
        <w:rPr>
          <w:rFonts w:ascii="Calibri" w:hAnsi="Calibri" w:cs="Calibri"/>
          <w:color w:val="000000"/>
          <w:shd w:val="clear" w:color="auto" w:fill="FFFFFF"/>
          <w:lang w:val="hr-HR"/>
        </w:rPr>
        <w:t xml:space="preserve">Osim toga, </w:t>
      </w:r>
      <w:r w:rsidR="005576AE">
        <w:rPr>
          <w:rFonts w:ascii="Calibri" w:hAnsi="Calibri" w:cs="Calibri"/>
          <w:bCs/>
          <w:color w:val="000000"/>
          <w:shd w:val="clear" w:color="auto" w:fill="FFFFFF"/>
          <w:lang w:val="hr-HR"/>
        </w:rPr>
        <w:t>od početka sljedeće godine bit će</w:t>
      </w:r>
      <w:r w:rsidR="005576AE" w:rsidRPr="005576AE">
        <w:rPr>
          <w:rFonts w:ascii="Calibri" w:hAnsi="Calibri" w:cs="Calibri"/>
          <w:bCs/>
          <w:color w:val="000000"/>
          <w:shd w:val="clear" w:color="auto" w:fill="FFFFFF"/>
          <w:lang w:val="hr-HR"/>
        </w:rPr>
        <w:t xml:space="preserve"> ukinut prirez za sve kategorije dohotka te će jedinice lokalne i područne (regionalne) samouprave moći kompenzirati gubitak prihoda po ovoj osnovi samostalnim propisivanjem porezne stope za kategorije dohotka za nesamostalni rad u granicama propisanim zakonom.</w:t>
      </w:r>
      <w:r w:rsidR="005576AE">
        <w:rPr>
          <w:rFonts w:ascii="Calibri" w:hAnsi="Calibri" w:cs="Calibri"/>
          <w:bCs/>
          <w:color w:val="000000"/>
          <w:shd w:val="clear" w:color="auto" w:fill="FFFFFF"/>
          <w:lang w:val="hr-HR"/>
        </w:rPr>
        <w:t xml:space="preserve"> </w:t>
      </w:r>
      <w:r w:rsidRPr="00B92193">
        <w:rPr>
          <w:rFonts w:ascii="Calibri" w:hAnsi="Calibri" w:cs="Calibri"/>
          <w:color w:val="000000"/>
          <w:shd w:val="clear" w:color="auto" w:fill="FFFFFF"/>
          <w:lang w:val="hr-HR"/>
        </w:rPr>
        <w:t>Značajan učinak na prihode proračuna imaju i sredstva pomoći</w:t>
      </w:r>
      <w:r w:rsidRPr="00607FE4">
        <w:rPr>
          <w:rFonts w:ascii="Calibri" w:hAnsi="Calibri" w:cs="Calibri"/>
          <w:color w:val="000000"/>
          <w:shd w:val="clear" w:color="auto" w:fill="FFFFFF"/>
          <w:lang w:val="hr-HR"/>
        </w:rPr>
        <w:t xml:space="preserve"> institucija i tijela EU. To se ponajprije odnosi na sredstva iz novog Višegodišnjeg financijskog okvira 2021. – 2027. te iz Mehanizma za oporavak i otpornost, kojima će se jačati </w:t>
      </w:r>
      <w:r>
        <w:rPr>
          <w:rFonts w:ascii="Calibri" w:hAnsi="Calibri" w:cs="Calibri"/>
          <w:color w:val="000000"/>
          <w:shd w:val="clear" w:color="auto" w:fill="FFFFFF"/>
          <w:lang w:val="hr-HR"/>
        </w:rPr>
        <w:t>otpornost gospodarstva</w:t>
      </w:r>
      <w:r w:rsidRPr="00607FE4">
        <w:rPr>
          <w:rFonts w:ascii="Calibri" w:hAnsi="Calibri" w:cs="Calibri"/>
          <w:color w:val="000000"/>
          <w:shd w:val="clear" w:color="auto" w:fill="FFFFFF"/>
          <w:lang w:val="hr-HR"/>
        </w:rPr>
        <w:t>.</w:t>
      </w:r>
      <w:r>
        <w:rPr>
          <w:rFonts w:ascii="Calibri" w:hAnsi="Calibri" w:cs="Calibri"/>
          <w:color w:val="000000"/>
          <w:shd w:val="clear" w:color="auto" w:fill="FFFFFF"/>
          <w:lang w:val="hr-HR"/>
        </w:rPr>
        <w:t xml:space="preserve"> </w:t>
      </w:r>
    </w:p>
    <w:p w:rsidR="006705CC" w:rsidRPr="006705CC" w:rsidRDefault="006705CC" w:rsidP="006705CC">
      <w:pPr>
        <w:jc w:val="both"/>
        <w:rPr>
          <w:lang w:val="hr-HR"/>
        </w:rPr>
      </w:pPr>
      <w:r w:rsidRPr="006705CC">
        <w:rPr>
          <w:lang w:val="hr-HR"/>
        </w:rPr>
        <w:t>Ključne odrednice kretanja rashodne strane proračuna u nadolazećem srednjoročnom razdoblju su ekonomsko-političke okolnosti koje iziskuju fleksibilnu reakciju fiskalne politike. Ovdje je važno spomenuti visoku stopu inflacije u posljednje 2 i pol godine, ostvarenu iznad prethodnih očekivanja, posebice njenu komponentu cijena hrane, koja je u kumulativnom iznosu dosegla stopu višu od 30% u RH </w:t>
      </w:r>
      <w:r w:rsidR="005576AE">
        <w:rPr>
          <w:lang w:val="hr-HR"/>
        </w:rPr>
        <w:t xml:space="preserve"> </w:t>
      </w:r>
      <w:r w:rsidRPr="006705CC">
        <w:rPr>
          <w:lang w:val="hr-HR"/>
        </w:rPr>
        <w:t xml:space="preserve">u promatranom razdoblju, (što </w:t>
      </w:r>
      <w:r w:rsidR="00082B28">
        <w:rPr>
          <w:lang w:val="hr-HR"/>
        </w:rPr>
        <w:t>RH</w:t>
      </w:r>
      <w:r w:rsidRPr="006705CC">
        <w:rPr>
          <w:lang w:val="hr-HR"/>
        </w:rPr>
        <w:t xml:space="preserve"> čini jednom od 5 najjače zahvaćenih zemalja </w:t>
      </w:r>
      <w:r w:rsidR="00082B28">
        <w:rPr>
          <w:lang w:val="hr-HR"/>
        </w:rPr>
        <w:t>u EU</w:t>
      </w:r>
      <w:r w:rsidRPr="006705CC">
        <w:rPr>
          <w:lang w:val="hr-HR"/>
        </w:rPr>
        <w:t>). Navedeno je dovelo do potrebe usklađivanja rasta plaća s inflatornim pritiscima, kao i posljedičnog usklađivanja mirovina s rastom plaća i potrošačkih cijena, ali i potrebe snažnije ciljane zaštite socijalno ranjivih skupina društva u ovakvim uvjetima. Istovremeno, pri planiranju rashodnih prioriteta nužno je uzeti u obzir i rastuće geopolitičke napetosti, kao i nepovoljna demografska kretanja te u tako izazovnim okolnostima osigurati odgovarajuću kvalitetu života za sve građane. U tom kontekstu, planira se nastaviti i s naporima u svrhu saniranja područja oštećenih u razornim potresima, i to iz nacionalnih izvora te zajmova u okviru Mehanizma za oporavak i otpornost. U okviru ključnih odrednica ekonomske politike valja spomenuti i Specifične preporuke Vijeća za RH iz lipnja 2023. godine koje snažno usmjeravaju politiku RH u smislu obveze  provedbe (nacionalno financiranih) investicija te reformi, osiguranja učinkovite apsorpcije Mehanizma za oporavak i otpornost u sinergiji s europskim strukturnim i investicijskim fondovima (s posebnim naglaskom na zelenu i digitalnu tranziciju), a sve u svrhu jačanja otpornosti hrvatskog gospodarstva.</w:t>
      </w:r>
    </w:p>
    <w:p w:rsidR="00082B28" w:rsidRPr="006705CC" w:rsidRDefault="006705CC" w:rsidP="00082B28">
      <w:pPr>
        <w:widowControl w:val="0"/>
        <w:jc w:val="both"/>
        <w:rPr>
          <w:rFonts w:ascii="Calibri" w:eastAsia="Calibri" w:hAnsi="Calibri" w:cs="Times New Roman"/>
          <w:lang w:val="hr-HR"/>
        </w:rPr>
      </w:pPr>
      <w:r w:rsidRPr="006705CC">
        <w:rPr>
          <w:rFonts w:ascii="Calibri" w:eastAsia="Calibri" w:hAnsi="Calibri" w:cs="Times New Roman"/>
          <w:lang w:val="hr-HR"/>
        </w:rPr>
        <w:t xml:space="preserve">U ovako izazovnim okolnostima, slijedom svih navedenih odrednica, </w:t>
      </w:r>
      <w:r w:rsidR="00082B28">
        <w:rPr>
          <w:rFonts w:ascii="Calibri" w:eastAsia="Calibri" w:hAnsi="Calibri" w:cs="Times New Roman"/>
          <w:lang w:val="hr-HR"/>
        </w:rPr>
        <w:t xml:space="preserve">prema ESA 2010 metodologiji </w:t>
      </w:r>
      <w:r w:rsidRPr="006705CC">
        <w:rPr>
          <w:rFonts w:ascii="Calibri" w:eastAsia="Calibri" w:hAnsi="Calibri" w:cs="Times New Roman"/>
          <w:lang w:val="hr-HR"/>
        </w:rPr>
        <w:t xml:space="preserve">, očekuje se </w:t>
      </w:r>
      <w:r w:rsidR="00082B28">
        <w:rPr>
          <w:rFonts w:ascii="Calibri" w:eastAsia="Calibri" w:hAnsi="Calibri" w:cs="Times New Roman"/>
          <w:lang w:val="hr-HR"/>
        </w:rPr>
        <w:t>manjak opće države od 1,9% BDP-a u 2024., što je 1,6 postotnih bodova više u odnosu na 2023. godinu. U</w:t>
      </w:r>
      <w:r w:rsidR="00082B28" w:rsidRPr="006705CC">
        <w:rPr>
          <w:rFonts w:ascii="Calibri" w:eastAsia="Calibri" w:hAnsi="Calibri" w:cs="Times New Roman"/>
          <w:lang w:val="hr-HR"/>
        </w:rPr>
        <w:t>dio javnog duga u bruto domaćem proizvodu nastavlja</w:t>
      </w:r>
      <w:r w:rsidR="00082B28">
        <w:rPr>
          <w:rFonts w:ascii="Calibri" w:eastAsia="Calibri" w:hAnsi="Calibri" w:cs="Times New Roman"/>
          <w:lang w:val="hr-HR"/>
        </w:rPr>
        <w:t xml:space="preserve"> se smanjivati pa će tako u 2024</w:t>
      </w:r>
      <w:r w:rsidR="00082B28" w:rsidRPr="006705CC">
        <w:rPr>
          <w:rFonts w:ascii="Calibri" w:eastAsia="Calibri" w:hAnsi="Calibri" w:cs="Times New Roman"/>
          <w:lang w:val="hr-HR"/>
        </w:rPr>
        <w:t xml:space="preserve">. doseći razinu od </w:t>
      </w:r>
      <w:r w:rsidR="00082B28">
        <w:rPr>
          <w:rFonts w:ascii="Calibri" w:eastAsia="Calibri" w:hAnsi="Calibri" w:cs="Times New Roman"/>
          <w:lang w:val="hr-HR"/>
        </w:rPr>
        <w:t xml:space="preserve">58%, što je 2,7 postotnih bodova niže u usporedbi s razinom iz 2023. godine. </w:t>
      </w:r>
    </w:p>
    <w:p w:rsidR="006705CC" w:rsidRPr="006705CC" w:rsidRDefault="006705CC" w:rsidP="006705CC">
      <w:pPr>
        <w:widowControl w:val="0"/>
        <w:jc w:val="both"/>
        <w:rPr>
          <w:rFonts w:ascii="Calibri" w:eastAsia="Calibri" w:hAnsi="Calibri" w:cs="Times New Roman"/>
          <w:lang w:val="hr-HR"/>
        </w:rPr>
      </w:pPr>
      <w:r w:rsidRPr="006705CC">
        <w:rPr>
          <w:rFonts w:ascii="Calibri" w:eastAsia="Calibri" w:hAnsi="Calibri" w:cs="Times New Roman"/>
          <w:lang w:val="hr-HR"/>
        </w:rPr>
        <w:t xml:space="preserve">Unatoč izazovima, Vlada RH predana je ostvarenju održivosti javnih financija. U tom smislu, u srednjem </w:t>
      </w:r>
      <w:r w:rsidRPr="006705CC">
        <w:rPr>
          <w:rFonts w:ascii="Calibri" w:eastAsia="Calibri" w:hAnsi="Calibri" w:cs="Times New Roman"/>
          <w:lang w:val="hr-HR"/>
        </w:rPr>
        <w:lastRenderedPageBreak/>
        <w:t>roku planirana je postupna fiskalna konsolidacija, u suglasju s ulaganjima i reformama poticajnim za ekonomski rast, a u svrhu ostvarenja razborite srednjoročne fiskalne pozicije. Tako će proračunski manjak u 2025. dosegnuti 1,6% BDP-a, odnosno</w:t>
      </w:r>
      <w:r w:rsidR="00082B28">
        <w:rPr>
          <w:rFonts w:ascii="Calibri" w:eastAsia="Calibri" w:hAnsi="Calibri" w:cs="Times New Roman"/>
          <w:lang w:val="hr-HR"/>
        </w:rPr>
        <w:t xml:space="preserve"> 1,5% BDP-a </w:t>
      </w:r>
      <w:r w:rsidRPr="00082B28">
        <w:rPr>
          <w:rFonts w:ascii="Calibri" w:eastAsia="Calibri" w:hAnsi="Calibri" w:cs="Times New Roman"/>
          <w:lang w:val="hr-HR"/>
        </w:rPr>
        <w:t>u 2026. godini, dok će u istom razdoblju udio duga u nominalnom br</w:t>
      </w:r>
      <w:r w:rsidR="00082B28" w:rsidRPr="00082B28">
        <w:rPr>
          <w:rFonts w:ascii="Calibri" w:eastAsia="Calibri" w:hAnsi="Calibri" w:cs="Times New Roman"/>
          <w:lang w:val="hr-HR"/>
        </w:rPr>
        <w:t xml:space="preserve">uto domaćem proizvodu iznositi 56,6% </w:t>
      </w:r>
      <w:r w:rsidR="009E5B79">
        <w:rPr>
          <w:rFonts w:ascii="Calibri" w:eastAsia="Calibri" w:hAnsi="Calibri" w:cs="Times New Roman"/>
          <w:lang w:val="hr-HR"/>
        </w:rPr>
        <w:t>odnosno</w:t>
      </w:r>
      <w:r w:rsidR="00082B28" w:rsidRPr="00082B28">
        <w:rPr>
          <w:rFonts w:ascii="Calibri" w:eastAsia="Calibri" w:hAnsi="Calibri" w:cs="Times New Roman"/>
          <w:lang w:val="hr-HR"/>
        </w:rPr>
        <w:t xml:space="preserve"> 55,5%</w:t>
      </w:r>
      <w:r w:rsidRPr="00082B28">
        <w:rPr>
          <w:rFonts w:ascii="Calibri" w:eastAsia="Calibri" w:hAnsi="Calibri" w:cs="Times New Roman"/>
          <w:lang w:val="hr-HR"/>
        </w:rPr>
        <w:t xml:space="preserve">. </w:t>
      </w:r>
      <w:r w:rsidRPr="006705CC">
        <w:rPr>
          <w:rFonts w:ascii="Calibri" w:eastAsia="Calibri" w:hAnsi="Calibri" w:cs="Times New Roman"/>
          <w:lang w:val="hr-HR"/>
        </w:rPr>
        <w:t xml:space="preserve">Iz svega navedenog, vidljivo je da će u srednjem roku proračunski manjak biti značajno ispod 3% BDP-a, dok će </w:t>
      </w:r>
      <w:r w:rsidR="00FC3590">
        <w:rPr>
          <w:rFonts w:ascii="Calibri" w:eastAsia="Calibri" w:hAnsi="Calibri" w:cs="Times New Roman"/>
          <w:lang w:val="hr-HR"/>
        </w:rPr>
        <w:t xml:space="preserve">se </w:t>
      </w:r>
      <w:r w:rsidRPr="006705CC">
        <w:rPr>
          <w:rFonts w:ascii="Calibri" w:eastAsia="Calibri" w:hAnsi="Calibri" w:cs="Times New Roman"/>
          <w:lang w:val="hr-HR"/>
        </w:rPr>
        <w:t>udio duga u bruto domaćem proizvodu smanjiti ispod 60%, sukladno odredbama Pakta o stabilnosti i rastu.</w:t>
      </w:r>
    </w:p>
    <w:p w:rsidR="006705CC" w:rsidRDefault="006705CC" w:rsidP="006705CC">
      <w:pPr>
        <w:jc w:val="both"/>
      </w:pPr>
    </w:p>
    <w:p w:rsidR="00E167A9" w:rsidRPr="00583572" w:rsidRDefault="00E167A9" w:rsidP="00E77049">
      <w:pPr>
        <w:jc w:val="both"/>
        <w:rPr>
          <w:highlight w:val="yellow"/>
          <w:lang w:val="hr-HR"/>
        </w:rPr>
      </w:pPr>
    </w:p>
    <w:p w:rsidR="00E167A9" w:rsidRPr="00583572" w:rsidRDefault="00E167A9" w:rsidP="00003BE9">
      <w:pPr>
        <w:rPr>
          <w:highlight w:val="yellow"/>
          <w:lang w:val="hr-HR"/>
        </w:rPr>
      </w:pPr>
      <w:r w:rsidRPr="00583572">
        <w:rPr>
          <w:highlight w:val="yellow"/>
          <w:lang w:val="hr-HR"/>
        </w:rPr>
        <w:br w:type="page"/>
      </w:r>
    </w:p>
    <w:p w:rsidR="00695821" w:rsidRPr="0089013D" w:rsidRDefault="00695821" w:rsidP="00695821">
      <w:pPr>
        <w:pStyle w:val="Heading1"/>
        <w:numPr>
          <w:ilvl w:val="0"/>
          <w:numId w:val="2"/>
        </w:numPr>
        <w:rPr>
          <w:lang w:val="hr-HR"/>
        </w:rPr>
      </w:pPr>
      <w:bookmarkStart w:id="2" w:name="_Toc150380897"/>
      <w:r w:rsidRPr="0089013D">
        <w:rPr>
          <w:lang w:val="hr-HR"/>
        </w:rPr>
        <w:lastRenderedPageBreak/>
        <w:t>MAKROEKONOMSKI OKVIR</w:t>
      </w:r>
      <w:bookmarkEnd w:id="2"/>
    </w:p>
    <w:p w:rsidR="00F048AB" w:rsidRPr="00583572" w:rsidRDefault="00F048AB" w:rsidP="00695821">
      <w:pPr>
        <w:rPr>
          <w:highlight w:val="yellow"/>
          <w:lang w:val="hr-HR"/>
        </w:rPr>
      </w:pPr>
    </w:p>
    <w:p w:rsidR="0089013D" w:rsidRPr="00562873" w:rsidRDefault="0089013D" w:rsidP="0089013D">
      <w:pPr>
        <w:spacing w:afterLines="120" w:after="288"/>
        <w:jc w:val="both"/>
        <w:rPr>
          <w:rFonts w:cstheme="minorHAnsi"/>
          <w:lang w:val="hr-HR"/>
        </w:rPr>
      </w:pPr>
      <w:bookmarkStart w:id="3" w:name="_Toc520963978"/>
      <w:r w:rsidRPr="00EA473B">
        <w:rPr>
          <w:rFonts w:cstheme="minorHAnsi"/>
          <w:lang w:val="hr-HR"/>
        </w:rPr>
        <w:t xml:space="preserve">Makroekonomski okvir u ovom dokumentu izrađen je u listopadu ove godine i </w:t>
      </w:r>
      <w:r w:rsidR="00E31389">
        <w:rPr>
          <w:rFonts w:cstheme="minorHAnsi"/>
          <w:lang w:val="hr-HR"/>
        </w:rPr>
        <w:t>jednak je onom iz</w:t>
      </w:r>
      <w:r w:rsidRPr="00EA473B">
        <w:rPr>
          <w:rFonts w:cstheme="minorHAnsi"/>
          <w:lang w:val="hr-HR"/>
        </w:rPr>
        <w:t xml:space="preserve"> Na</w:t>
      </w:r>
      <w:r w:rsidR="00E31389">
        <w:rPr>
          <w:rFonts w:cstheme="minorHAnsi"/>
          <w:lang w:val="hr-HR"/>
        </w:rPr>
        <w:t>crta</w:t>
      </w:r>
      <w:r>
        <w:rPr>
          <w:rFonts w:cstheme="minorHAnsi"/>
          <w:lang w:val="hr-HR"/>
        </w:rPr>
        <w:t xml:space="preserve"> proračunskog plana za 2024</w:t>
      </w:r>
      <w:r w:rsidRPr="00EA473B">
        <w:rPr>
          <w:rFonts w:cstheme="minorHAnsi"/>
          <w:lang w:val="hr-HR"/>
        </w:rPr>
        <w:t>. godinu</w:t>
      </w:r>
      <w:r w:rsidRPr="00EA473B">
        <w:rPr>
          <w:rStyle w:val="FootnoteReference"/>
          <w:rFonts w:cstheme="minorHAnsi"/>
          <w:lang w:val="hr-HR"/>
        </w:rPr>
        <w:footnoteReference w:id="1"/>
      </w:r>
      <w:r w:rsidRPr="00EA473B">
        <w:rPr>
          <w:rFonts w:cstheme="minorHAnsi"/>
          <w:lang w:val="hr-HR"/>
        </w:rPr>
        <w:t>.</w:t>
      </w:r>
      <w:r w:rsidRPr="00562873">
        <w:rPr>
          <w:rFonts w:cstheme="minorHAnsi"/>
          <w:lang w:val="hr-HR"/>
        </w:rPr>
        <w:t xml:space="preserve"> Vanjske pretpostavke za izradu makroekonomskih projekcija preuzete su iz najnovijih projekcija Europske središnje banke</w:t>
      </w:r>
      <w:r w:rsidRPr="00562873">
        <w:rPr>
          <w:rFonts w:cstheme="minorHAnsi"/>
          <w:vertAlign w:val="superscript"/>
          <w:lang w:val="hr-HR"/>
        </w:rPr>
        <w:footnoteReference w:id="2"/>
      </w:r>
      <w:r>
        <w:rPr>
          <w:rFonts w:cstheme="minorHAnsi"/>
          <w:lang w:val="hr-HR"/>
        </w:rPr>
        <w:t>,</w:t>
      </w:r>
      <w:r w:rsidRPr="00562873">
        <w:rPr>
          <w:rFonts w:cstheme="minorHAnsi"/>
          <w:lang w:val="hr-HR"/>
        </w:rPr>
        <w:t xml:space="preserve"> Europske komisije</w:t>
      </w:r>
      <w:r w:rsidRPr="00562873">
        <w:rPr>
          <w:rFonts w:cstheme="minorHAnsi"/>
          <w:vertAlign w:val="superscript"/>
          <w:lang w:val="hr-HR"/>
        </w:rPr>
        <w:footnoteReference w:id="3"/>
      </w:r>
      <w:r w:rsidRPr="00562873">
        <w:rPr>
          <w:rFonts w:cstheme="minorHAnsi"/>
          <w:lang w:val="hr-HR"/>
        </w:rPr>
        <w:t xml:space="preserve"> i </w:t>
      </w:r>
      <w:r w:rsidRPr="00562873">
        <w:rPr>
          <w:rFonts w:cstheme="minorHAnsi"/>
          <w:i/>
          <w:lang w:val="hr-HR"/>
        </w:rPr>
        <w:t>Consensus Economics-a</w:t>
      </w:r>
      <w:r w:rsidRPr="00562873">
        <w:rPr>
          <w:rFonts w:cstheme="minorHAnsi"/>
          <w:vertAlign w:val="superscript"/>
          <w:lang w:val="hr-HR"/>
        </w:rPr>
        <w:footnoteReference w:id="4"/>
      </w:r>
      <w:r w:rsidRPr="00562873">
        <w:rPr>
          <w:rFonts w:cstheme="minorHAnsi"/>
          <w:lang w:val="hr-HR"/>
        </w:rPr>
        <w:t>.</w:t>
      </w:r>
    </w:p>
    <w:p w:rsidR="00CE274D" w:rsidRPr="00CE274D" w:rsidRDefault="00EA473B" w:rsidP="00B15C4E">
      <w:pPr>
        <w:spacing w:before="240" w:after="120"/>
        <w:jc w:val="both"/>
        <w:rPr>
          <w:rFonts w:ascii="Calibri" w:hAnsi="Calibri"/>
          <w:bCs/>
          <w:i/>
          <w:sz w:val="20"/>
          <w:szCs w:val="20"/>
          <w:lang w:val="hr-HR"/>
        </w:rPr>
      </w:pPr>
      <w:r w:rsidRPr="0089013D">
        <w:rPr>
          <w:rFonts w:cstheme="minorHAnsi"/>
          <w:i/>
          <w:lang w:val="hr-HR"/>
        </w:rPr>
        <w:t xml:space="preserve">Tablica </w:t>
      </w:r>
      <w:r w:rsidRPr="0089013D">
        <w:rPr>
          <w:rFonts w:cstheme="minorHAnsi"/>
          <w:i/>
          <w:lang w:val="hr-HR"/>
        </w:rPr>
        <w:fldChar w:fldCharType="begin"/>
      </w:r>
      <w:r w:rsidRPr="0089013D">
        <w:rPr>
          <w:rFonts w:cstheme="minorHAnsi"/>
          <w:i/>
          <w:lang w:val="hr-HR"/>
        </w:rPr>
        <w:instrText xml:space="preserve"> SEQ Tablica \* ARABIC </w:instrText>
      </w:r>
      <w:r w:rsidRPr="0089013D">
        <w:rPr>
          <w:rFonts w:cstheme="minorHAnsi"/>
          <w:i/>
          <w:lang w:val="hr-HR"/>
        </w:rPr>
        <w:fldChar w:fldCharType="separate"/>
      </w:r>
      <w:r w:rsidR="006A0A56">
        <w:rPr>
          <w:rFonts w:cstheme="minorHAnsi"/>
          <w:i/>
          <w:noProof/>
          <w:lang w:val="hr-HR"/>
        </w:rPr>
        <w:t>1</w:t>
      </w:r>
      <w:r w:rsidRPr="0089013D">
        <w:rPr>
          <w:rFonts w:cstheme="minorHAnsi"/>
          <w:i/>
          <w:lang w:val="hr-HR"/>
        </w:rPr>
        <w:fldChar w:fldCharType="end"/>
      </w:r>
      <w:r w:rsidR="00EF2FF4" w:rsidRPr="0089013D">
        <w:rPr>
          <w:rFonts w:cstheme="minorHAnsi"/>
          <w:i/>
          <w:lang w:val="hr-HR"/>
        </w:rPr>
        <w:t>:</w:t>
      </w:r>
      <w:r w:rsidRPr="0089013D">
        <w:rPr>
          <w:rFonts w:cstheme="minorHAnsi"/>
          <w:i/>
          <w:lang w:val="hr-HR"/>
        </w:rPr>
        <w:t xml:space="preserve"> Osnovne pretpostavke</w:t>
      </w:r>
      <w:r w:rsidR="00B15C4E" w:rsidRPr="0089013D">
        <w:rPr>
          <w:rFonts w:cstheme="minorHAnsi"/>
          <w:i/>
          <w:lang w:val="hr-HR"/>
        </w:rPr>
        <w:tab/>
      </w:r>
      <w:r w:rsidR="00B15C4E" w:rsidRPr="0089013D">
        <w:rPr>
          <w:rFonts w:cstheme="minorHAnsi"/>
          <w:i/>
          <w:lang w:val="hr-HR"/>
        </w:rPr>
        <w:br/>
      </w:r>
      <w:r w:rsidR="0089013D" w:rsidRPr="0089013D">
        <w:rPr>
          <w:noProof/>
          <w:lang w:val="hr-HR" w:eastAsia="hr-HR"/>
        </w:rPr>
        <w:drawing>
          <wp:inline distT="0" distB="0" distL="0" distR="0" wp14:anchorId="00BB2CCA" wp14:editId="27B1FB14">
            <wp:extent cx="5760720" cy="1703705"/>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1703705"/>
                    </a:xfrm>
                    <a:prstGeom prst="rect">
                      <a:avLst/>
                    </a:prstGeom>
                    <a:noFill/>
                    <a:ln>
                      <a:noFill/>
                    </a:ln>
                  </pic:spPr>
                </pic:pic>
              </a:graphicData>
            </a:graphic>
          </wp:inline>
        </w:drawing>
      </w:r>
      <w:r w:rsidRPr="0089013D">
        <w:rPr>
          <w:rFonts w:cstheme="minorHAnsi"/>
          <w:lang w:val="hr-HR"/>
        </w:rPr>
        <w:br/>
      </w:r>
      <w:r w:rsidRPr="0089013D">
        <w:rPr>
          <w:rFonts w:ascii="Calibri" w:hAnsi="Calibri"/>
          <w:bCs/>
          <w:i/>
          <w:sz w:val="20"/>
          <w:szCs w:val="20"/>
          <w:lang w:val="hr-HR"/>
        </w:rPr>
        <w:t>Izvor: Europska središnja banka, Ministarstvo financija</w:t>
      </w:r>
    </w:p>
    <w:bookmarkEnd w:id="3"/>
    <w:p w:rsidR="00CE274D" w:rsidRDefault="00CE274D" w:rsidP="00CE274D">
      <w:pPr>
        <w:spacing w:afterLines="120" w:after="288"/>
        <w:jc w:val="both"/>
        <w:rPr>
          <w:rFonts w:eastAsia="Calibri" w:cs="Times New Roman"/>
          <w:lang w:val="hr-HR"/>
        </w:rPr>
      </w:pPr>
      <w:r w:rsidRPr="00316B52">
        <w:rPr>
          <w:rFonts w:eastAsia="Calibri" w:cs="Times New Roman"/>
          <w:lang w:val="hr-HR"/>
        </w:rPr>
        <w:t xml:space="preserve">Unatoč prisutnoj visokoj inflaciji, monetarnom stezanju i slaboj dinamici vanjske potražnje, u prvoj polovici 2023. godine nastavljena su povoljna kretanja u hrvatskom gospodarstvu. Međugodišnjem realnom rastu BDP-a u prva dva tromjesečja ove godine, koji je iznosio 2,1%, najjače je </w:t>
      </w:r>
      <w:r>
        <w:rPr>
          <w:rFonts w:eastAsia="Calibri" w:cs="Times New Roman"/>
          <w:lang w:val="hr-HR"/>
        </w:rPr>
        <w:t>pridonio</w:t>
      </w:r>
      <w:r w:rsidRPr="00316B52">
        <w:rPr>
          <w:rFonts w:eastAsia="Calibri" w:cs="Times New Roman"/>
          <w:lang w:val="hr-HR"/>
        </w:rPr>
        <w:t xml:space="preserve"> snažan rast izvoza usluga te, u nešto manjoj mjeri, osobne potrošnje, kao i pad uvoza roba. S druge strane, značajan negativan doprinos kretanju realnog BDP-a u prvoj polovici 2023. ostvarili su kategorija promjene zaliha te robni izvoz, čija je dinamika, nakon tri godine iznimnih rezultata u razdoblju pandemije te oporavka koji je uslijedio, dominantno pod utjecajem slabljenja potražnje važnih hrvatskih vanjsk</w:t>
      </w:r>
      <w:r>
        <w:rPr>
          <w:rFonts w:eastAsia="Calibri" w:cs="Times New Roman"/>
          <w:lang w:val="hr-HR"/>
        </w:rPr>
        <w:t>otrgovinskih partnera.</w:t>
      </w:r>
    </w:p>
    <w:p w:rsidR="00CE274D" w:rsidRDefault="00CE274D" w:rsidP="00CE274D">
      <w:pPr>
        <w:spacing w:afterLines="120" w:after="288"/>
        <w:jc w:val="both"/>
        <w:rPr>
          <w:rFonts w:eastAsia="Calibri" w:cs="Times New Roman"/>
          <w:lang w:val="hr-HR"/>
        </w:rPr>
      </w:pPr>
      <w:r w:rsidRPr="00316B52">
        <w:rPr>
          <w:rFonts w:eastAsia="Calibri" w:cs="Times New Roman"/>
          <w:lang w:val="hr-HR"/>
        </w:rPr>
        <w:t xml:space="preserve">Promatramo li dosad objavljene visoko-frekventne pokazatelje za treće tromjesečje ove godine, promet u trgovini na malo je u srpnju i kolovozu nastavio bilježiti povoljna kretanja (rastao je po prosječnoj stopi od 3,0% u odnosu na isto razdoblje 2022.), a sudeći prema fiskaliziranim računima slična ili blago povoljnija kretanja očekuju se i u rujnu. Međugodišnji rast obujma građevinskih radova u srpnju je ubrzao na 5,1%. S druge strane, industrijska proizvodnja u srpnju i kolovozu 2023. bilježi međugodišnji pad od 1,4%. Iako nakon pada u srpnju i kolovozu, podaci sustava eVisitor za rujan ponovno pokazuju godišnji rast broja turističkih noćenja u komercijalnom smještaju, na razini čitavog trećeg tromjesečja ostvaren je njihov pad od 0,9% na međugodišnjoj razini. Na tržištu rada nastavljena su povoljna kretanja te je broj osiguranika mirovinskog osiguranja u prvih devet mjeseci 2023. godine prosječno rastao po međugodišnjoj stopi od 2,4%, dok se administrativna stopa nezaposlenosti nalazi na povijesno niskim razinama. Plaće zaposlenih u pravnim osobama rastu dosad nezabilježeno snažnom dinamikom. Nadalje, anketni podaci ukazuju na visok očekivani rast zaposlenosti u </w:t>
      </w:r>
      <w:r w:rsidRPr="00316B52">
        <w:rPr>
          <w:rFonts w:eastAsia="Calibri" w:cs="Times New Roman"/>
          <w:lang w:val="hr-HR"/>
        </w:rPr>
        <w:lastRenderedPageBreak/>
        <w:t>nadolazećim mjesecima, kao i dalje prisutne izražene manjkove radne snage. Tijekom 2023. godine bilježi se usporavanje inflacije potrošačkih cijena koja je u rujnu dosegnula razinu od 6,7%. Pritom je usporavanje inflacije bilo najizraženije kod cijena energije, a trend postupnog usporavanja vidljiv je i kod preostalih komponenata potrošačkih cijena, iako je i nadalje prisutna relativno snažna inflacija potrošačkih cijena hrane te usluga.</w:t>
      </w:r>
    </w:p>
    <w:p w:rsidR="00CE274D" w:rsidRPr="00CE274D" w:rsidRDefault="009F444C" w:rsidP="00E31389">
      <w:pPr>
        <w:spacing w:before="240" w:after="120"/>
        <w:contextualSpacing/>
        <w:jc w:val="both"/>
        <w:rPr>
          <w:rFonts w:cstheme="minorHAnsi"/>
          <w:i/>
          <w:lang w:val="hr-HR"/>
        </w:rPr>
      </w:pPr>
      <w:bookmarkStart w:id="4" w:name="_Toc15461767"/>
      <w:bookmarkStart w:id="5" w:name="_Toc51682465"/>
      <w:r w:rsidRPr="00CE274D">
        <w:rPr>
          <w:rFonts w:cstheme="minorHAnsi"/>
          <w:i/>
          <w:lang w:val="hr-HR"/>
        </w:rPr>
        <w:t xml:space="preserve">Tablica </w:t>
      </w:r>
      <w:r w:rsidRPr="00CE274D">
        <w:rPr>
          <w:rFonts w:cstheme="minorHAnsi"/>
          <w:i/>
          <w:lang w:val="hr-HR"/>
        </w:rPr>
        <w:fldChar w:fldCharType="begin"/>
      </w:r>
      <w:r w:rsidRPr="00CE274D">
        <w:rPr>
          <w:rFonts w:cstheme="minorHAnsi"/>
          <w:i/>
          <w:lang w:val="hr-HR"/>
        </w:rPr>
        <w:instrText xml:space="preserve"> SEQ Tablica \* ARABIC </w:instrText>
      </w:r>
      <w:r w:rsidRPr="00CE274D">
        <w:rPr>
          <w:rFonts w:cstheme="minorHAnsi"/>
          <w:i/>
          <w:lang w:val="hr-HR"/>
        </w:rPr>
        <w:fldChar w:fldCharType="separate"/>
      </w:r>
      <w:r w:rsidR="006A0A56">
        <w:rPr>
          <w:rFonts w:cstheme="minorHAnsi"/>
          <w:i/>
          <w:noProof/>
          <w:lang w:val="hr-HR"/>
        </w:rPr>
        <w:t>2</w:t>
      </w:r>
      <w:r w:rsidRPr="00CE274D">
        <w:rPr>
          <w:rFonts w:cstheme="minorHAnsi"/>
          <w:i/>
          <w:lang w:val="hr-HR"/>
        </w:rPr>
        <w:fldChar w:fldCharType="end"/>
      </w:r>
      <w:r w:rsidRPr="00CE274D">
        <w:rPr>
          <w:rFonts w:cstheme="minorHAnsi"/>
          <w:i/>
          <w:lang w:val="hr-HR"/>
        </w:rPr>
        <w:t>: Makro</w:t>
      </w:r>
      <w:r w:rsidR="008A4CB3" w:rsidRPr="00CE274D">
        <w:rPr>
          <w:rFonts w:cstheme="minorHAnsi"/>
          <w:i/>
          <w:lang w:val="hr-HR"/>
        </w:rPr>
        <w:t>ekonomski okvir u razdoblju 202</w:t>
      </w:r>
      <w:r w:rsidR="00CE274D">
        <w:rPr>
          <w:rFonts w:cstheme="minorHAnsi"/>
          <w:i/>
          <w:lang w:val="hr-HR"/>
        </w:rPr>
        <w:t>2</w:t>
      </w:r>
      <w:r w:rsidRPr="00CE274D">
        <w:rPr>
          <w:rFonts w:cstheme="minorHAnsi"/>
          <w:i/>
          <w:lang w:val="hr-HR"/>
        </w:rPr>
        <w:t>. – 202</w:t>
      </w:r>
      <w:r w:rsidR="00CE274D">
        <w:rPr>
          <w:rFonts w:cstheme="minorHAnsi"/>
          <w:i/>
          <w:lang w:val="hr-HR"/>
        </w:rPr>
        <w:t>6</w:t>
      </w:r>
      <w:r w:rsidRPr="00CE274D">
        <w:rPr>
          <w:rFonts w:cstheme="minorHAnsi"/>
          <w:i/>
          <w:lang w:val="hr-HR"/>
        </w:rPr>
        <w:t>.</w:t>
      </w:r>
      <w:bookmarkEnd w:id="4"/>
      <w:bookmarkEnd w:id="5"/>
      <w:r w:rsidR="003B354B" w:rsidRPr="00CE274D">
        <w:rPr>
          <w:rFonts w:cstheme="minorHAnsi"/>
          <w:i/>
          <w:lang w:val="hr-HR"/>
        </w:rPr>
        <w:tab/>
      </w:r>
    </w:p>
    <w:p w:rsidR="009F444C" w:rsidRDefault="00CE274D" w:rsidP="00E31389">
      <w:pPr>
        <w:spacing w:before="240" w:after="120"/>
        <w:jc w:val="both"/>
        <w:rPr>
          <w:rFonts w:ascii="Calibri" w:hAnsi="Calibri"/>
          <w:bCs/>
          <w:i/>
          <w:sz w:val="20"/>
          <w:szCs w:val="20"/>
          <w:lang w:val="hr-HR"/>
        </w:rPr>
      </w:pPr>
      <w:r w:rsidRPr="00CE274D">
        <w:rPr>
          <w:noProof/>
          <w:lang w:val="hr-HR" w:eastAsia="hr-HR"/>
        </w:rPr>
        <w:drawing>
          <wp:inline distT="0" distB="0" distL="0" distR="0" wp14:anchorId="6C612EA3" wp14:editId="67470D29">
            <wp:extent cx="5760720" cy="3638500"/>
            <wp:effectExtent l="0" t="0" r="0" b="635"/>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3638500"/>
                    </a:xfrm>
                    <a:prstGeom prst="rect">
                      <a:avLst/>
                    </a:prstGeom>
                    <a:noFill/>
                    <a:ln>
                      <a:noFill/>
                    </a:ln>
                  </pic:spPr>
                </pic:pic>
              </a:graphicData>
            </a:graphic>
          </wp:inline>
        </w:drawing>
      </w:r>
      <w:r w:rsidR="003B354B" w:rsidRPr="00CE274D">
        <w:rPr>
          <w:rFonts w:cstheme="minorHAnsi"/>
          <w:i/>
          <w:lang w:val="hr-HR"/>
        </w:rPr>
        <w:br/>
      </w:r>
      <w:r w:rsidR="00ED192B" w:rsidRPr="00CE274D">
        <w:rPr>
          <w:rFonts w:ascii="Calibri" w:hAnsi="Calibri"/>
          <w:bCs/>
          <w:i/>
          <w:sz w:val="20"/>
          <w:szCs w:val="20"/>
          <w:lang w:val="hr-HR"/>
        </w:rPr>
        <w:t xml:space="preserve"> </w:t>
      </w:r>
      <w:r w:rsidR="009F444C" w:rsidRPr="00CE274D">
        <w:rPr>
          <w:rFonts w:ascii="Calibri" w:hAnsi="Calibri"/>
          <w:bCs/>
          <w:i/>
          <w:sz w:val="20"/>
          <w:szCs w:val="20"/>
          <w:lang w:val="hr-HR"/>
        </w:rPr>
        <w:t>Izvor: DZS, Ministarstvo financija</w:t>
      </w:r>
    </w:p>
    <w:p w:rsidR="00701186" w:rsidRPr="00E31389" w:rsidRDefault="00701186" w:rsidP="00E31389">
      <w:pPr>
        <w:spacing w:before="240" w:after="120"/>
        <w:jc w:val="both"/>
        <w:rPr>
          <w:lang w:val="hr-HR"/>
        </w:rPr>
      </w:pPr>
      <w:r w:rsidRPr="00E31389">
        <w:rPr>
          <w:lang w:val="hr-HR"/>
        </w:rPr>
        <w:t xml:space="preserve">U ovoj godini očekuje se realni rast BDP-a RH od 2,8%, što je za 0,5 postotnih bodova više u odnosu na projekciju iz travnja (u okviru Programa stabilnosti RH za razdoblje 2024. – 2026.). Ovakva razlika rezultat je opisanih, nešto povoljnijih općih gospodarskih kretanja u RH u odnosu na tadašnja očekivanja, kao i osjetno pogoršane dinamike vanjskotrgovinske razmjene. Odstupanje dvije projekcije ogleda se, prije svega, u neto inozemnoj potražnji koju sada obilježava umjereno pozitivan doprinos rastu BDP-a, dok je u projekcijama iz travnja imala blago negativan doprinos, te u osjetno većem pozitivnom doprinosu osobne potrošnje. Tako se kod izvoza roba sada očekuje negativan doprinos rastu BDP-a (nasuprot blago pozitivnom doprinosu iz Programa stabilnosti RH), dok je izraženi pozitivan doprinos uvoza roba gospodarskoj aktivnosti (za razliku od umjereno negativnog doprinosa iz Programa stabilnosti RH), posljedica iskazane visoke pozitivne elastičnosti u odnosu na konačnu potražnju u posljednje dvije post-pandemijske godine, kao i spomenutog snažnog smanjenja izvoza roba. U ovom projekcijskom okviru predviđa se izražen negativan doprinos promjene zaliha, prvenstveno kao rezultat djelomične normalizacije s iznenađujuće povišene razine u 2022., dok je u prethodnoj prognozi očekivan neutralan doprinos. Također, kod investicija u fiksni kapital trenutno se očekuje blago nepovoljniji pozitivan doprinos realnom rastu BDP-a, a kod državne potrošnje blago povoljniji u usporedbi s projekcijama iz travnja. Uslijed snažnijeg rasta svih glavnih komponenti indeksa </w:t>
      </w:r>
      <w:r w:rsidRPr="00E31389">
        <w:rPr>
          <w:lang w:val="hr-HR"/>
        </w:rPr>
        <w:lastRenderedPageBreak/>
        <w:t>potrošačkih cijena, stopa inflacije iznosit će 8,0%, nešto više od predviđanja iz Programa stabilnosti RH za razdoblje 2024. – 2026.</w:t>
      </w:r>
    </w:p>
    <w:p w:rsidR="00701186" w:rsidRDefault="00701186" w:rsidP="00701186">
      <w:pPr>
        <w:spacing w:before="240" w:after="120"/>
        <w:jc w:val="both"/>
        <w:rPr>
          <w:lang w:val="hr-HR"/>
        </w:rPr>
      </w:pPr>
      <w:r w:rsidRPr="00316B52">
        <w:rPr>
          <w:rFonts w:eastAsia="Calibri" w:cs="Times New Roman"/>
          <w:lang w:val="hr-HR"/>
        </w:rPr>
        <w:t>Nastavno na opisana domaća gospodarska kretanja te ekonomska očekivanja za međunarodno okružje, a uzimajući u obzir i pokazatelje raspoloženja gospodarskih subjekata, u drugoj polovici 2023. te u 2024. godini</w:t>
      </w:r>
      <w:r w:rsidR="00B251FD">
        <w:rPr>
          <w:rFonts w:eastAsia="Calibri" w:cs="Times New Roman"/>
          <w:lang w:val="hr-HR"/>
        </w:rPr>
        <w:t>,</w:t>
      </w:r>
      <w:r w:rsidRPr="00316B52">
        <w:rPr>
          <w:rFonts w:eastAsia="Calibri" w:cs="Times New Roman"/>
          <w:lang w:val="hr-HR"/>
        </w:rPr>
        <w:t xml:space="preserve"> predviđa se nastavak povoljne dinamike gospodarskog rasta. Tako će u 2024. realni BDP rasti istom stopom kao i ove godine, unatoč prisutnim recesijskim kretanjima u mnogim razvijenim gospodarstvima, blagom usporavanju očekivanog globalnog rasta i vanjskotrgovinske razmjene, kao i zaoštravanju međunarodnih uvjeta financiranja. </w:t>
      </w:r>
      <w:r w:rsidRPr="003C15E0">
        <w:rPr>
          <w:lang w:val="hr-HR"/>
        </w:rPr>
        <w:t xml:space="preserve">Realni rast BDP-a bit će ostvaren isključivo pod utjecajem domaće potražnje, dok će doprinos neto inozemne potražnje </w:t>
      </w:r>
      <w:r>
        <w:rPr>
          <w:lang w:val="hr-HR"/>
        </w:rPr>
        <w:t>u 2024</w:t>
      </w:r>
      <w:r w:rsidRPr="003C15E0">
        <w:rPr>
          <w:lang w:val="hr-HR"/>
        </w:rPr>
        <w:t xml:space="preserve">. </w:t>
      </w:r>
      <w:r>
        <w:rPr>
          <w:lang w:val="hr-HR"/>
        </w:rPr>
        <w:t>ponovo p</w:t>
      </w:r>
      <w:r w:rsidRPr="003C15E0">
        <w:rPr>
          <w:lang w:val="hr-HR"/>
        </w:rPr>
        <w:t xml:space="preserve">ostati </w:t>
      </w:r>
      <w:r>
        <w:rPr>
          <w:lang w:val="hr-HR"/>
        </w:rPr>
        <w:t xml:space="preserve">blago negativan, a doprinos promjene zaliha neutralan. </w:t>
      </w:r>
      <w:r w:rsidRPr="003C15E0">
        <w:rPr>
          <w:lang w:val="hr-HR"/>
        </w:rPr>
        <w:t>Ovakva prog</w:t>
      </w:r>
      <w:r>
        <w:rPr>
          <w:lang w:val="hr-HR"/>
        </w:rPr>
        <w:t>noza realnog rasta BDP-a je za 0,1 postotni bod viš</w:t>
      </w:r>
      <w:r w:rsidRPr="003C15E0">
        <w:rPr>
          <w:lang w:val="hr-HR"/>
        </w:rPr>
        <w:t>a u odnosu na projek</w:t>
      </w:r>
      <w:r>
        <w:rPr>
          <w:lang w:val="hr-HR"/>
        </w:rPr>
        <w:t>ciju iz travnja, kada se za 2023. očekiva</w:t>
      </w:r>
      <w:r w:rsidRPr="003C15E0">
        <w:rPr>
          <w:lang w:val="hr-HR"/>
        </w:rPr>
        <w:t xml:space="preserve">o </w:t>
      </w:r>
      <w:r>
        <w:rPr>
          <w:lang w:val="hr-HR"/>
        </w:rPr>
        <w:t>ipak sporiji rast BDP-a nego u ovom dokumentu, a i očekivanja domaćih kretanja bila su prigušenija, pogotovo što se tiče tržišta rada</w:t>
      </w:r>
      <w:r w:rsidRPr="003C15E0">
        <w:rPr>
          <w:lang w:val="hr-HR"/>
        </w:rPr>
        <w:t xml:space="preserve">. Razlika se odnosi na </w:t>
      </w:r>
      <w:r>
        <w:rPr>
          <w:lang w:val="hr-HR"/>
        </w:rPr>
        <w:t xml:space="preserve">blago povoljniji pozitivan </w:t>
      </w:r>
      <w:r w:rsidRPr="003C15E0">
        <w:rPr>
          <w:lang w:val="hr-HR"/>
        </w:rPr>
        <w:t xml:space="preserve">doprinos gospodarskom rastu od </w:t>
      </w:r>
      <w:r>
        <w:rPr>
          <w:lang w:val="hr-HR"/>
        </w:rPr>
        <w:t>strane domaće potražnje, i to isključivo osobne potrošnje, a s druge strane, neznatno izraženij</w:t>
      </w:r>
      <w:r w:rsidRPr="003C15E0">
        <w:rPr>
          <w:lang w:val="hr-HR"/>
        </w:rPr>
        <w:t xml:space="preserve">i </w:t>
      </w:r>
      <w:r>
        <w:rPr>
          <w:lang w:val="hr-HR"/>
        </w:rPr>
        <w:t>negativan doprinos neto inozemne potražnje, pogotovo manji pozitivan doprinos izvoza roba i usluga</w:t>
      </w:r>
      <w:r w:rsidRPr="003C15E0">
        <w:rPr>
          <w:lang w:val="hr-HR"/>
        </w:rPr>
        <w:t xml:space="preserve">. </w:t>
      </w:r>
    </w:p>
    <w:p w:rsidR="006E4108" w:rsidRPr="00701186" w:rsidRDefault="006E4108" w:rsidP="00B15C4E">
      <w:pPr>
        <w:spacing w:before="240" w:after="120"/>
        <w:jc w:val="both"/>
        <w:rPr>
          <w:rFonts w:cs="Times New Roman"/>
          <w:lang w:val="hr-HR"/>
        </w:rPr>
      </w:pPr>
      <w:r w:rsidRPr="00701186">
        <w:rPr>
          <w:rFonts w:cstheme="minorHAnsi"/>
          <w:i/>
          <w:lang w:val="hr-HR"/>
        </w:rPr>
        <w:t xml:space="preserve">Tablica </w:t>
      </w:r>
      <w:r w:rsidRPr="00701186">
        <w:rPr>
          <w:rFonts w:cstheme="minorHAnsi"/>
          <w:i/>
          <w:lang w:val="hr-HR"/>
        </w:rPr>
        <w:fldChar w:fldCharType="begin"/>
      </w:r>
      <w:r w:rsidRPr="00701186">
        <w:rPr>
          <w:rFonts w:cstheme="minorHAnsi"/>
          <w:i/>
          <w:lang w:val="hr-HR"/>
        </w:rPr>
        <w:instrText xml:space="preserve"> SEQ Tablica \* ARABIC </w:instrText>
      </w:r>
      <w:r w:rsidRPr="00701186">
        <w:rPr>
          <w:rFonts w:cstheme="minorHAnsi"/>
          <w:i/>
          <w:lang w:val="hr-HR"/>
        </w:rPr>
        <w:fldChar w:fldCharType="separate"/>
      </w:r>
      <w:r w:rsidR="006A0A56">
        <w:rPr>
          <w:rFonts w:cstheme="minorHAnsi"/>
          <w:i/>
          <w:noProof/>
          <w:lang w:val="hr-HR"/>
        </w:rPr>
        <w:t>3</w:t>
      </w:r>
      <w:r w:rsidRPr="00701186">
        <w:rPr>
          <w:rFonts w:cstheme="minorHAnsi"/>
          <w:i/>
          <w:lang w:val="hr-HR"/>
        </w:rPr>
        <w:fldChar w:fldCharType="end"/>
      </w:r>
      <w:r w:rsidRPr="00701186">
        <w:rPr>
          <w:rFonts w:cstheme="minorHAnsi"/>
          <w:i/>
          <w:lang w:val="hr-HR"/>
        </w:rPr>
        <w:t>: Kretanja na tržištu rada</w:t>
      </w:r>
      <w:r w:rsidR="00B15C4E" w:rsidRPr="00701186">
        <w:rPr>
          <w:rFonts w:cstheme="minorHAnsi"/>
          <w:i/>
          <w:lang w:val="hr-HR"/>
        </w:rPr>
        <w:tab/>
      </w:r>
      <w:r w:rsidR="00B15C4E" w:rsidRPr="00701186">
        <w:rPr>
          <w:rFonts w:cstheme="minorHAnsi"/>
          <w:i/>
          <w:lang w:val="hr-HR"/>
        </w:rPr>
        <w:br/>
      </w:r>
      <w:r w:rsidR="00701186" w:rsidRPr="00701186">
        <w:rPr>
          <w:noProof/>
          <w:lang w:val="hr-HR" w:eastAsia="hr-HR"/>
        </w:rPr>
        <w:drawing>
          <wp:inline distT="0" distB="0" distL="0" distR="0" wp14:anchorId="58779A31" wp14:editId="7F633120">
            <wp:extent cx="5719445" cy="2165350"/>
            <wp:effectExtent l="0" t="0" r="0" b="6350"/>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19445" cy="2165350"/>
                    </a:xfrm>
                    <a:prstGeom prst="rect">
                      <a:avLst/>
                    </a:prstGeom>
                    <a:noFill/>
                    <a:ln>
                      <a:noFill/>
                    </a:ln>
                  </pic:spPr>
                </pic:pic>
              </a:graphicData>
            </a:graphic>
          </wp:inline>
        </w:drawing>
      </w:r>
      <w:r w:rsidR="00B15C4E" w:rsidRPr="00701186">
        <w:rPr>
          <w:rFonts w:cstheme="minorHAnsi"/>
          <w:i/>
          <w:lang w:val="hr-HR"/>
        </w:rPr>
        <w:br/>
      </w:r>
      <w:r w:rsidRPr="00701186">
        <w:rPr>
          <w:rFonts w:ascii="Calibri" w:hAnsi="Calibri"/>
          <w:bCs/>
          <w:i/>
          <w:sz w:val="20"/>
          <w:szCs w:val="20"/>
          <w:lang w:val="hr-HR"/>
        </w:rPr>
        <w:t>Izvor: DZS, HZMO, Ministarstvo financija</w:t>
      </w:r>
    </w:p>
    <w:p w:rsidR="00701186" w:rsidRDefault="00701186" w:rsidP="00701186">
      <w:pPr>
        <w:spacing w:before="240" w:after="120"/>
        <w:jc w:val="both"/>
        <w:rPr>
          <w:rFonts w:eastAsia="Calibri" w:cs="Times New Roman"/>
          <w:lang w:val="hr-HR"/>
        </w:rPr>
      </w:pPr>
      <w:bookmarkStart w:id="6" w:name="_Toc6418636"/>
      <w:bookmarkStart w:id="7" w:name="_Toc51682466"/>
      <w:r w:rsidRPr="00D97265">
        <w:rPr>
          <w:rFonts w:eastAsia="Calibri" w:cs="Times New Roman"/>
          <w:lang w:val="hr-HR"/>
        </w:rPr>
        <w:t xml:space="preserve">Tržište rada obilježavaju iznimno povoljna očekivanja uslijed pozitivne dinamike gospodarske aktivnosti u uvjetima prisutne neravnoteže između ponude i potražnje za radom u svim glavnim djelatnostima te povoljnih trendova migracijskog salda. Tako će u 2024. godini, anketna stopa nezaposlenosti bilježiti daljnje smanjenje nakon rekordno niskog ostvarenja u prošloj godini. Rekordni nominalni rast bruto plaća zaposlenika iz 2023. godine ipak će usporiti, ali će ga i </w:t>
      </w:r>
      <w:bookmarkEnd w:id="6"/>
      <w:r w:rsidRPr="00D97265">
        <w:rPr>
          <w:rFonts w:eastAsia="Calibri" w:cs="Times New Roman"/>
          <w:lang w:val="hr-HR"/>
        </w:rPr>
        <w:t>u 2024. karakterizirati iznimno snažna dinamika. Pri tomu će, nakon sličnog rasta plaća u privatnom i javnom sektoru u 2023., u 2024. nešto izraženije rasti plaće u javnom sektoru. Uz blagu i postupno ubrzavajuću produktivnost rada, rast jediničnih troškova rada će, nakon visokih vrijednosti u protekle dvije godine, u 2024. znatno usporiti. Slijedom navedenog, uz osjetno usporavanje inflacije potrošačkih cijena, očekuje se da će, nakon blagog usporavanja u 2023., ponovno ubrzati realni rast raspoloživog dohotka stanovništva. Izraženiji doprinosu njegovom rastu, osim naknada zaposlenicima, doći će i od socijalnih davanja kućanstvima. Za razliku od 2023., kad se bilježi relativno niska razina stope štednje stanovništva, tek blago iznad vrijednosti iz 2022., ona bi u narednoj godini opet trebala izraženije po</w:t>
      </w:r>
      <w:r>
        <w:rPr>
          <w:rFonts w:eastAsia="Calibri" w:cs="Times New Roman"/>
          <w:lang w:val="hr-HR"/>
        </w:rPr>
        <w:t>rasti na razine blago ispod pret</w:t>
      </w:r>
      <w:r w:rsidRPr="00D97265">
        <w:rPr>
          <w:rFonts w:eastAsia="Calibri" w:cs="Times New Roman"/>
          <w:lang w:val="hr-HR"/>
        </w:rPr>
        <w:t xml:space="preserve">pandemijskih, u uvjetima lagano potisnutog potrošačkog raspoloženja u neizvjesnom ekonomskom okruženju. Uzevši u obzir slabu dinamiku inozemne potražnje, prigušenu investicijsku </w:t>
      </w:r>
      <w:r w:rsidRPr="00D97265">
        <w:rPr>
          <w:rFonts w:eastAsia="Calibri" w:cs="Times New Roman"/>
          <w:lang w:val="hr-HR"/>
        </w:rPr>
        <w:lastRenderedPageBreak/>
        <w:t>aktivnost privatnog sektora te opisane specifične okolnosti domaćeg tržišta rada, osobna potrošnja bit će glavni pokretač rasta domaće potražnje, kao i samog BDP-a.</w:t>
      </w:r>
    </w:p>
    <w:p w:rsidR="00701186" w:rsidRDefault="00701186" w:rsidP="00701186">
      <w:pPr>
        <w:jc w:val="both"/>
        <w:rPr>
          <w:lang w:val="hr-HR"/>
        </w:rPr>
      </w:pPr>
      <w:r w:rsidRPr="00A310C0">
        <w:rPr>
          <w:lang w:val="hr-HR"/>
        </w:rPr>
        <w:t>Rast</w:t>
      </w:r>
      <w:r>
        <w:rPr>
          <w:lang w:val="hr-HR"/>
        </w:rPr>
        <w:t xml:space="preserve"> državne potrošnje bit će i u 2024</w:t>
      </w:r>
      <w:r w:rsidRPr="00A310C0">
        <w:rPr>
          <w:lang w:val="hr-HR"/>
        </w:rPr>
        <w:t xml:space="preserve">., </w:t>
      </w:r>
      <w:r>
        <w:rPr>
          <w:lang w:val="hr-HR"/>
        </w:rPr>
        <w:t>ali ipak u manjoj mjeri nego ove godine</w:t>
      </w:r>
      <w:r w:rsidRPr="00A310C0">
        <w:rPr>
          <w:lang w:val="hr-HR"/>
        </w:rPr>
        <w:t>, dominantno pod utjecajem snažne dinamike intermedijarne potrošnje, dok će rast zapos</w:t>
      </w:r>
      <w:r>
        <w:rPr>
          <w:lang w:val="hr-HR"/>
        </w:rPr>
        <w:t>lenosti u javnom sektoru ostati slabiji od onog u privatnom</w:t>
      </w:r>
      <w:r w:rsidRPr="00A310C0">
        <w:rPr>
          <w:lang w:val="hr-HR"/>
        </w:rPr>
        <w:t xml:space="preserve">. </w:t>
      </w:r>
      <w:r>
        <w:rPr>
          <w:lang w:val="hr-HR"/>
        </w:rPr>
        <w:t>Nakon pada u 2023. godini, u 2024. se očekuje oporavak bruto investicija</w:t>
      </w:r>
      <w:r w:rsidRPr="00A310C0">
        <w:rPr>
          <w:lang w:val="hr-HR"/>
        </w:rPr>
        <w:t xml:space="preserve"> u fiksni kapital </w:t>
      </w:r>
      <w:r>
        <w:rPr>
          <w:lang w:val="hr-HR"/>
        </w:rPr>
        <w:t>privatnog sektora umjerenom dinamikom. Slaba i tek blago ubrzavajuća dinamika</w:t>
      </w:r>
      <w:r w:rsidRPr="002D3191">
        <w:rPr>
          <w:lang w:val="hr-HR"/>
        </w:rPr>
        <w:t xml:space="preserve"> investicija privatnog sektora u </w:t>
      </w:r>
      <w:r>
        <w:rPr>
          <w:lang w:val="hr-HR"/>
        </w:rPr>
        <w:t>promatranim godinama,</w:t>
      </w:r>
      <w:r w:rsidRPr="002D3191">
        <w:rPr>
          <w:lang w:val="hr-HR"/>
        </w:rPr>
        <w:t xml:space="preserve"> </w:t>
      </w:r>
      <w:r>
        <w:rPr>
          <w:lang w:val="hr-HR"/>
        </w:rPr>
        <w:t>rezultat je</w:t>
      </w:r>
      <w:r w:rsidRPr="002D3191">
        <w:rPr>
          <w:lang w:val="hr-HR"/>
        </w:rPr>
        <w:t xml:space="preserve"> visoke razine neizvjesnosti oko </w:t>
      </w:r>
      <w:r>
        <w:rPr>
          <w:lang w:val="hr-HR"/>
        </w:rPr>
        <w:t xml:space="preserve">budućeg </w:t>
      </w:r>
      <w:r w:rsidRPr="002D3191">
        <w:rPr>
          <w:lang w:val="hr-HR"/>
        </w:rPr>
        <w:t>gospodar</w:t>
      </w:r>
      <w:r>
        <w:rPr>
          <w:lang w:val="hr-HR"/>
        </w:rPr>
        <w:t xml:space="preserve">skog rasta, inflacije te </w:t>
      </w:r>
      <w:r w:rsidRPr="002D3191">
        <w:rPr>
          <w:lang w:val="hr-HR"/>
        </w:rPr>
        <w:t>uvjeta financiranja</w:t>
      </w:r>
      <w:r>
        <w:rPr>
          <w:lang w:val="hr-HR"/>
        </w:rPr>
        <w:t>. Međutim, ovdje valja napomenuti kako će profitabilnost</w:t>
      </w:r>
      <w:r w:rsidRPr="002D3191">
        <w:rPr>
          <w:lang w:val="hr-HR"/>
        </w:rPr>
        <w:t xml:space="preserve"> poduzeća</w:t>
      </w:r>
      <w:r>
        <w:rPr>
          <w:lang w:val="hr-HR"/>
        </w:rPr>
        <w:t xml:space="preserve"> u 2024., iako znatno smanjena u odnosu na prethodne dvije godine, i dalje ostati na blago povišenoj razini</w:t>
      </w:r>
      <w:r w:rsidRPr="002D3191">
        <w:rPr>
          <w:lang w:val="hr-HR"/>
        </w:rPr>
        <w:t xml:space="preserve">. </w:t>
      </w:r>
      <w:r>
        <w:rPr>
          <w:lang w:val="hr-HR"/>
        </w:rPr>
        <w:t>S druge strane</w:t>
      </w:r>
      <w:r w:rsidRPr="00A310C0">
        <w:rPr>
          <w:lang w:val="hr-HR"/>
        </w:rPr>
        <w:t xml:space="preserve">, </w:t>
      </w:r>
      <w:r>
        <w:rPr>
          <w:lang w:val="hr-HR"/>
        </w:rPr>
        <w:t>nakon iznimno snažnog rasta u ovoj godini,</w:t>
      </w:r>
      <w:r w:rsidRPr="00A310C0">
        <w:rPr>
          <w:lang w:val="hr-HR"/>
        </w:rPr>
        <w:t xml:space="preserve"> </w:t>
      </w:r>
      <w:r>
        <w:rPr>
          <w:lang w:val="hr-HR"/>
        </w:rPr>
        <w:t>bruto investicije</w:t>
      </w:r>
      <w:r w:rsidRPr="00A310C0">
        <w:rPr>
          <w:lang w:val="hr-HR"/>
        </w:rPr>
        <w:t xml:space="preserve"> na razini opće </w:t>
      </w:r>
      <w:r w:rsidRPr="00F35F76">
        <w:rPr>
          <w:lang w:val="hr-HR"/>
        </w:rPr>
        <w:t>države, velikim dijelom financirane sredstvima iz EU fondova i Mehanizma za oporavak i otpornost, zabilježit</w:t>
      </w:r>
      <w:r>
        <w:rPr>
          <w:lang w:val="hr-HR"/>
        </w:rPr>
        <w:t xml:space="preserve"> će blagi realni pad te tako ostati na povišenim razinama. </w:t>
      </w:r>
      <w:r w:rsidRPr="00A310C0">
        <w:rPr>
          <w:lang w:val="hr-HR"/>
        </w:rPr>
        <w:t xml:space="preserve">Promatrano prema vrsti, </w:t>
      </w:r>
      <w:r>
        <w:rPr>
          <w:lang w:val="hr-HR"/>
        </w:rPr>
        <w:t>u 2024. godini očekuje se blago usporavanje</w:t>
      </w:r>
      <w:r w:rsidRPr="00A310C0">
        <w:rPr>
          <w:lang w:val="hr-HR"/>
        </w:rPr>
        <w:t xml:space="preserve"> dina</w:t>
      </w:r>
      <w:r>
        <w:rPr>
          <w:lang w:val="hr-HR"/>
        </w:rPr>
        <w:t>mike u građevinskoj djelatnosti</w:t>
      </w:r>
      <w:r w:rsidRPr="00A310C0">
        <w:rPr>
          <w:lang w:val="hr-HR"/>
        </w:rPr>
        <w:t xml:space="preserve"> </w:t>
      </w:r>
      <w:r>
        <w:rPr>
          <w:lang w:val="hr-HR"/>
        </w:rPr>
        <w:t>te ubrzavanje kod ostalih vrsta investicija</w:t>
      </w:r>
      <w:r w:rsidRPr="00A310C0">
        <w:rPr>
          <w:lang w:val="hr-HR"/>
        </w:rPr>
        <w:t xml:space="preserve">. </w:t>
      </w:r>
    </w:p>
    <w:p w:rsidR="00701186" w:rsidRDefault="00701186" w:rsidP="00701186">
      <w:pPr>
        <w:jc w:val="both"/>
        <w:rPr>
          <w:lang w:val="hr-HR"/>
        </w:rPr>
      </w:pPr>
      <w:r>
        <w:rPr>
          <w:lang w:val="hr-HR"/>
        </w:rPr>
        <w:t xml:space="preserve">Nakon snažnog pada </w:t>
      </w:r>
      <w:r w:rsidRPr="00A310C0">
        <w:rPr>
          <w:lang w:val="hr-HR"/>
        </w:rPr>
        <w:t xml:space="preserve">u 2023. </w:t>
      </w:r>
      <w:r>
        <w:rPr>
          <w:lang w:val="hr-HR"/>
        </w:rPr>
        <w:t>godini, i</w:t>
      </w:r>
      <w:r w:rsidRPr="00A310C0">
        <w:rPr>
          <w:lang w:val="hr-HR"/>
        </w:rPr>
        <w:t xml:space="preserve">zvoz roba </w:t>
      </w:r>
      <w:r>
        <w:rPr>
          <w:lang w:val="hr-HR"/>
        </w:rPr>
        <w:t xml:space="preserve">u 2024. će zadržati prigušenu dinamiku </w:t>
      </w:r>
      <w:r w:rsidRPr="00A310C0">
        <w:rPr>
          <w:lang w:val="hr-HR"/>
        </w:rPr>
        <w:t xml:space="preserve">pod utjecajem </w:t>
      </w:r>
      <w:r>
        <w:rPr>
          <w:lang w:val="hr-HR"/>
        </w:rPr>
        <w:t>očekivanja postupnog porasta</w:t>
      </w:r>
      <w:r w:rsidRPr="00A310C0">
        <w:rPr>
          <w:lang w:val="hr-HR"/>
        </w:rPr>
        <w:t xml:space="preserve"> potražnje kod glavnih vanjskotrgovinskih partnera. </w:t>
      </w:r>
      <w:r>
        <w:rPr>
          <w:lang w:val="hr-HR"/>
        </w:rPr>
        <w:t>Tako će se, nakon snažnog pad</w:t>
      </w:r>
      <w:r w:rsidRPr="00A310C0">
        <w:rPr>
          <w:lang w:val="hr-HR"/>
        </w:rPr>
        <w:t>a</w:t>
      </w:r>
      <w:r>
        <w:rPr>
          <w:lang w:val="hr-HR"/>
        </w:rPr>
        <w:t xml:space="preserve"> ove godine, nastaviti blago smanjenje zastupljenosti hrvatskog </w:t>
      </w:r>
      <w:r w:rsidRPr="00A310C0">
        <w:rPr>
          <w:lang w:val="hr-HR"/>
        </w:rPr>
        <w:t xml:space="preserve">izvoza na </w:t>
      </w:r>
      <w:r>
        <w:rPr>
          <w:lang w:val="hr-HR"/>
        </w:rPr>
        <w:t>stranim</w:t>
      </w:r>
      <w:r w:rsidRPr="00A310C0">
        <w:rPr>
          <w:lang w:val="hr-HR"/>
        </w:rPr>
        <w:t xml:space="preserve"> tržištima roba</w:t>
      </w:r>
      <w:r>
        <w:rPr>
          <w:lang w:val="hr-HR"/>
        </w:rPr>
        <w:t>.</w:t>
      </w:r>
      <w:r w:rsidRPr="00A310C0">
        <w:rPr>
          <w:lang w:val="hr-HR"/>
        </w:rPr>
        <w:t xml:space="preserve"> Izvoz usluga </w:t>
      </w:r>
      <w:r>
        <w:rPr>
          <w:lang w:val="hr-HR"/>
        </w:rPr>
        <w:t>nastavit će s usporavanjem dinamike rasta i u 2024.</w:t>
      </w:r>
      <w:r w:rsidRPr="00A310C0">
        <w:rPr>
          <w:lang w:val="hr-HR"/>
        </w:rPr>
        <w:t xml:space="preserve"> </w:t>
      </w:r>
      <w:r>
        <w:rPr>
          <w:lang w:val="hr-HR"/>
        </w:rPr>
        <w:t xml:space="preserve">godini </w:t>
      </w:r>
      <w:r w:rsidRPr="00A310C0">
        <w:rPr>
          <w:lang w:val="hr-HR"/>
        </w:rPr>
        <w:t xml:space="preserve">kao rezultat </w:t>
      </w:r>
      <w:r>
        <w:rPr>
          <w:lang w:val="hr-HR"/>
        </w:rPr>
        <w:t>slabljenja</w:t>
      </w:r>
      <w:r w:rsidRPr="00A310C0">
        <w:rPr>
          <w:lang w:val="hr-HR"/>
        </w:rPr>
        <w:t xml:space="preserve"> turističke potražnje, </w:t>
      </w:r>
      <w:r>
        <w:rPr>
          <w:lang w:val="hr-HR"/>
        </w:rPr>
        <w:t>ali i snažnog usporavanja preostalog izvoza usluga</w:t>
      </w:r>
      <w:r w:rsidRPr="00A310C0">
        <w:rPr>
          <w:lang w:val="hr-HR"/>
        </w:rPr>
        <w:t xml:space="preserve">. Lošije ostvarenje u turističkoj djelatnosti bit će rezultat </w:t>
      </w:r>
      <w:r>
        <w:rPr>
          <w:lang w:val="hr-HR"/>
        </w:rPr>
        <w:t>stagnacije</w:t>
      </w:r>
      <w:r w:rsidRPr="00A310C0">
        <w:rPr>
          <w:lang w:val="hr-HR"/>
        </w:rPr>
        <w:t xml:space="preserve"> prosječne potrošnje po stranom turistu,</w:t>
      </w:r>
      <w:r>
        <w:rPr>
          <w:lang w:val="hr-HR"/>
        </w:rPr>
        <w:t xml:space="preserve"> nakon izvrsnih rezultata proteklih godina,</w:t>
      </w:r>
      <w:r w:rsidRPr="00A310C0">
        <w:rPr>
          <w:lang w:val="hr-HR"/>
        </w:rPr>
        <w:t xml:space="preserve"> </w:t>
      </w:r>
      <w:r>
        <w:rPr>
          <w:lang w:val="hr-HR"/>
        </w:rPr>
        <w:t>kao</w:t>
      </w:r>
      <w:r w:rsidRPr="00A310C0">
        <w:rPr>
          <w:lang w:val="hr-HR"/>
        </w:rPr>
        <w:t xml:space="preserve"> </w:t>
      </w:r>
      <w:r>
        <w:rPr>
          <w:lang w:val="hr-HR"/>
        </w:rPr>
        <w:t>i znatnog usporavanja</w:t>
      </w:r>
      <w:r w:rsidRPr="00A310C0">
        <w:rPr>
          <w:lang w:val="hr-HR"/>
        </w:rPr>
        <w:t xml:space="preserve"> </w:t>
      </w:r>
      <w:r>
        <w:rPr>
          <w:lang w:val="hr-HR"/>
        </w:rPr>
        <w:t xml:space="preserve">rasta </w:t>
      </w:r>
      <w:r w:rsidRPr="00A310C0">
        <w:rPr>
          <w:lang w:val="hr-HR"/>
        </w:rPr>
        <w:t>broja noćenja stranih turista</w:t>
      </w:r>
      <w:r>
        <w:rPr>
          <w:lang w:val="hr-HR"/>
        </w:rPr>
        <w:t>, uz stagnaciju ili blagi pad samo u trećem tromjesečju</w:t>
      </w:r>
      <w:r w:rsidRPr="00A310C0">
        <w:rPr>
          <w:lang w:val="hr-HR"/>
        </w:rPr>
        <w:t xml:space="preserve">. </w:t>
      </w:r>
      <w:r>
        <w:rPr>
          <w:lang w:val="hr-HR"/>
        </w:rPr>
        <w:t>Naime, ovdje je pretpostavljeno kako će se</w:t>
      </w:r>
      <w:r>
        <w:rPr>
          <w:rFonts w:ascii="Calibri" w:eastAsia="Calibri" w:hAnsi="Calibri" w:cs="Times New Roman"/>
          <w:lang w:val="hr-HR"/>
        </w:rPr>
        <w:t>,</w:t>
      </w:r>
      <w:r>
        <w:rPr>
          <w:lang w:val="hr-HR"/>
        </w:rPr>
        <w:t xml:space="preserve"> </w:t>
      </w:r>
      <w:r w:rsidRPr="00AD5CEA">
        <w:rPr>
          <w:rFonts w:ascii="Calibri" w:eastAsia="Calibri" w:hAnsi="Calibri" w:cs="Times New Roman"/>
          <w:lang w:val="hr-HR"/>
        </w:rPr>
        <w:t xml:space="preserve">u uvjetima </w:t>
      </w:r>
      <w:r>
        <w:rPr>
          <w:rFonts w:ascii="Calibri" w:eastAsia="Calibri" w:hAnsi="Calibri" w:cs="Times New Roman"/>
          <w:lang w:val="hr-HR"/>
        </w:rPr>
        <w:t xml:space="preserve">smanjene kupovne moći i dalje </w:t>
      </w:r>
      <w:r w:rsidRPr="00AD5CEA">
        <w:rPr>
          <w:rFonts w:ascii="Calibri" w:eastAsia="Calibri" w:hAnsi="Calibri" w:cs="Times New Roman"/>
          <w:lang w:val="hr-HR"/>
        </w:rPr>
        <w:t>povišene inflacije te kamatnih stopa</w:t>
      </w:r>
      <w:r>
        <w:rPr>
          <w:rFonts w:ascii="Calibri" w:eastAsia="Calibri" w:hAnsi="Calibri" w:cs="Times New Roman"/>
          <w:lang w:val="hr-HR"/>
        </w:rPr>
        <w:t>,</w:t>
      </w:r>
      <w:r w:rsidRPr="00AD5CEA">
        <w:rPr>
          <w:rFonts w:ascii="Calibri" w:eastAsia="Calibri" w:hAnsi="Calibri" w:cs="Times New Roman"/>
          <w:lang w:val="hr-HR"/>
        </w:rPr>
        <w:t xml:space="preserve"> pouzdanj</w:t>
      </w:r>
      <w:r>
        <w:rPr>
          <w:rFonts w:ascii="Calibri" w:eastAsia="Calibri" w:hAnsi="Calibri" w:cs="Times New Roman"/>
          <w:lang w:val="hr-HR"/>
        </w:rPr>
        <w:t>e</w:t>
      </w:r>
      <w:r w:rsidRPr="00AD5CEA">
        <w:rPr>
          <w:rFonts w:ascii="Calibri" w:eastAsia="Calibri" w:hAnsi="Calibri" w:cs="Times New Roman"/>
          <w:lang w:val="hr-HR"/>
        </w:rPr>
        <w:t xml:space="preserve"> turista </w:t>
      </w:r>
      <w:r>
        <w:rPr>
          <w:rFonts w:ascii="Calibri" w:eastAsia="Calibri" w:hAnsi="Calibri" w:cs="Times New Roman"/>
          <w:lang w:val="hr-HR"/>
        </w:rPr>
        <w:t>popraviti tek vrlo postupno.</w:t>
      </w:r>
      <w:r w:rsidRPr="00AD5CEA">
        <w:rPr>
          <w:rFonts w:ascii="Calibri" w:eastAsia="Calibri" w:hAnsi="Calibri" w:cs="Times New Roman"/>
          <w:lang w:val="hr-HR"/>
        </w:rPr>
        <w:t xml:space="preserve"> </w:t>
      </w:r>
      <w:r>
        <w:rPr>
          <w:lang w:val="hr-HR"/>
        </w:rPr>
        <w:t>Kao rezultat slabije</w:t>
      </w:r>
      <w:r w:rsidRPr="00A310C0">
        <w:rPr>
          <w:lang w:val="hr-HR"/>
        </w:rPr>
        <w:t xml:space="preserve"> dinamike konačne potražnje, </w:t>
      </w:r>
      <w:r>
        <w:rPr>
          <w:lang w:val="hr-HR"/>
        </w:rPr>
        <w:t xml:space="preserve">uz posebno prigušenu dinamiku kategorija s najvećim uvoznim sadržajem, </w:t>
      </w:r>
      <w:r w:rsidRPr="00A310C0">
        <w:rPr>
          <w:lang w:val="hr-HR"/>
        </w:rPr>
        <w:t>uvoz roba i usluga</w:t>
      </w:r>
      <w:r>
        <w:rPr>
          <w:lang w:val="hr-HR"/>
        </w:rPr>
        <w:t xml:space="preserve"> će, unatoč izraženom padu u 2023. i naredne godine rasti sporije od BDP-a</w:t>
      </w:r>
      <w:r w:rsidRPr="00A310C0">
        <w:rPr>
          <w:lang w:val="hr-HR"/>
        </w:rPr>
        <w:t xml:space="preserve">. </w:t>
      </w:r>
    </w:p>
    <w:p w:rsidR="00701186" w:rsidRDefault="00701186" w:rsidP="00701186">
      <w:pPr>
        <w:spacing w:before="240" w:after="120"/>
        <w:jc w:val="both"/>
        <w:rPr>
          <w:rFonts w:eastAsia="Calibri" w:cs="Times New Roman"/>
          <w:lang w:val="hr-HR"/>
        </w:rPr>
      </w:pPr>
      <w:r w:rsidRPr="00595741">
        <w:rPr>
          <w:rFonts w:eastAsia="Calibri" w:cs="Times New Roman"/>
          <w:lang w:val="hr-HR"/>
        </w:rPr>
        <w:t xml:space="preserve">U ostatku srednjoročnog razdoblja očekuje se </w:t>
      </w:r>
      <w:r>
        <w:rPr>
          <w:rFonts w:eastAsia="Calibri" w:cs="Times New Roman"/>
          <w:lang w:val="hr-HR"/>
        </w:rPr>
        <w:t>rast</w:t>
      </w:r>
      <w:r w:rsidRPr="00595741">
        <w:rPr>
          <w:rFonts w:eastAsia="Calibri" w:cs="Times New Roman"/>
          <w:lang w:val="hr-HR"/>
        </w:rPr>
        <w:t xml:space="preserve"> BDP-a po nešto nižim stopama u odnosu na prosječan rast u pre</w:t>
      </w:r>
      <w:r>
        <w:rPr>
          <w:rFonts w:eastAsia="Calibri" w:cs="Times New Roman"/>
          <w:lang w:val="hr-HR"/>
        </w:rPr>
        <w:t>t</w:t>
      </w:r>
      <w:r w:rsidRPr="00595741">
        <w:rPr>
          <w:rFonts w:eastAsia="Calibri" w:cs="Times New Roman"/>
          <w:lang w:val="hr-HR"/>
        </w:rPr>
        <w:t>pandemijskom razdoblju (2015.-2019.). Tako će realni rast BDP-a u 202</w:t>
      </w:r>
      <w:r>
        <w:rPr>
          <w:rFonts w:eastAsia="Calibri" w:cs="Times New Roman"/>
          <w:lang w:val="hr-HR"/>
        </w:rPr>
        <w:t>5</w:t>
      </w:r>
      <w:r w:rsidRPr="00595741">
        <w:rPr>
          <w:rFonts w:eastAsia="Calibri" w:cs="Times New Roman"/>
          <w:lang w:val="hr-HR"/>
        </w:rPr>
        <w:t xml:space="preserve">. </w:t>
      </w:r>
      <w:r>
        <w:rPr>
          <w:rFonts w:eastAsia="Calibri" w:cs="Times New Roman"/>
          <w:lang w:val="hr-HR"/>
        </w:rPr>
        <w:t>godini uspori</w:t>
      </w:r>
      <w:r w:rsidRPr="00595741">
        <w:rPr>
          <w:rFonts w:eastAsia="Calibri" w:cs="Times New Roman"/>
          <w:lang w:val="hr-HR"/>
        </w:rPr>
        <w:t xml:space="preserve">ti </w:t>
      </w:r>
      <w:r>
        <w:rPr>
          <w:rFonts w:eastAsia="Calibri" w:cs="Times New Roman"/>
          <w:lang w:val="hr-HR"/>
        </w:rPr>
        <w:t xml:space="preserve">na </w:t>
      </w:r>
      <w:r w:rsidRPr="00595741">
        <w:rPr>
          <w:rFonts w:eastAsia="Calibri" w:cs="Times New Roman"/>
          <w:lang w:val="hr-HR"/>
        </w:rPr>
        <w:t>2,</w:t>
      </w:r>
      <w:r>
        <w:rPr>
          <w:rFonts w:eastAsia="Calibri" w:cs="Times New Roman"/>
          <w:lang w:val="hr-HR"/>
        </w:rPr>
        <w:t>7</w:t>
      </w:r>
      <w:r w:rsidRPr="00595741">
        <w:rPr>
          <w:rFonts w:eastAsia="Calibri" w:cs="Times New Roman"/>
          <w:lang w:val="hr-HR"/>
        </w:rPr>
        <w:t>%, a u 202</w:t>
      </w:r>
      <w:r>
        <w:rPr>
          <w:rFonts w:eastAsia="Calibri" w:cs="Times New Roman"/>
          <w:lang w:val="hr-HR"/>
        </w:rPr>
        <w:t>6. dodatno na 2,5</w:t>
      </w:r>
      <w:r w:rsidRPr="00595741">
        <w:rPr>
          <w:rFonts w:eastAsia="Calibri" w:cs="Times New Roman"/>
          <w:lang w:val="hr-HR"/>
        </w:rPr>
        <w:t>%</w:t>
      </w:r>
      <w:r>
        <w:rPr>
          <w:rFonts w:eastAsia="Calibri" w:cs="Times New Roman"/>
          <w:lang w:val="hr-HR"/>
        </w:rPr>
        <w:t>. Pri tomu će osobna potrošnja ostati glavni izvor rasta, potpomognuta dinamičnim kretanjima na tržištu rada, koja će se ipak postupno normalizirati, kao i postupnim poboljšanjem potrošačkog optimizma</w:t>
      </w:r>
      <w:r w:rsidRPr="00595741">
        <w:rPr>
          <w:rFonts w:eastAsia="Calibri" w:cs="Times New Roman"/>
          <w:lang w:val="hr-HR"/>
        </w:rPr>
        <w:t>.</w:t>
      </w:r>
      <w:r>
        <w:rPr>
          <w:rFonts w:eastAsia="Calibri" w:cs="Times New Roman"/>
          <w:lang w:val="hr-HR"/>
        </w:rPr>
        <w:t xml:space="preserve"> Stopa štednje sektora stanovništva ostat će blago ispod pretpandemijskih razina do kraja srednjoročnog razdoblja, pri čemu se očekuje da bi se na kraju promatranog razdoblja mogla početi neznatno smanjivati, nakon kontinuiranog oporavka tijekom proteklih godina. Agregatne bruto investicije u fiksni kapital 2025. i 2026. godine pratit će blago usporavajuću dinamiku privatnih investicija nakon oporavk</w:t>
      </w:r>
      <w:r w:rsidR="00B251FD">
        <w:rPr>
          <w:rFonts w:eastAsia="Calibri" w:cs="Times New Roman"/>
          <w:lang w:val="hr-HR"/>
        </w:rPr>
        <w:t>a</w:t>
      </w:r>
      <w:r>
        <w:rPr>
          <w:rFonts w:eastAsia="Calibri" w:cs="Times New Roman"/>
          <w:lang w:val="hr-HR"/>
        </w:rPr>
        <w:t xml:space="preserve"> iz 2024., uz sličnu razinu investicija opće države, promatranu u stalnim cijenama. U 2025. godini očekuje se nešto izraženiji pozitivan doprinos rastu BDP-a od strane izvoza roba i usluga</w:t>
      </w:r>
      <w:r w:rsidR="00B251FD">
        <w:rPr>
          <w:rFonts w:eastAsia="Calibri" w:cs="Times New Roman"/>
          <w:lang w:val="hr-HR"/>
        </w:rPr>
        <w:t>,</w:t>
      </w:r>
      <w:r>
        <w:rPr>
          <w:rFonts w:eastAsia="Calibri" w:cs="Times New Roman"/>
          <w:lang w:val="hr-HR"/>
        </w:rPr>
        <w:t xml:space="preserve"> sukladno dinamiziranju globalne trgovinske razmjene te postupnom poboljšanju povjerenja turista. Krajem projekcijskog razdoblja, uz blago sporiji gospodarski rast te oporavljenu dinamiku izvozne potražnje, kao i dalje ponešto sniženu elastičnost uvoza u odnosu na konačnu potražnju, očekuje se neutralan doprinos neto inozemne potražnje gospodarskom rastu.</w:t>
      </w:r>
    </w:p>
    <w:p w:rsidR="00B251FD" w:rsidRDefault="00B251FD" w:rsidP="00701186">
      <w:pPr>
        <w:spacing w:before="240" w:after="120"/>
        <w:jc w:val="both"/>
        <w:rPr>
          <w:rFonts w:eastAsia="Calibri" w:cs="Times New Roman"/>
          <w:lang w:val="hr-HR"/>
        </w:rPr>
      </w:pPr>
    </w:p>
    <w:p w:rsidR="00B251FD" w:rsidRDefault="00B251FD" w:rsidP="00701186">
      <w:pPr>
        <w:spacing w:before="240" w:after="120"/>
        <w:jc w:val="both"/>
        <w:rPr>
          <w:rFonts w:eastAsia="Calibri" w:cs="Times New Roman"/>
          <w:lang w:val="hr-HR"/>
        </w:rPr>
      </w:pPr>
    </w:p>
    <w:p w:rsidR="00701186" w:rsidRPr="00B251FD" w:rsidRDefault="006E4108" w:rsidP="00B251FD">
      <w:pPr>
        <w:spacing w:before="240" w:after="120"/>
        <w:contextualSpacing/>
        <w:jc w:val="both"/>
        <w:rPr>
          <w:rFonts w:cstheme="minorHAnsi"/>
          <w:i/>
          <w:lang w:val="hr-HR"/>
        </w:rPr>
      </w:pPr>
      <w:r w:rsidRPr="00701186">
        <w:rPr>
          <w:rFonts w:cstheme="minorHAnsi"/>
          <w:i/>
          <w:lang w:val="hr-HR"/>
        </w:rPr>
        <w:lastRenderedPageBreak/>
        <w:t xml:space="preserve">Tablica </w:t>
      </w:r>
      <w:r w:rsidRPr="00701186">
        <w:rPr>
          <w:rFonts w:cstheme="minorHAnsi"/>
          <w:i/>
          <w:lang w:val="hr-HR"/>
        </w:rPr>
        <w:fldChar w:fldCharType="begin"/>
      </w:r>
      <w:r w:rsidRPr="00701186">
        <w:rPr>
          <w:rFonts w:cstheme="minorHAnsi"/>
          <w:i/>
          <w:lang w:val="hr-HR"/>
        </w:rPr>
        <w:instrText xml:space="preserve"> SEQ Tablica \* ARABIC </w:instrText>
      </w:r>
      <w:r w:rsidRPr="00701186">
        <w:rPr>
          <w:rFonts w:cstheme="minorHAnsi"/>
          <w:i/>
          <w:lang w:val="hr-HR"/>
        </w:rPr>
        <w:fldChar w:fldCharType="separate"/>
      </w:r>
      <w:r w:rsidR="006A0A56">
        <w:rPr>
          <w:rFonts w:cstheme="minorHAnsi"/>
          <w:i/>
          <w:noProof/>
          <w:lang w:val="hr-HR"/>
        </w:rPr>
        <w:t>4</w:t>
      </w:r>
      <w:r w:rsidRPr="00701186">
        <w:rPr>
          <w:rFonts w:cstheme="minorHAnsi"/>
          <w:i/>
          <w:lang w:val="hr-HR"/>
        </w:rPr>
        <w:fldChar w:fldCharType="end"/>
      </w:r>
      <w:r w:rsidRPr="00701186">
        <w:rPr>
          <w:rFonts w:cstheme="minorHAnsi"/>
          <w:i/>
          <w:lang w:val="hr-HR"/>
        </w:rPr>
        <w:t>: Kretanje cijena</w:t>
      </w:r>
      <w:bookmarkEnd w:id="7"/>
      <w:r w:rsidR="00ED192B" w:rsidRPr="00701186">
        <w:rPr>
          <w:rFonts w:cstheme="minorHAnsi"/>
          <w:i/>
          <w:lang w:val="hr-HR"/>
        </w:rPr>
        <w:tab/>
      </w:r>
    </w:p>
    <w:p w:rsidR="006E4108" w:rsidRPr="00701186" w:rsidRDefault="00701186" w:rsidP="00701186">
      <w:pPr>
        <w:spacing w:before="240" w:after="120"/>
        <w:jc w:val="both"/>
        <w:rPr>
          <w:rFonts w:cstheme="minorHAnsi"/>
          <w:i/>
          <w:lang w:val="hr-HR"/>
        </w:rPr>
      </w:pPr>
      <w:r w:rsidRPr="00B251FD">
        <w:rPr>
          <w:rFonts w:cstheme="minorHAnsi"/>
          <w:i/>
          <w:noProof/>
          <w:lang w:val="hr-HR" w:eastAsia="hr-HR"/>
        </w:rPr>
        <w:drawing>
          <wp:inline distT="0" distB="0" distL="0" distR="0" wp14:anchorId="576F521B" wp14:editId="64ADC932">
            <wp:extent cx="5760720" cy="2063750"/>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2063750"/>
                    </a:xfrm>
                    <a:prstGeom prst="rect">
                      <a:avLst/>
                    </a:prstGeom>
                    <a:noFill/>
                    <a:ln>
                      <a:noFill/>
                    </a:ln>
                  </pic:spPr>
                </pic:pic>
              </a:graphicData>
            </a:graphic>
          </wp:inline>
        </w:drawing>
      </w:r>
      <w:r w:rsidR="00ED192B" w:rsidRPr="00701186">
        <w:rPr>
          <w:rFonts w:cstheme="minorHAnsi"/>
          <w:i/>
          <w:lang w:val="hr-HR"/>
        </w:rPr>
        <w:br/>
      </w:r>
      <w:r w:rsidR="006E4108" w:rsidRPr="00B251FD">
        <w:rPr>
          <w:rFonts w:cstheme="minorHAnsi"/>
          <w:i/>
          <w:lang w:val="hr-HR"/>
        </w:rPr>
        <w:t>Izvor: DZS, Ministarstvo financija</w:t>
      </w:r>
    </w:p>
    <w:p w:rsidR="00701186" w:rsidRPr="00D97265" w:rsidRDefault="00701186" w:rsidP="00701186">
      <w:pPr>
        <w:spacing w:before="240" w:after="120"/>
        <w:jc w:val="both"/>
        <w:rPr>
          <w:rFonts w:eastAsia="Calibri" w:cs="Times New Roman"/>
          <w:lang w:val="hr-HR"/>
        </w:rPr>
      </w:pPr>
      <w:r w:rsidRPr="00D97265">
        <w:rPr>
          <w:rFonts w:eastAsia="Calibri" w:cs="Times New Roman"/>
          <w:lang w:val="hr-HR"/>
        </w:rPr>
        <w:t>Inflacija bi u 2024. godini trebala izraženije usporiti na 3,1%, prvenstveno kao posljedica ublažavanja inflacijskih pritisaka kod cijena hrane, pić</w:t>
      </w:r>
      <w:r w:rsidR="00B251FD">
        <w:rPr>
          <w:rFonts w:eastAsia="Calibri" w:cs="Times New Roman"/>
          <w:lang w:val="hr-HR"/>
        </w:rPr>
        <w:t>a</w:t>
      </w:r>
      <w:r w:rsidRPr="00D97265">
        <w:rPr>
          <w:rFonts w:eastAsia="Calibri" w:cs="Times New Roman"/>
          <w:lang w:val="hr-HR"/>
        </w:rPr>
        <w:t xml:space="preserve"> i duhana, ali i temeljne inflacije (koja isključuje energiju i hranu). Ublažavanje rasta cijena hrane bit će posljedica nižih cijena inputa u poljoprivrednoj proizvodnji te cijena prehrambenih sirovina i proizvođačkih cijena hrane u EU, ali i mjera Vlade RH. Pritom će se kod temeljne inflacije povišeni inflatorni pritisci ipak najduže zadržati, potpomognuti snažnom dinamikom jediničnih troškova rada. Kretanje deflatora BDP-a zabilježit će znatnije usporavanje tek u 2024. budući da će tada, uz daljnje usporavanje većine pojedinačnih sastavnica, znatno oslabiti snažni pozitivni učinak uvjeta razmjene prisutan u 2023. godini.</w:t>
      </w:r>
      <w:r>
        <w:rPr>
          <w:rFonts w:eastAsia="Calibri" w:cs="Times New Roman"/>
          <w:lang w:val="hr-HR"/>
        </w:rPr>
        <w:t xml:space="preserve"> Prema kraju projekcijskog razdoblj</w:t>
      </w:r>
      <w:r w:rsidR="00B251FD">
        <w:rPr>
          <w:rFonts w:eastAsia="Calibri" w:cs="Times New Roman"/>
          <w:lang w:val="hr-HR"/>
        </w:rPr>
        <w:t>a</w:t>
      </w:r>
      <w:r>
        <w:rPr>
          <w:rFonts w:eastAsia="Calibri" w:cs="Times New Roman"/>
          <w:lang w:val="hr-HR"/>
        </w:rPr>
        <w:t xml:space="preserve"> očekuje se daljnje usporavanje stope inflacije prema ciljanim veličinama, na 2,4% u 2025. i 2,2% u 2026. </w:t>
      </w:r>
      <w:r w:rsidR="00B251FD">
        <w:rPr>
          <w:rFonts w:eastAsia="Calibri" w:cs="Times New Roman"/>
          <w:lang w:val="hr-HR"/>
        </w:rPr>
        <w:t>godini.</w:t>
      </w:r>
    </w:p>
    <w:p w:rsidR="00701186" w:rsidRPr="002B32F5" w:rsidRDefault="00701186" w:rsidP="00701186">
      <w:pPr>
        <w:jc w:val="both"/>
        <w:rPr>
          <w:lang w:val="hr-HR"/>
        </w:rPr>
      </w:pPr>
      <w:r w:rsidRPr="00D97265">
        <w:rPr>
          <w:lang w:val="hr-HR"/>
        </w:rPr>
        <w:t xml:space="preserve">Makroekonomske projekcije i dalje su izložene pojačanoj neizvjesnosti, uz prevladavajuće negativne rizike. Izraženije usporavanje rasta, pogotovo u EU, sporija normalizacija inflacije i restriktivnih uvjeta financiranja poslovnih subjekata, predstavljaju glavne vanjske rizike za opisani makroekonomski okvir. Nastavak sukoba u Ukrajini i povezane geopolitičke napetosti u kombinaciji s nastavkom pooštravanja monetarne politike, mogu promijeniti projiciranu putanju kretanja gospodarskog rasta i inflacije. Trend slabljenja eura u odnosu na američki dolar u kombinaciji s rastućom cijenom nafte mogu izazvati prekid u usporavanju inflacije, što bi dodatno otežalo zadaću središnjih banaka u suzbijanju inflacije. U narednom razdoblju mogao bi do izražaja doći i problem srednjoročne konkurentnosti zemalja EU, za kojeg se više ne očekuje da će biti ublažen tečajnim kretanjima. Pri tome u RH postoji i dodatni rizik izraženijeg ubrzanja rasta troškova rada u kratkom i srednjem roku. Hrvatskom gospodarstvu predstoji daljnja prilagodba na postojeće strukturne izazove. Tako se među domaćim rizicima ističu ograničenja kapaciteta i radne snage, snažnija međunarodna konkurencija te posljedice klimatskih promjena u turističkom sektoru, kao i srednjoročna ranjivost tržišta nekretnina, u uvjetima rasta kamatnih stopa, što bi moglo negativno utjecati na stabilnost financijskog sustava RH. Dodatni rizici za ostvarivanje opisanog makroekonomskog scenarija vezani su uz korištenje sredstava iz Europskih strukturnih </w:t>
      </w:r>
      <w:r w:rsidRPr="00701186">
        <w:rPr>
          <w:lang w:val="hr-HR"/>
        </w:rPr>
        <w:t>fondova (u daljnjem tekstu: ESI), kao i provedbu projekata u okviru Nacionalnog plana oporavka otpornosti 2021.-2026. (u daljnjem tekstu: NPOO). Kao</w:t>
      </w:r>
      <w:r w:rsidRPr="00D97265">
        <w:rPr>
          <w:lang w:val="hr-HR"/>
        </w:rPr>
        <w:t xml:space="preserve"> pozitivan rizik za dinamiku osobne potrošnje u promatranom razdoblju spomenimo potencijalno ponovno intenzivnije korištenje financijske poluge sektora kućanstava, koji je u proteklom razdoblju prošao znatan proces razduživanja.</w:t>
      </w:r>
    </w:p>
    <w:p w:rsidR="00003BE9" w:rsidRPr="006B0F2A" w:rsidRDefault="00003BE9" w:rsidP="00003BE9">
      <w:pPr>
        <w:rPr>
          <w:lang w:val="hr-HR"/>
        </w:rPr>
      </w:pPr>
      <w:r>
        <w:rPr>
          <w:lang w:val="hr-HR"/>
        </w:rPr>
        <w:br w:type="page"/>
      </w:r>
    </w:p>
    <w:p w:rsidR="000D050A" w:rsidRPr="006B0F2A" w:rsidRDefault="00695821" w:rsidP="000D050A">
      <w:pPr>
        <w:pStyle w:val="Heading1"/>
        <w:numPr>
          <w:ilvl w:val="0"/>
          <w:numId w:val="17"/>
        </w:numPr>
        <w:rPr>
          <w:lang w:val="hr-HR"/>
        </w:rPr>
      </w:pPr>
      <w:bookmarkStart w:id="8" w:name="_Toc150380898"/>
      <w:r w:rsidRPr="006B0F2A">
        <w:rPr>
          <w:lang w:val="hr-HR"/>
        </w:rPr>
        <w:lastRenderedPageBreak/>
        <w:t>PRIHODI DRŽAVNOG PRORAČUNA</w:t>
      </w:r>
      <w:bookmarkEnd w:id="8"/>
      <w:r w:rsidRPr="006B0F2A">
        <w:rPr>
          <w:lang w:val="hr-HR"/>
        </w:rPr>
        <w:t xml:space="preserve"> </w:t>
      </w:r>
      <w:bookmarkStart w:id="9" w:name="_Toc445241791"/>
    </w:p>
    <w:p w:rsidR="000D050A" w:rsidRPr="006B0F2A" w:rsidRDefault="000D050A" w:rsidP="000D050A">
      <w:pPr>
        <w:rPr>
          <w:lang w:val="hr-HR"/>
        </w:rPr>
      </w:pPr>
    </w:p>
    <w:p w:rsidR="00583572" w:rsidRDefault="00583572" w:rsidP="00583572">
      <w:pPr>
        <w:spacing w:before="240"/>
        <w:jc w:val="both"/>
        <w:rPr>
          <w:rFonts w:ascii="Calibri" w:hAnsi="Calibri" w:cs="Calibri"/>
          <w:color w:val="000000"/>
          <w:shd w:val="clear" w:color="auto" w:fill="FFFFFF"/>
          <w:lang w:val="hr-HR"/>
        </w:rPr>
      </w:pPr>
      <w:r w:rsidRPr="007E5DA9">
        <w:rPr>
          <w:rFonts w:cstheme="minorHAnsi"/>
          <w:lang w:val="hr-HR"/>
        </w:rPr>
        <w:t>Kretanj</w:t>
      </w:r>
      <w:r>
        <w:rPr>
          <w:rFonts w:cstheme="minorHAnsi"/>
          <w:lang w:val="hr-HR"/>
        </w:rPr>
        <w:t>e</w:t>
      </w:r>
      <w:r w:rsidRPr="007E5DA9">
        <w:rPr>
          <w:rFonts w:cstheme="minorHAnsi"/>
          <w:lang w:val="hr-HR"/>
        </w:rPr>
        <w:t xml:space="preserve"> prihoda državnog proračuna u razdoblju 202</w:t>
      </w:r>
      <w:r>
        <w:rPr>
          <w:rFonts w:cstheme="minorHAnsi"/>
          <w:lang w:val="hr-HR"/>
        </w:rPr>
        <w:t>4. – 2026. određeno je</w:t>
      </w:r>
      <w:r w:rsidRPr="007E5DA9">
        <w:rPr>
          <w:rFonts w:cstheme="minorHAnsi"/>
          <w:lang w:val="hr-HR"/>
        </w:rPr>
        <w:t xml:space="preserve"> </w:t>
      </w:r>
      <w:r w:rsidRPr="00607FE4">
        <w:rPr>
          <w:rFonts w:ascii="Calibri" w:hAnsi="Calibri" w:cs="Calibri"/>
          <w:color w:val="000000"/>
          <w:shd w:val="clear" w:color="auto" w:fill="FFFFFF"/>
          <w:lang w:val="hr-HR"/>
        </w:rPr>
        <w:t xml:space="preserve">projiciranim kretanjem gospodarske aktivnosti, </w:t>
      </w:r>
      <w:r w:rsidR="00FB5931" w:rsidRPr="00FB5931">
        <w:rPr>
          <w:rFonts w:ascii="Calibri" w:hAnsi="Calibri" w:cs="Calibri"/>
          <w:color w:val="000000"/>
          <w:shd w:val="clear" w:color="auto" w:fill="FFFFFF"/>
          <w:lang w:val="hr-HR"/>
        </w:rPr>
        <w:t xml:space="preserve">uzimajući u obzir cjelogodišnji fiskalni učinak </w:t>
      </w:r>
      <w:r w:rsidR="00BB14EA">
        <w:rPr>
          <w:rFonts w:ascii="Calibri" w:hAnsi="Calibri" w:cs="Calibri"/>
          <w:color w:val="000000"/>
          <w:shd w:val="clear" w:color="auto" w:fill="FFFFFF"/>
          <w:lang w:val="hr-HR"/>
        </w:rPr>
        <w:t xml:space="preserve">mjera koje je Vlada RH donijela u svrhu zaštite kućanstava i gospodarstva od rasta cijena, </w:t>
      </w:r>
      <w:r w:rsidR="00FB5931" w:rsidRPr="00FB5931">
        <w:rPr>
          <w:rFonts w:ascii="Calibri" w:hAnsi="Calibri" w:cs="Calibri"/>
          <w:color w:val="000000"/>
          <w:shd w:val="clear" w:color="auto" w:fill="FFFFFF"/>
          <w:lang w:val="hr-HR"/>
        </w:rPr>
        <w:t>kao i</w:t>
      </w:r>
      <w:r w:rsidR="00BB14EA">
        <w:rPr>
          <w:rFonts w:ascii="Calibri" w:hAnsi="Calibri" w:cs="Calibri"/>
          <w:color w:val="000000"/>
          <w:shd w:val="clear" w:color="auto" w:fill="FFFFFF"/>
          <w:lang w:val="hr-HR"/>
        </w:rPr>
        <w:t xml:space="preserve"> učinak porezne reforme </w:t>
      </w:r>
      <w:r w:rsidR="00FB5931" w:rsidRPr="00FB5931">
        <w:rPr>
          <w:rFonts w:ascii="Calibri" w:hAnsi="Calibri" w:cs="Calibri"/>
          <w:color w:val="000000"/>
          <w:shd w:val="clear" w:color="auto" w:fill="FFFFFF"/>
          <w:lang w:val="hr-HR"/>
        </w:rPr>
        <w:t xml:space="preserve">u sustavu </w:t>
      </w:r>
      <w:r w:rsidR="00FB5931">
        <w:rPr>
          <w:rFonts w:ascii="Calibri" w:hAnsi="Calibri" w:cs="Calibri"/>
          <w:color w:val="000000"/>
          <w:shd w:val="clear" w:color="auto" w:fill="FFFFFF"/>
          <w:lang w:val="hr-HR"/>
        </w:rPr>
        <w:t>doprinosa za mirovinsko osiguranje, a koje</w:t>
      </w:r>
      <w:r w:rsidR="00FB5931" w:rsidRPr="00FB5931">
        <w:rPr>
          <w:rFonts w:ascii="Calibri" w:hAnsi="Calibri" w:cs="Calibri"/>
          <w:color w:val="000000"/>
          <w:shd w:val="clear" w:color="auto" w:fill="FFFFFF"/>
          <w:lang w:val="hr-HR"/>
        </w:rPr>
        <w:t xml:space="preserve"> će st</w:t>
      </w:r>
      <w:r w:rsidR="00FB5931">
        <w:rPr>
          <w:rFonts w:ascii="Calibri" w:hAnsi="Calibri" w:cs="Calibri"/>
          <w:color w:val="000000"/>
          <w:shd w:val="clear" w:color="auto" w:fill="FFFFFF"/>
          <w:lang w:val="hr-HR"/>
        </w:rPr>
        <w:t>upiti na snagu od 1. siječnja 2024</w:t>
      </w:r>
      <w:r>
        <w:rPr>
          <w:rFonts w:ascii="Calibri" w:hAnsi="Calibri" w:cs="Calibri"/>
          <w:color w:val="000000"/>
          <w:shd w:val="clear" w:color="auto" w:fill="FFFFFF"/>
          <w:lang w:val="hr-HR"/>
        </w:rPr>
        <w:t xml:space="preserve">. </w:t>
      </w:r>
      <w:r w:rsidRPr="00B92193">
        <w:rPr>
          <w:rFonts w:ascii="Calibri" w:hAnsi="Calibri" w:cs="Calibri"/>
          <w:color w:val="000000"/>
          <w:shd w:val="clear" w:color="auto" w:fill="FFFFFF"/>
          <w:lang w:val="hr-HR"/>
        </w:rPr>
        <w:t>Značajan učinak na prihode proračuna imaju i sredstva pomoći</w:t>
      </w:r>
      <w:r w:rsidRPr="00607FE4">
        <w:rPr>
          <w:rFonts w:ascii="Calibri" w:hAnsi="Calibri" w:cs="Calibri"/>
          <w:color w:val="000000"/>
          <w:shd w:val="clear" w:color="auto" w:fill="FFFFFF"/>
          <w:lang w:val="hr-HR"/>
        </w:rPr>
        <w:t xml:space="preserve"> institucija i tijela EU. To se ponajprije odnosi na sredstva iz novog Višegodišnjeg financijskog okvira 2021. – 2027. te iz Mehanizma za oporavak i otpornost, kojima će se jačati op</w:t>
      </w:r>
      <w:r>
        <w:rPr>
          <w:rFonts w:ascii="Calibri" w:hAnsi="Calibri" w:cs="Calibri"/>
          <w:color w:val="000000"/>
          <w:shd w:val="clear" w:color="auto" w:fill="FFFFFF"/>
          <w:lang w:val="hr-HR"/>
        </w:rPr>
        <w:t>oravak i otpornost gospodarstva</w:t>
      </w:r>
      <w:r w:rsidRPr="00607FE4">
        <w:rPr>
          <w:rFonts w:ascii="Calibri" w:hAnsi="Calibri" w:cs="Calibri"/>
          <w:color w:val="000000"/>
          <w:shd w:val="clear" w:color="auto" w:fill="FFFFFF"/>
          <w:lang w:val="hr-HR"/>
        </w:rPr>
        <w:t>.</w:t>
      </w:r>
      <w:r>
        <w:rPr>
          <w:rFonts w:ascii="Calibri" w:hAnsi="Calibri" w:cs="Calibri"/>
          <w:color w:val="000000"/>
          <w:shd w:val="clear" w:color="auto" w:fill="FFFFFF"/>
          <w:lang w:val="hr-HR"/>
        </w:rPr>
        <w:t xml:space="preserve"> </w:t>
      </w:r>
    </w:p>
    <w:p w:rsidR="00583572" w:rsidRDefault="00BB14EA" w:rsidP="00583572">
      <w:pPr>
        <w:spacing w:before="240"/>
        <w:jc w:val="both"/>
        <w:rPr>
          <w:rFonts w:cstheme="minorHAnsi"/>
          <w:lang w:val="hr-HR"/>
        </w:rPr>
      </w:pPr>
      <w:r>
        <w:rPr>
          <w:rFonts w:ascii="Calibri" w:hAnsi="Calibri" w:cs="Calibri"/>
          <w:color w:val="000000"/>
          <w:shd w:val="clear" w:color="auto" w:fill="FFFFFF"/>
          <w:lang w:val="hr-HR"/>
        </w:rPr>
        <w:t>U tom smislu, p</w:t>
      </w:r>
      <w:r w:rsidR="00583572">
        <w:rPr>
          <w:rFonts w:ascii="Calibri" w:hAnsi="Calibri" w:cs="Calibri"/>
          <w:color w:val="000000"/>
          <w:shd w:val="clear" w:color="auto" w:fill="FFFFFF"/>
          <w:lang w:val="hr-HR"/>
        </w:rPr>
        <w:t>roduljen</w:t>
      </w:r>
      <w:r>
        <w:rPr>
          <w:rFonts w:ascii="Calibri" w:hAnsi="Calibri" w:cs="Calibri"/>
          <w:color w:val="000000"/>
          <w:shd w:val="clear" w:color="auto" w:fill="FFFFFF"/>
          <w:lang w:val="hr-HR"/>
        </w:rPr>
        <w:t>o je trajanje</w:t>
      </w:r>
      <w:r w:rsidR="00583572">
        <w:rPr>
          <w:rFonts w:ascii="Calibri" w:hAnsi="Calibri" w:cs="Calibri"/>
          <w:color w:val="000000"/>
          <w:shd w:val="clear" w:color="auto" w:fill="FFFFFF"/>
          <w:lang w:val="hr-HR"/>
        </w:rPr>
        <w:t xml:space="preserve"> </w:t>
      </w:r>
      <w:r w:rsidR="00583572" w:rsidRPr="00B3494F">
        <w:rPr>
          <w:rFonts w:cstheme="minorHAnsi"/>
          <w:lang w:val="hr-HR"/>
        </w:rPr>
        <w:t>privremeno snižene stope PDV-a od 5% na isporuku plina, grijanja iz toplinskih stanica, ogrjevnog drva, peleta, briketa i sječke do 31.</w:t>
      </w:r>
      <w:r w:rsidR="00583572">
        <w:rPr>
          <w:rFonts w:cstheme="minorHAnsi"/>
          <w:lang w:val="hr-HR"/>
        </w:rPr>
        <w:t xml:space="preserve"> </w:t>
      </w:r>
      <w:r w:rsidR="00583572" w:rsidRPr="00B3494F">
        <w:rPr>
          <w:rFonts w:cstheme="minorHAnsi"/>
          <w:lang w:val="hr-HR"/>
        </w:rPr>
        <w:t xml:space="preserve">ožujka 2024. Također, Vlada RH donijela je </w:t>
      </w:r>
      <w:r w:rsidR="00DF2D33">
        <w:rPr>
          <w:rFonts w:cstheme="minorHAnsi"/>
          <w:lang w:val="hr-HR"/>
        </w:rPr>
        <w:t xml:space="preserve">i </w:t>
      </w:r>
      <w:r w:rsidR="00583572" w:rsidRPr="00B3494F">
        <w:rPr>
          <w:rFonts w:cstheme="minorHAnsi"/>
          <w:lang w:val="hr-HR"/>
        </w:rPr>
        <w:t xml:space="preserve">Uredbu o izmjeni Uredbe o visini trošarine na energente i električnu energiju i Uredbu o utvrđivanju najviših maloprodajnih cijena naftnih derivata, kojom su utvrđene premije energetskih subjekata za motorne benzine i dizelska goriva kojima se reguliraju cijene naftnih derivata. </w:t>
      </w:r>
    </w:p>
    <w:p w:rsidR="008E6034" w:rsidRPr="00B3494F" w:rsidRDefault="008E6034" w:rsidP="00583572">
      <w:pPr>
        <w:spacing w:before="240"/>
        <w:jc w:val="both"/>
        <w:rPr>
          <w:rFonts w:cstheme="minorHAnsi"/>
          <w:lang w:val="hr-HR"/>
        </w:rPr>
      </w:pPr>
      <w:r w:rsidRPr="008E6034">
        <w:rPr>
          <w:rFonts w:cstheme="minorHAnsi"/>
          <w:lang w:val="hr-HR"/>
        </w:rPr>
        <w:t>Izmjenama Zakona o doprinosima,</w:t>
      </w:r>
      <w:r>
        <w:rPr>
          <w:rFonts w:cstheme="minorHAnsi"/>
          <w:lang w:val="hr-HR"/>
        </w:rPr>
        <w:t xml:space="preserve"> smanjuje se </w:t>
      </w:r>
      <w:r w:rsidRPr="008E6034">
        <w:rPr>
          <w:rFonts w:cstheme="minorHAnsi"/>
          <w:lang w:val="hr-HR"/>
        </w:rPr>
        <w:t>mjesečna osnovica za obračun doprinosa za mirovinsko osiguranje temeljem generacijske solidarnosti. Za sve ukupne bruto mjesečne plaće do 700 eura smanjenje je fiksno i iznosi 300 eura, dok se za plaće povrh tog iznosa pa do iznosa od 1.300 eura olakšica postupno smanjuje. Pri tome olakšica ne umanjuje budući iznos mirovine jer će se za utvrđivanje prava iz mirovinskog osiguranja temeljem generacijske solidarnosti, koristiti puna mjesečna osnovica bez umanjenja za olakšicu.</w:t>
      </w:r>
    </w:p>
    <w:p w:rsidR="00583572" w:rsidRPr="004339A6" w:rsidRDefault="00583572" w:rsidP="00583572">
      <w:pPr>
        <w:jc w:val="both"/>
        <w:rPr>
          <w:rFonts w:eastAsia="Calibri" w:cstheme="minorHAnsi"/>
          <w:lang w:val="hr-HR"/>
        </w:rPr>
      </w:pPr>
      <w:r w:rsidRPr="005921BC">
        <w:rPr>
          <w:rFonts w:cstheme="minorHAnsi"/>
          <w:lang w:val="hr-HR"/>
        </w:rPr>
        <w:t>Uzevši u obzir navedeno, u 2024. godini ukupni prihodi državnog proračuna planirani su u iznosu od 28,5 milijard</w:t>
      </w:r>
      <w:r w:rsidR="00DF2D33">
        <w:rPr>
          <w:rFonts w:cstheme="minorHAnsi"/>
          <w:lang w:val="hr-HR"/>
        </w:rPr>
        <w:t>i</w:t>
      </w:r>
      <w:r w:rsidRPr="005921BC">
        <w:rPr>
          <w:rFonts w:cstheme="minorHAnsi"/>
          <w:lang w:val="hr-HR"/>
        </w:rPr>
        <w:t xml:space="preserve"> eura, dok su za 2025. projicirani u iznosu od 30,1 milijardu eura, a za 2026. u iznosu od 30,6 milijardi eura.</w:t>
      </w:r>
      <w:r>
        <w:rPr>
          <w:rFonts w:cstheme="minorHAnsi"/>
          <w:lang w:val="hr-HR"/>
        </w:rPr>
        <w:t xml:space="preserve"> </w:t>
      </w:r>
    </w:p>
    <w:p w:rsidR="00583572" w:rsidRPr="00F41038" w:rsidRDefault="00583572" w:rsidP="00C70F87">
      <w:pPr>
        <w:spacing w:before="240" w:after="120"/>
        <w:jc w:val="both"/>
        <w:rPr>
          <w:rFonts w:cs="Times New Roman"/>
          <w:b/>
          <w:i/>
          <w:lang w:val="hr-HR"/>
        </w:rPr>
      </w:pPr>
      <w:r w:rsidRPr="00F41038">
        <w:rPr>
          <w:rFonts w:cs="Times New Roman"/>
          <w:b/>
          <w:i/>
          <w:lang w:val="hr-HR"/>
        </w:rPr>
        <w:t>Porezni prihodi</w:t>
      </w:r>
    </w:p>
    <w:p w:rsidR="00583572" w:rsidRDefault="00987C47" w:rsidP="00583572">
      <w:pPr>
        <w:spacing w:before="240" w:after="120"/>
        <w:jc w:val="both"/>
        <w:rPr>
          <w:rFonts w:eastAsia="Calibri" w:cstheme="minorHAnsi"/>
          <w:lang w:val="hr-HR"/>
        </w:rPr>
      </w:pPr>
      <w:bookmarkStart w:id="10" w:name="_Toc119810574"/>
      <w:bookmarkStart w:id="11" w:name="_Toc119828133"/>
      <w:r>
        <w:rPr>
          <w:rFonts w:eastAsia="Calibri" w:cstheme="minorHAnsi"/>
          <w:lang w:val="hr-HR"/>
        </w:rPr>
        <w:t>P</w:t>
      </w:r>
      <w:r w:rsidR="00583572" w:rsidRPr="007E5DA9">
        <w:rPr>
          <w:rFonts w:eastAsia="Calibri" w:cstheme="minorHAnsi"/>
          <w:lang w:val="hr-HR"/>
        </w:rPr>
        <w:t>orezni prihodi u 202</w:t>
      </w:r>
      <w:r w:rsidR="00583572">
        <w:rPr>
          <w:rFonts w:eastAsia="Calibri" w:cstheme="minorHAnsi"/>
          <w:lang w:val="hr-HR"/>
        </w:rPr>
        <w:t>4</w:t>
      </w:r>
      <w:r w:rsidR="00583572" w:rsidRPr="007E5DA9">
        <w:rPr>
          <w:rFonts w:eastAsia="Calibri" w:cstheme="minorHAnsi"/>
          <w:lang w:val="hr-HR"/>
        </w:rPr>
        <w:t xml:space="preserve">. godini projicirani su </w:t>
      </w:r>
      <w:r w:rsidR="00583572" w:rsidRPr="00396A0F">
        <w:rPr>
          <w:rFonts w:eastAsia="Calibri" w:cstheme="minorHAnsi"/>
          <w:lang w:val="hr-HR"/>
        </w:rPr>
        <w:t xml:space="preserve">u </w:t>
      </w:r>
      <w:r w:rsidR="00583572" w:rsidRPr="004340AD">
        <w:rPr>
          <w:rFonts w:eastAsia="Calibri" w:cstheme="minorHAnsi"/>
          <w:lang w:val="hr-HR"/>
        </w:rPr>
        <w:t>iznosu od 16,1 milijardu</w:t>
      </w:r>
      <w:r w:rsidR="00583572" w:rsidRPr="007E5DA9">
        <w:rPr>
          <w:rFonts w:eastAsia="Calibri" w:cstheme="minorHAnsi"/>
          <w:lang w:val="hr-HR"/>
        </w:rPr>
        <w:t xml:space="preserve"> </w:t>
      </w:r>
      <w:r w:rsidR="00583572">
        <w:rPr>
          <w:rFonts w:eastAsia="Calibri" w:cstheme="minorHAnsi"/>
          <w:lang w:val="hr-HR"/>
        </w:rPr>
        <w:t>eura</w:t>
      </w:r>
      <w:r>
        <w:rPr>
          <w:rFonts w:eastAsia="Calibri" w:cstheme="minorHAnsi"/>
          <w:lang w:val="hr-HR"/>
        </w:rPr>
        <w:t>, što predstavlja rast od 4,2% u odnosu na prethodnu godinu.</w:t>
      </w:r>
      <w:r w:rsidR="00583572" w:rsidRPr="007E5DA9">
        <w:rPr>
          <w:rFonts w:eastAsia="Calibri" w:cstheme="minorHAnsi"/>
          <w:lang w:val="hr-HR"/>
        </w:rPr>
        <w:t xml:space="preserve"> U </w:t>
      </w:r>
      <w:r w:rsidR="00583572">
        <w:rPr>
          <w:rFonts w:eastAsia="Calibri" w:cstheme="minorHAnsi"/>
          <w:lang w:val="hr-HR"/>
        </w:rPr>
        <w:t>2025</w:t>
      </w:r>
      <w:r w:rsidR="00583572" w:rsidRPr="007E5DA9">
        <w:rPr>
          <w:rFonts w:eastAsia="Calibri" w:cstheme="minorHAnsi"/>
          <w:lang w:val="hr-HR"/>
        </w:rPr>
        <w:t xml:space="preserve">. projicirani u </w:t>
      </w:r>
      <w:r w:rsidR="00583572" w:rsidRPr="004340AD">
        <w:rPr>
          <w:rFonts w:eastAsia="Calibri" w:cstheme="minorHAnsi"/>
          <w:lang w:val="hr-HR"/>
        </w:rPr>
        <w:t>iznosu od 16,9 milijardi eura, odnosno uz međugodišnji rast od 4,8%, dok se u 2026. godini očekuju u iznosu od 17,6 milijardi eura i bilježe rast od 4,3%.</w:t>
      </w:r>
      <w:r w:rsidR="00583572" w:rsidRPr="007E5DA9">
        <w:rPr>
          <w:rFonts w:eastAsia="Calibri" w:cstheme="minorHAnsi"/>
          <w:lang w:val="hr-HR"/>
        </w:rPr>
        <w:t xml:space="preserve"> </w:t>
      </w:r>
    </w:p>
    <w:p w:rsidR="00583572" w:rsidRPr="007E5DA9" w:rsidRDefault="00583572" w:rsidP="00C70F87">
      <w:pPr>
        <w:spacing w:before="240" w:after="120"/>
        <w:jc w:val="both"/>
        <w:rPr>
          <w:rFonts w:cstheme="minorHAnsi"/>
          <w:b/>
          <w:i/>
          <w:lang w:val="hr-HR"/>
        </w:rPr>
      </w:pPr>
      <w:bookmarkStart w:id="12" w:name="_Toc119810575"/>
      <w:bookmarkStart w:id="13" w:name="_Toc119828134"/>
      <w:r w:rsidRPr="007E5DA9">
        <w:rPr>
          <w:rFonts w:cstheme="minorHAnsi"/>
          <w:b/>
          <w:i/>
          <w:lang w:val="hr-HR"/>
        </w:rPr>
        <w:t>Porez na dobit</w:t>
      </w:r>
      <w:bookmarkEnd w:id="12"/>
      <w:bookmarkEnd w:id="13"/>
    </w:p>
    <w:p w:rsidR="00583572" w:rsidRPr="007E5DA9" w:rsidRDefault="00583572" w:rsidP="00583572">
      <w:pPr>
        <w:spacing w:before="240"/>
        <w:jc w:val="both"/>
        <w:rPr>
          <w:rFonts w:eastAsia="Calibri" w:cstheme="minorHAnsi"/>
          <w:lang w:val="hr-HR"/>
        </w:rPr>
      </w:pPr>
      <w:r w:rsidRPr="007E5DA9">
        <w:rPr>
          <w:rFonts w:eastAsia="Calibri" w:cstheme="minorHAnsi"/>
          <w:lang w:val="hr-HR"/>
        </w:rPr>
        <w:t xml:space="preserve">Porez na dobit u tekućoj godini plaća se na temelju poslovanja poduzetnika prethodne godine. Plan </w:t>
      </w:r>
      <w:r w:rsidRPr="00BB3F39">
        <w:rPr>
          <w:rFonts w:eastAsia="Calibri" w:cstheme="minorHAnsi"/>
          <w:lang w:val="hr-HR"/>
        </w:rPr>
        <w:t xml:space="preserve">kretanja prihoda od poreza na dobit za 2024. te projekcije za 2025. i 2026. godinu rađene su temeljem procjene </w:t>
      </w:r>
      <w:r w:rsidR="00C70F87">
        <w:rPr>
          <w:rFonts w:eastAsia="Calibri" w:cstheme="minorHAnsi"/>
          <w:lang w:val="hr-HR"/>
        </w:rPr>
        <w:t xml:space="preserve">kretanja bruto operativnog viška poduzeća. </w:t>
      </w:r>
      <w:r w:rsidR="0068027D">
        <w:rPr>
          <w:rFonts w:eastAsia="Calibri" w:cstheme="minorHAnsi"/>
          <w:lang w:val="hr-HR"/>
        </w:rPr>
        <w:t xml:space="preserve">Tako je u 2024. i 2025. planiran </w:t>
      </w:r>
      <w:r w:rsidRPr="00BB3F39">
        <w:rPr>
          <w:rFonts w:eastAsia="Calibri" w:cstheme="minorHAnsi"/>
          <w:lang w:val="hr-HR"/>
        </w:rPr>
        <w:t>u iznosu od 2,2 milijarde eura, dok je u 2026. godini projiciran u iznosu od 2,3 milijarde eura.</w:t>
      </w:r>
      <w:r>
        <w:rPr>
          <w:rFonts w:eastAsia="Calibri" w:cstheme="minorHAnsi"/>
          <w:lang w:val="hr-HR"/>
        </w:rPr>
        <w:t xml:space="preserve"> </w:t>
      </w:r>
    </w:p>
    <w:p w:rsidR="00583572" w:rsidRPr="007E5DA9" w:rsidRDefault="00583572" w:rsidP="00583572">
      <w:pPr>
        <w:spacing w:before="240" w:after="120"/>
        <w:jc w:val="both"/>
        <w:rPr>
          <w:rFonts w:cstheme="minorHAnsi"/>
          <w:b/>
          <w:i/>
          <w:lang w:val="hr-HR"/>
        </w:rPr>
      </w:pPr>
      <w:bookmarkStart w:id="14" w:name="_Toc119810577"/>
      <w:bookmarkStart w:id="15" w:name="_Toc119828136"/>
      <w:r w:rsidRPr="007E5DA9">
        <w:rPr>
          <w:rFonts w:cstheme="minorHAnsi"/>
          <w:b/>
          <w:i/>
          <w:lang w:val="hr-HR"/>
        </w:rPr>
        <w:t>Porez na dodanu vrijednost</w:t>
      </w:r>
      <w:bookmarkEnd w:id="14"/>
      <w:bookmarkEnd w:id="15"/>
    </w:p>
    <w:p w:rsidR="00583572" w:rsidRDefault="00583572" w:rsidP="00583572">
      <w:pPr>
        <w:spacing w:before="240" w:after="120"/>
        <w:jc w:val="both"/>
        <w:rPr>
          <w:rFonts w:eastAsia="Calibri" w:cstheme="minorHAnsi"/>
          <w:lang w:val="hr-HR"/>
        </w:rPr>
      </w:pPr>
      <w:r w:rsidRPr="007E5DA9">
        <w:rPr>
          <w:rFonts w:eastAsia="Calibri" w:cstheme="minorHAnsi"/>
          <w:lang w:val="hr-HR"/>
        </w:rPr>
        <w:t xml:space="preserve">Projekcija prihoda od poreza na dodanu vrijednost temeljena je na makroekonomskim pretpostavkama, koje uključuju rast osobne potrošnje, turističkih usluga, rashoda države za </w:t>
      </w:r>
      <w:r w:rsidRPr="00614B54">
        <w:rPr>
          <w:rFonts w:eastAsia="Calibri" w:cstheme="minorHAnsi"/>
          <w:lang w:val="hr-HR"/>
        </w:rPr>
        <w:t>intermedijarnu potrošnju, investicije te socijalne transfere u naravi.</w:t>
      </w:r>
      <w:r w:rsidRPr="00614B54">
        <w:rPr>
          <w:rFonts w:ascii="Calibri" w:hAnsi="Calibri" w:cs="Calibri"/>
          <w:lang w:val="hr-HR"/>
        </w:rPr>
        <w:t xml:space="preserve"> </w:t>
      </w:r>
      <w:r w:rsidRPr="00614B54">
        <w:rPr>
          <w:rFonts w:eastAsia="Calibri" w:cstheme="minorHAnsi"/>
          <w:lang w:val="hr-HR"/>
        </w:rPr>
        <w:t xml:space="preserve">Sukladno navedenom, u 2024. </w:t>
      </w:r>
      <w:r w:rsidRPr="00614B54">
        <w:rPr>
          <w:rFonts w:eastAsia="Calibri" w:cstheme="minorHAnsi"/>
          <w:lang w:val="hr-HR"/>
        </w:rPr>
        <w:lastRenderedPageBreak/>
        <w:t xml:space="preserve">planira se ostvariti </w:t>
      </w:r>
      <w:r w:rsidR="000B2F21">
        <w:rPr>
          <w:rFonts w:eastAsia="Calibri" w:cstheme="minorHAnsi"/>
          <w:lang w:val="hr-HR"/>
        </w:rPr>
        <w:t>11</w:t>
      </w:r>
      <w:r w:rsidRPr="00614B54">
        <w:rPr>
          <w:rFonts w:eastAsia="Calibri" w:cstheme="minorHAnsi"/>
          <w:lang w:val="hr-HR"/>
        </w:rPr>
        <w:t xml:space="preserve"> milijardi eura prihoda od PDV-a, dok projekcije za 2025. iznose 11,6 milijardi eura, odnosno 12,</w:t>
      </w:r>
      <w:r w:rsidR="000B2F21">
        <w:rPr>
          <w:rFonts w:eastAsia="Calibri" w:cstheme="minorHAnsi"/>
          <w:lang w:val="hr-HR"/>
        </w:rPr>
        <w:t>3</w:t>
      </w:r>
      <w:r w:rsidRPr="00614B54">
        <w:rPr>
          <w:rFonts w:eastAsia="Calibri" w:cstheme="minorHAnsi"/>
          <w:lang w:val="hr-HR"/>
        </w:rPr>
        <w:t xml:space="preserve"> milijardi eura za 2026. godinu.</w:t>
      </w:r>
      <w:r w:rsidRPr="007E5DA9">
        <w:rPr>
          <w:rFonts w:eastAsia="Calibri" w:cstheme="minorHAnsi"/>
          <w:lang w:val="hr-HR"/>
        </w:rPr>
        <w:t xml:space="preserve"> </w:t>
      </w:r>
    </w:p>
    <w:p w:rsidR="00583572" w:rsidRPr="007E5DA9" w:rsidRDefault="00583572" w:rsidP="00C70F87">
      <w:pPr>
        <w:spacing w:before="240" w:after="120"/>
        <w:jc w:val="both"/>
        <w:rPr>
          <w:rFonts w:cstheme="minorHAnsi"/>
          <w:b/>
          <w:i/>
          <w:lang w:val="hr-HR"/>
        </w:rPr>
      </w:pPr>
      <w:bookmarkStart w:id="16" w:name="_Toc119810581"/>
      <w:bookmarkStart w:id="17" w:name="_Toc119828140"/>
      <w:r w:rsidRPr="007E5DA9">
        <w:rPr>
          <w:rFonts w:cstheme="minorHAnsi"/>
          <w:b/>
          <w:i/>
          <w:lang w:val="hr-HR"/>
        </w:rPr>
        <w:t>Posebni porezi i trošarine</w:t>
      </w:r>
      <w:bookmarkEnd w:id="16"/>
      <w:bookmarkEnd w:id="17"/>
    </w:p>
    <w:p w:rsidR="00583572" w:rsidRPr="007E5DA9" w:rsidRDefault="00583572" w:rsidP="00583572">
      <w:pPr>
        <w:suppressAutoHyphens/>
        <w:spacing w:before="240"/>
        <w:jc w:val="both"/>
        <w:textAlignment w:val="baseline"/>
        <w:rPr>
          <w:rFonts w:eastAsia="Calibri" w:cstheme="minorHAnsi"/>
          <w:lang w:val="hr-HR"/>
        </w:rPr>
      </w:pPr>
      <w:bookmarkStart w:id="18" w:name="_Toc119810579"/>
      <w:bookmarkStart w:id="19" w:name="_Toc119828138"/>
      <w:bookmarkStart w:id="20" w:name="_Toc119810582"/>
      <w:bookmarkStart w:id="21" w:name="_Toc119828141"/>
      <w:r w:rsidRPr="007E5DA9">
        <w:rPr>
          <w:rFonts w:eastAsia="Calibri" w:cstheme="minorHAnsi"/>
          <w:lang w:val="hr-HR"/>
        </w:rPr>
        <w:t xml:space="preserve">Prihod od posebnih poreza i trošarina projiciran je na temelju </w:t>
      </w:r>
      <w:r w:rsidRPr="00003BA2">
        <w:rPr>
          <w:rFonts w:ascii="Calibri" w:hAnsi="Calibri" w:cs="Calibri"/>
          <w:shd w:val="clear" w:color="auto" w:fill="FFFFFF"/>
          <w:lang w:val="hr-HR"/>
        </w:rPr>
        <w:t>očekivanog intenziteta prometa i potrošnje trošarinskih proizvoda te godišnjeg učinka smanjenja visine trošarina na pogonska goriva, a radi</w:t>
      </w:r>
      <w:r>
        <w:rPr>
          <w:rFonts w:ascii="Calibri" w:hAnsi="Calibri" w:cs="Calibri"/>
          <w:shd w:val="clear" w:color="auto" w:fill="FFFFFF"/>
          <w:lang w:val="hr-HR"/>
        </w:rPr>
        <w:t xml:space="preserve"> sniženja maloprodajnih cijena. </w:t>
      </w:r>
      <w:r w:rsidRPr="007E5DA9">
        <w:rPr>
          <w:rFonts w:eastAsia="Calibri" w:cstheme="minorHAnsi"/>
          <w:lang w:val="hr-HR"/>
        </w:rPr>
        <w:t xml:space="preserve">Tako se u ukupni prihod od </w:t>
      </w:r>
      <w:r>
        <w:rPr>
          <w:rFonts w:eastAsia="Calibri" w:cstheme="minorHAnsi"/>
          <w:lang w:val="hr-HR"/>
        </w:rPr>
        <w:t xml:space="preserve">posebnih poreza i </w:t>
      </w:r>
      <w:r w:rsidRPr="007E5DA9">
        <w:rPr>
          <w:rFonts w:eastAsia="Calibri" w:cstheme="minorHAnsi"/>
          <w:lang w:val="hr-HR"/>
        </w:rPr>
        <w:t xml:space="preserve">trošarina u </w:t>
      </w:r>
      <w:r w:rsidR="006B3BE0">
        <w:rPr>
          <w:rFonts w:eastAsia="Calibri" w:cstheme="minorHAnsi"/>
          <w:lang w:val="hr-HR"/>
        </w:rPr>
        <w:t xml:space="preserve">2024. očekuje </w:t>
      </w:r>
      <w:r w:rsidRPr="007E5DA9">
        <w:rPr>
          <w:rFonts w:eastAsia="Calibri" w:cstheme="minorHAnsi"/>
          <w:lang w:val="hr-HR"/>
        </w:rPr>
        <w:t xml:space="preserve">iznosu od </w:t>
      </w:r>
      <w:r w:rsidRPr="00EF179F">
        <w:rPr>
          <w:rFonts w:eastAsia="Calibri" w:cstheme="minorHAnsi"/>
          <w:lang w:val="hr-HR"/>
        </w:rPr>
        <w:t>2,</w:t>
      </w:r>
      <w:r w:rsidR="006B3BE0">
        <w:rPr>
          <w:rFonts w:eastAsia="Calibri" w:cstheme="minorHAnsi"/>
          <w:lang w:val="hr-HR"/>
        </w:rPr>
        <w:t>5</w:t>
      </w:r>
      <w:r w:rsidRPr="00EF179F">
        <w:rPr>
          <w:rFonts w:eastAsia="Calibri" w:cstheme="minorHAnsi"/>
          <w:lang w:val="hr-HR"/>
        </w:rPr>
        <w:t xml:space="preserve"> milijardi</w:t>
      </w:r>
      <w:r>
        <w:rPr>
          <w:rFonts w:eastAsia="Calibri" w:cstheme="minorHAnsi"/>
          <w:lang w:val="hr-HR"/>
        </w:rPr>
        <w:t xml:space="preserve"> eura</w:t>
      </w:r>
      <w:r w:rsidR="006B3BE0">
        <w:rPr>
          <w:rFonts w:eastAsia="Calibri" w:cstheme="minorHAnsi"/>
          <w:lang w:val="hr-HR"/>
        </w:rPr>
        <w:t xml:space="preserve"> te u 2025. i 2026. godini u iznosu od 2,6 milijardi eura</w:t>
      </w:r>
      <w:r>
        <w:rPr>
          <w:rFonts w:eastAsia="Calibri" w:cstheme="minorHAnsi"/>
          <w:lang w:val="hr-HR"/>
        </w:rPr>
        <w:t xml:space="preserve">. </w:t>
      </w:r>
    </w:p>
    <w:p w:rsidR="00583572" w:rsidRPr="007E5DA9" w:rsidRDefault="00583572" w:rsidP="00583572">
      <w:pPr>
        <w:spacing w:before="240" w:after="120"/>
        <w:jc w:val="both"/>
        <w:rPr>
          <w:rFonts w:cstheme="minorHAnsi"/>
          <w:b/>
          <w:i/>
          <w:lang w:val="hr-HR"/>
        </w:rPr>
      </w:pPr>
      <w:r w:rsidRPr="007E5DA9">
        <w:rPr>
          <w:rFonts w:cstheme="minorHAnsi"/>
          <w:b/>
          <w:i/>
          <w:lang w:val="hr-HR"/>
        </w:rPr>
        <w:t>Ostali porezi na robu i usluge</w:t>
      </w:r>
    </w:p>
    <w:bookmarkEnd w:id="18"/>
    <w:bookmarkEnd w:id="19"/>
    <w:p w:rsidR="00583572" w:rsidRPr="007E5DA9" w:rsidRDefault="00583572" w:rsidP="00583572">
      <w:pPr>
        <w:spacing w:before="240" w:after="120"/>
        <w:jc w:val="both"/>
        <w:rPr>
          <w:rFonts w:eastAsia="Calibri" w:cstheme="minorHAnsi"/>
          <w:lang w:val="hr-HR"/>
        </w:rPr>
      </w:pPr>
      <w:r w:rsidRPr="00DB3E05">
        <w:rPr>
          <w:rFonts w:eastAsia="Calibri" w:cstheme="minorHAnsi"/>
          <w:lang w:val="hr-HR"/>
        </w:rPr>
        <w:t>Prihodi od ostalih poreza na robu i usluge u 2024. planirani su u iznosu od 81,1 milijun eura, dok procjene za 2025. iznose 84,2 milijuna eura, odnosno 87,9 milijuna eura za 2026. godinu. Ovu skupinu poreznih prihoda čine prihodi od poreza na osiguranja od automobilske odgovornosti i kasko osiguranja.</w:t>
      </w:r>
    </w:p>
    <w:p w:rsidR="00583572" w:rsidRPr="007E5DA9" w:rsidRDefault="00583572" w:rsidP="00583572">
      <w:pPr>
        <w:spacing w:before="240" w:after="120"/>
        <w:jc w:val="both"/>
        <w:rPr>
          <w:rFonts w:cstheme="minorHAnsi"/>
          <w:b/>
          <w:i/>
          <w:lang w:val="hr-HR"/>
        </w:rPr>
      </w:pPr>
      <w:r w:rsidRPr="007E5DA9">
        <w:rPr>
          <w:rFonts w:cstheme="minorHAnsi"/>
          <w:b/>
          <w:i/>
          <w:lang w:val="hr-HR"/>
        </w:rPr>
        <w:t>Porez na dobitke od igara na sreću i ostali porezi od igara na sreću te naknade za priređivanje igara na sreću</w:t>
      </w:r>
    </w:p>
    <w:p w:rsidR="00583572" w:rsidRPr="007E5DA9" w:rsidRDefault="00583572" w:rsidP="00583572">
      <w:pPr>
        <w:spacing w:before="240" w:after="120"/>
        <w:jc w:val="both"/>
        <w:rPr>
          <w:rFonts w:eastAsia="Calibri" w:cstheme="minorHAnsi"/>
          <w:lang w:val="hr-HR"/>
        </w:rPr>
      </w:pPr>
      <w:r w:rsidRPr="007E5DA9">
        <w:rPr>
          <w:rFonts w:eastAsia="Calibri" w:cstheme="minorHAnsi"/>
          <w:lang w:val="hr-HR"/>
        </w:rPr>
        <w:t xml:space="preserve">Ovi prihodi planirani su temeljem dinamike kretanja u proteklim godinama te se sličan trend očekuje i nadalje. </w:t>
      </w:r>
      <w:r w:rsidRPr="00055E61">
        <w:rPr>
          <w:rFonts w:eastAsia="Calibri" w:cstheme="minorHAnsi"/>
          <w:lang w:val="hr-HR"/>
        </w:rPr>
        <w:t>Sukladno navedenom, prihodi od poreza na dobitke od igara na sreću i ostali porezi od igara na sreću planirani su u iznosu od 70,6 milijuna eura za 2024. godinu, dok projekcije za 2025. i 2026. godinu iznose 74,5 milijuna eura, odnosno 79,1 milijun eura. Prihodi od naknada za priređivanje igara na sreću planiraju se u iznosu od 225,6 milijuna eura u 2024. odnosno u iznosu od 236,7 milijuna eura i 246,5 milijuna eura u 2025. i 2026. godini</w:t>
      </w:r>
      <w:r w:rsidR="007C04C1">
        <w:rPr>
          <w:rFonts w:eastAsia="Calibri" w:cstheme="minorHAnsi"/>
          <w:lang w:val="hr-HR"/>
        </w:rPr>
        <w:t xml:space="preserve">. </w:t>
      </w:r>
    </w:p>
    <w:p w:rsidR="00583572" w:rsidRPr="007E5DA9" w:rsidRDefault="00583572" w:rsidP="00583572">
      <w:pPr>
        <w:spacing w:before="240" w:after="120"/>
        <w:jc w:val="both"/>
        <w:rPr>
          <w:rFonts w:cstheme="minorHAnsi"/>
          <w:b/>
          <w:i/>
          <w:lang w:val="hr-HR"/>
        </w:rPr>
      </w:pPr>
      <w:r w:rsidRPr="007E5DA9">
        <w:rPr>
          <w:rFonts w:cstheme="minorHAnsi"/>
          <w:b/>
          <w:i/>
          <w:lang w:val="hr-HR"/>
        </w:rPr>
        <w:t>Porez na međunarodn</w:t>
      </w:r>
      <w:bookmarkEnd w:id="20"/>
      <w:bookmarkEnd w:id="21"/>
      <w:r w:rsidRPr="007E5DA9">
        <w:rPr>
          <w:rFonts w:cstheme="minorHAnsi"/>
          <w:b/>
          <w:i/>
          <w:lang w:val="hr-HR"/>
        </w:rPr>
        <w:t>u trgovinu i transakcije</w:t>
      </w:r>
    </w:p>
    <w:p w:rsidR="00583572" w:rsidRDefault="00583572" w:rsidP="00583572">
      <w:pPr>
        <w:spacing w:before="240" w:after="120"/>
        <w:jc w:val="both"/>
        <w:rPr>
          <w:rFonts w:eastAsia="Calibri" w:cstheme="minorHAnsi"/>
          <w:lang w:val="hr-HR"/>
        </w:rPr>
      </w:pPr>
      <w:r w:rsidRPr="007E5DA9">
        <w:rPr>
          <w:rFonts w:eastAsia="Calibri" w:cstheme="minorHAnsi"/>
          <w:lang w:val="hr-HR"/>
        </w:rPr>
        <w:t xml:space="preserve">Prihod od poreza na međunarodnu trgovinu i transakcije </w:t>
      </w:r>
      <w:r>
        <w:rPr>
          <w:rFonts w:eastAsia="Calibri" w:cstheme="minorHAnsi"/>
          <w:lang w:val="hr-HR"/>
        </w:rPr>
        <w:t>u</w:t>
      </w:r>
      <w:r w:rsidRPr="007E5DA9">
        <w:rPr>
          <w:rFonts w:eastAsia="Calibri" w:cstheme="minorHAnsi"/>
          <w:lang w:val="hr-HR"/>
        </w:rPr>
        <w:t xml:space="preserve"> 202</w:t>
      </w:r>
      <w:r>
        <w:rPr>
          <w:rFonts w:eastAsia="Calibri" w:cstheme="minorHAnsi"/>
          <w:lang w:val="hr-HR"/>
        </w:rPr>
        <w:t>4</w:t>
      </w:r>
      <w:r w:rsidRPr="007E5DA9">
        <w:rPr>
          <w:rFonts w:eastAsia="Calibri" w:cstheme="minorHAnsi"/>
          <w:lang w:val="hr-HR"/>
        </w:rPr>
        <w:t xml:space="preserve">. planiran je u iznosu od </w:t>
      </w:r>
      <w:r>
        <w:rPr>
          <w:rFonts w:eastAsia="Calibri" w:cstheme="minorHAnsi"/>
          <w:lang w:val="hr-HR"/>
        </w:rPr>
        <w:t>81,6 milijuna eura</w:t>
      </w:r>
      <w:r w:rsidRPr="007E5DA9">
        <w:rPr>
          <w:rFonts w:eastAsia="Calibri" w:cstheme="minorHAnsi"/>
          <w:lang w:val="hr-HR"/>
        </w:rPr>
        <w:t>.</w:t>
      </w:r>
      <w:r>
        <w:rPr>
          <w:rFonts w:eastAsia="Calibri" w:cstheme="minorHAnsi"/>
          <w:lang w:val="hr-HR"/>
        </w:rPr>
        <w:t xml:space="preserve"> Projekcija ovog prihoda za 2025</w:t>
      </w:r>
      <w:r w:rsidRPr="007E5DA9">
        <w:rPr>
          <w:rFonts w:eastAsia="Calibri" w:cstheme="minorHAnsi"/>
          <w:lang w:val="hr-HR"/>
        </w:rPr>
        <w:t xml:space="preserve">. iznosi </w:t>
      </w:r>
      <w:r>
        <w:rPr>
          <w:rFonts w:eastAsia="Calibri" w:cstheme="minorHAnsi"/>
          <w:lang w:val="hr-HR"/>
        </w:rPr>
        <w:t>81,9 milijuna eura</w:t>
      </w:r>
      <w:r w:rsidRPr="007E5DA9">
        <w:rPr>
          <w:rFonts w:eastAsia="Calibri" w:cstheme="minorHAnsi"/>
          <w:lang w:val="hr-HR"/>
        </w:rPr>
        <w:t>,</w:t>
      </w:r>
      <w:r>
        <w:rPr>
          <w:rFonts w:eastAsia="Calibri" w:cstheme="minorHAnsi"/>
          <w:lang w:val="hr-HR"/>
        </w:rPr>
        <w:t xml:space="preserve"> a</w:t>
      </w:r>
      <w:r w:rsidRPr="007E5DA9">
        <w:rPr>
          <w:rFonts w:eastAsia="Calibri" w:cstheme="minorHAnsi"/>
          <w:lang w:val="hr-HR"/>
        </w:rPr>
        <w:t xml:space="preserve"> za 202</w:t>
      </w:r>
      <w:r w:rsidR="007C04C1">
        <w:rPr>
          <w:rFonts w:eastAsia="Calibri" w:cstheme="minorHAnsi"/>
          <w:lang w:val="hr-HR"/>
        </w:rPr>
        <w:t>6</w:t>
      </w:r>
      <w:r>
        <w:rPr>
          <w:rFonts w:eastAsia="Calibri" w:cstheme="minorHAnsi"/>
          <w:lang w:val="hr-HR"/>
        </w:rPr>
        <w:t>. godinu</w:t>
      </w:r>
      <w:r w:rsidRPr="007E5DA9">
        <w:rPr>
          <w:rFonts w:eastAsia="Calibri" w:cstheme="minorHAnsi"/>
          <w:lang w:val="hr-HR"/>
        </w:rPr>
        <w:t xml:space="preserve"> </w:t>
      </w:r>
      <w:r>
        <w:rPr>
          <w:rFonts w:eastAsia="Calibri" w:cstheme="minorHAnsi"/>
          <w:lang w:val="hr-HR"/>
        </w:rPr>
        <w:t>82,2 milijuna eura.</w:t>
      </w:r>
    </w:p>
    <w:p w:rsidR="00583572" w:rsidRPr="007E5DA9" w:rsidRDefault="00583572" w:rsidP="00583572">
      <w:pPr>
        <w:spacing w:before="240" w:after="120"/>
        <w:jc w:val="both"/>
        <w:rPr>
          <w:rFonts w:cstheme="minorHAnsi"/>
          <w:b/>
          <w:i/>
          <w:lang w:val="hr-HR"/>
        </w:rPr>
      </w:pPr>
      <w:r w:rsidRPr="007E5DA9">
        <w:rPr>
          <w:rFonts w:cstheme="minorHAnsi"/>
          <w:b/>
          <w:i/>
          <w:lang w:val="hr-HR"/>
        </w:rPr>
        <w:t>Doprinosi</w:t>
      </w:r>
    </w:p>
    <w:p w:rsidR="00583572" w:rsidRPr="007E5DA9" w:rsidRDefault="00583572" w:rsidP="00583572">
      <w:pPr>
        <w:spacing w:before="240" w:after="120"/>
        <w:jc w:val="both"/>
        <w:rPr>
          <w:rFonts w:eastAsia="Calibri" w:cstheme="minorHAnsi"/>
          <w:lang w:val="hr-HR"/>
        </w:rPr>
      </w:pPr>
      <w:bookmarkStart w:id="22" w:name="_Toc119810585"/>
      <w:bookmarkStart w:id="23" w:name="_Toc119828144"/>
      <w:r w:rsidRPr="007E5DA9">
        <w:rPr>
          <w:rFonts w:eastAsia="Calibri" w:cstheme="minorHAnsi"/>
          <w:lang w:val="hr-HR"/>
        </w:rPr>
        <w:t xml:space="preserve">Projekcije prihoda po </w:t>
      </w:r>
      <w:r w:rsidRPr="006F4B77">
        <w:rPr>
          <w:rFonts w:eastAsia="Calibri" w:cstheme="minorHAnsi"/>
          <w:lang w:val="hr-HR"/>
        </w:rPr>
        <w:t>osnovi doprinosa za razdoblje 2024. - 2026. temeljene su na očekivanom kretanju rasta nominalnih bruto plaća i zaposlenosti</w:t>
      </w:r>
      <w:r w:rsidR="008E6034">
        <w:rPr>
          <w:rFonts w:eastAsia="Calibri" w:cstheme="minorHAnsi"/>
          <w:lang w:val="hr-HR"/>
        </w:rPr>
        <w:t>, kao i učinku prethodno spomenutih izmjena i dopuna Zakona o doprinosima</w:t>
      </w:r>
      <w:r w:rsidRPr="006F4B77">
        <w:rPr>
          <w:rFonts w:eastAsia="Calibri" w:cstheme="minorHAnsi"/>
          <w:lang w:val="hr-HR"/>
        </w:rPr>
        <w:t>. U 2024. u državni proračun planira se prikupiti 4,6 milijardi eura prihoda od doprinosa za mirovinsko osiguranje, dok projekcija za 2025. iznosi 4,9 milijarde eura, a za 2026. godinu 5,1 milijarde eura.</w:t>
      </w:r>
      <w:r w:rsidRPr="007E5DA9">
        <w:rPr>
          <w:rFonts w:eastAsia="Calibri" w:cstheme="minorHAnsi"/>
          <w:lang w:val="hr-HR"/>
        </w:rPr>
        <w:t xml:space="preserve"> </w:t>
      </w:r>
    </w:p>
    <w:p w:rsidR="00583572" w:rsidRPr="007E5DA9" w:rsidRDefault="00583572" w:rsidP="00583572">
      <w:pPr>
        <w:spacing w:before="240" w:after="120"/>
        <w:jc w:val="both"/>
        <w:rPr>
          <w:rFonts w:cstheme="minorHAnsi"/>
          <w:b/>
          <w:i/>
          <w:lang w:val="hr-HR"/>
        </w:rPr>
      </w:pPr>
      <w:r w:rsidRPr="007E5DA9">
        <w:rPr>
          <w:rFonts w:cstheme="minorHAnsi"/>
          <w:b/>
          <w:i/>
          <w:lang w:val="hr-HR"/>
        </w:rPr>
        <w:t>Prihodi od pomoći</w:t>
      </w:r>
      <w:bookmarkEnd w:id="22"/>
      <w:bookmarkEnd w:id="23"/>
      <w:r w:rsidRPr="007E5DA9">
        <w:rPr>
          <w:rFonts w:cstheme="minorHAnsi"/>
          <w:b/>
          <w:i/>
          <w:lang w:val="hr-HR"/>
        </w:rPr>
        <w:t xml:space="preserve"> </w:t>
      </w:r>
    </w:p>
    <w:p w:rsidR="00583572" w:rsidRDefault="00583572" w:rsidP="00583572">
      <w:pPr>
        <w:spacing w:before="240"/>
        <w:jc w:val="both"/>
        <w:rPr>
          <w:rFonts w:eastAsia="Calibri" w:cstheme="minorHAnsi"/>
          <w:lang w:val="hr-HR"/>
        </w:rPr>
      </w:pPr>
      <w:r w:rsidRPr="007E5DA9">
        <w:rPr>
          <w:rFonts w:eastAsia="Calibri" w:cstheme="minorHAnsi"/>
          <w:lang w:val="hr-HR"/>
        </w:rPr>
        <w:t>Prihodi od pomoći najvećim dijelom odnose se na prihode vezane uz projekte financirane iz EU proračuna</w:t>
      </w:r>
      <w:r>
        <w:rPr>
          <w:rFonts w:eastAsia="Calibri" w:cstheme="minorHAnsi"/>
          <w:lang w:val="hr-HR"/>
        </w:rPr>
        <w:t xml:space="preserve"> odnosno iz </w:t>
      </w:r>
      <w:r w:rsidRPr="001348F2">
        <w:rPr>
          <w:rFonts w:eastAsia="Calibri" w:cstheme="minorHAnsi"/>
          <w:lang w:val="hr-HR"/>
        </w:rPr>
        <w:t>Višegodišnjeg financijskog okvira 2021. – 2027.</w:t>
      </w:r>
      <w:r>
        <w:rPr>
          <w:rFonts w:eastAsia="Calibri" w:cstheme="minorHAnsi"/>
          <w:lang w:val="hr-HR"/>
        </w:rPr>
        <w:t xml:space="preserve"> Također, uključuju i sredstva iz </w:t>
      </w:r>
      <w:r w:rsidRPr="007E5DA9">
        <w:rPr>
          <w:rFonts w:eastAsia="Calibri" w:cstheme="minorHAnsi"/>
          <w:lang w:val="hr-HR"/>
        </w:rPr>
        <w:t>instrumenta EU Nove generacije odnosno Mehanizma za oporavak i otpornost. Sukladno navedenom, ukupno planirani prihodi od pomoći u 202</w:t>
      </w:r>
      <w:r>
        <w:rPr>
          <w:rFonts w:eastAsia="Calibri" w:cstheme="minorHAnsi"/>
          <w:lang w:val="hr-HR"/>
        </w:rPr>
        <w:t>4</w:t>
      </w:r>
      <w:r w:rsidRPr="007E5DA9">
        <w:rPr>
          <w:rFonts w:eastAsia="Calibri" w:cstheme="minorHAnsi"/>
          <w:lang w:val="hr-HR"/>
        </w:rPr>
        <w:t xml:space="preserve">. iznose </w:t>
      </w:r>
      <w:r>
        <w:rPr>
          <w:rFonts w:eastAsia="Calibri" w:cstheme="minorHAnsi"/>
          <w:lang w:val="hr-HR"/>
        </w:rPr>
        <w:t>3,6 milijardi eura</w:t>
      </w:r>
      <w:r w:rsidRPr="007E5DA9">
        <w:rPr>
          <w:rFonts w:eastAsia="Calibri" w:cstheme="minorHAnsi"/>
          <w:lang w:val="hr-HR"/>
        </w:rPr>
        <w:t xml:space="preserve">, </w:t>
      </w:r>
      <w:r>
        <w:rPr>
          <w:rFonts w:eastAsia="Calibri" w:cstheme="minorHAnsi"/>
          <w:lang w:val="hr-HR"/>
        </w:rPr>
        <w:t xml:space="preserve">a u 2025. i 2026. </w:t>
      </w:r>
      <w:r w:rsidRPr="007E5DA9">
        <w:rPr>
          <w:rFonts w:eastAsia="Calibri" w:cstheme="minorHAnsi"/>
          <w:lang w:val="hr-HR"/>
        </w:rPr>
        <w:t>godini</w:t>
      </w:r>
      <w:r>
        <w:rPr>
          <w:rFonts w:eastAsia="Calibri" w:cstheme="minorHAnsi"/>
          <w:lang w:val="hr-HR"/>
        </w:rPr>
        <w:t xml:space="preserve"> 3,9 odnosno 3,3 milijardi eura. </w:t>
      </w:r>
    </w:p>
    <w:p w:rsidR="00583572" w:rsidRPr="007E5DA9" w:rsidRDefault="00583572" w:rsidP="00583572">
      <w:pPr>
        <w:spacing w:before="240" w:after="120"/>
        <w:jc w:val="both"/>
        <w:rPr>
          <w:rFonts w:cstheme="minorHAnsi"/>
          <w:b/>
          <w:i/>
          <w:lang w:val="hr-HR"/>
        </w:rPr>
      </w:pPr>
      <w:r w:rsidRPr="00D57B0B">
        <w:rPr>
          <w:rFonts w:cstheme="minorHAnsi"/>
          <w:b/>
          <w:i/>
          <w:lang w:val="hr-HR"/>
        </w:rPr>
        <w:lastRenderedPageBreak/>
        <w:t>Prihodi od imovine</w:t>
      </w:r>
    </w:p>
    <w:p w:rsidR="00583572" w:rsidRPr="007E5DA9" w:rsidRDefault="00583572" w:rsidP="00E348C9">
      <w:pPr>
        <w:spacing w:before="240" w:after="120"/>
        <w:jc w:val="both"/>
        <w:rPr>
          <w:rFonts w:eastAsia="Calibri" w:cstheme="minorHAnsi"/>
          <w:lang w:val="hr-HR"/>
        </w:rPr>
      </w:pPr>
      <w:bookmarkStart w:id="24" w:name="_Toc119810587"/>
      <w:bookmarkStart w:id="25" w:name="_Toc119828146"/>
      <w:r w:rsidRPr="007E5DA9">
        <w:rPr>
          <w:rFonts w:eastAsia="Calibri" w:cstheme="minorHAnsi"/>
          <w:lang w:val="hr-HR"/>
        </w:rPr>
        <w:t xml:space="preserve">Prihodi od imovine </w:t>
      </w:r>
      <w:r>
        <w:rPr>
          <w:rFonts w:eastAsia="Calibri" w:cstheme="minorHAnsi"/>
          <w:lang w:val="hr-HR"/>
        </w:rPr>
        <w:t xml:space="preserve">u 2024. planirani su u iznosu od 414,8 milijuna eura, a </w:t>
      </w:r>
      <w:r w:rsidR="00E348C9">
        <w:rPr>
          <w:rFonts w:eastAsia="Calibri" w:cstheme="minorHAnsi"/>
          <w:lang w:val="hr-HR"/>
        </w:rPr>
        <w:t xml:space="preserve">u </w:t>
      </w:r>
      <w:r>
        <w:rPr>
          <w:rFonts w:eastAsia="Calibri" w:cstheme="minorHAnsi"/>
          <w:lang w:val="hr-HR"/>
        </w:rPr>
        <w:t xml:space="preserve">2025. i 2026. </w:t>
      </w:r>
      <w:r w:rsidR="00E348C9">
        <w:rPr>
          <w:rFonts w:eastAsia="Calibri" w:cstheme="minorHAnsi"/>
          <w:lang w:val="hr-HR"/>
        </w:rPr>
        <w:t xml:space="preserve">godini </w:t>
      </w:r>
      <w:r>
        <w:rPr>
          <w:rFonts w:eastAsia="Calibri" w:cstheme="minorHAnsi"/>
          <w:lang w:val="hr-HR"/>
        </w:rPr>
        <w:t>u iznosu od 404,4 milijuna eura odnosno 402,1 milijuna eura. S</w:t>
      </w:r>
      <w:r w:rsidRPr="007E5DA9">
        <w:rPr>
          <w:rFonts w:eastAsia="Calibri" w:cstheme="minorHAnsi"/>
          <w:lang w:val="hr-HR"/>
        </w:rPr>
        <w:t>astoje se od prihoda od kamata</w:t>
      </w:r>
      <w:r>
        <w:rPr>
          <w:rFonts w:eastAsia="Calibri" w:cstheme="minorHAnsi"/>
          <w:lang w:val="hr-HR"/>
        </w:rPr>
        <w:t>,</w:t>
      </w:r>
      <w:r w:rsidRPr="007E5DA9">
        <w:rPr>
          <w:rFonts w:eastAsia="Calibri" w:cstheme="minorHAnsi"/>
          <w:lang w:val="hr-HR"/>
        </w:rPr>
        <w:t xml:space="preserve"> </w:t>
      </w:r>
      <w:r>
        <w:rPr>
          <w:rFonts w:eastAsia="Calibri" w:cstheme="minorHAnsi"/>
          <w:lang w:val="hr-HR"/>
        </w:rPr>
        <w:t xml:space="preserve">prihoda od </w:t>
      </w:r>
      <w:r w:rsidRPr="007E5DA9">
        <w:rPr>
          <w:rFonts w:eastAsia="Calibri" w:cstheme="minorHAnsi"/>
          <w:lang w:val="hr-HR"/>
        </w:rPr>
        <w:t xml:space="preserve">dobiti trgovačkih društava, kreditnih i ostalih financijskih </w:t>
      </w:r>
      <w:r>
        <w:rPr>
          <w:rFonts w:eastAsia="Calibri" w:cstheme="minorHAnsi"/>
          <w:lang w:val="hr-HR"/>
        </w:rPr>
        <w:t>institucija po posebnim propisima,</w:t>
      </w:r>
      <w:r w:rsidRPr="007E5DA9">
        <w:rPr>
          <w:rFonts w:eastAsia="Calibri" w:cstheme="minorHAnsi"/>
          <w:lang w:val="hr-HR"/>
        </w:rPr>
        <w:t xml:space="preserve"> </w:t>
      </w:r>
      <w:r>
        <w:rPr>
          <w:rFonts w:eastAsia="Calibri" w:cstheme="minorHAnsi"/>
          <w:lang w:val="hr-HR"/>
        </w:rPr>
        <w:t xml:space="preserve">prihoda od </w:t>
      </w:r>
      <w:r w:rsidRPr="007E5DA9">
        <w:rPr>
          <w:rFonts w:eastAsia="Calibri" w:cstheme="minorHAnsi"/>
          <w:lang w:val="hr-HR"/>
        </w:rPr>
        <w:t xml:space="preserve">dividendi, koncesija, iznajmljivanja i zakupa imovine te ostalih prihoda od imovine. </w:t>
      </w:r>
      <w:r>
        <w:rPr>
          <w:rFonts w:eastAsia="Calibri" w:cstheme="minorHAnsi"/>
          <w:lang w:val="hr-HR"/>
        </w:rPr>
        <w:t xml:space="preserve">Dijelom se </w:t>
      </w:r>
      <w:r w:rsidRPr="007E5DA9">
        <w:rPr>
          <w:rFonts w:eastAsia="Calibri" w:cstheme="minorHAnsi"/>
          <w:lang w:val="hr-HR"/>
        </w:rPr>
        <w:t>prikupljaju na redovnoj bazi, a dijelom kao jednokratni prihodi</w:t>
      </w:r>
      <w:r>
        <w:rPr>
          <w:rFonts w:eastAsia="Calibri" w:cstheme="minorHAnsi"/>
          <w:lang w:val="hr-HR"/>
        </w:rPr>
        <w:t xml:space="preserve"> državnog proračuna</w:t>
      </w:r>
      <w:r w:rsidRPr="007E5DA9">
        <w:rPr>
          <w:rFonts w:eastAsia="Calibri" w:cstheme="minorHAnsi"/>
          <w:lang w:val="hr-HR"/>
        </w:rPr>
        <w:t xml:space="preserve">. </w:t>
      </w:r>
    </w:p>
    <w:p w:rsidR="00583572" w:rsidRPr="007E5DA9" w:rsidRDefault="00583572" w:rsidP="00583572">
      <w:pPr>
        <w:spacing w:before="240" w:after="120"/>
        <w:jc w:val="both"/>
        <w:rPr>
          <w:rFonts w:cstheme="minorHAnsi"/>
          <w:b/>
          <w:i/>
          <w:lang w:val="hr-HR"/>
        </w:rPr>
      </w:pPr>
      <w:r w:rsidRPr="007E5DA9">
        <w:rPr>
          <w:rFonts w:cstheme="minorHAnsi"/>
          <w:b/>
          <w:i/>
          <w:lang w:val="hr-HR"/>
        </w:rPr>
        <w:t>Prihodi od upravnih i administrativnih pristojbi, pristojbi po p</w:t>
      </w:r>
      <w:r>
        <w:rPr>
          <w:rFonts w:cstheme="minorHAnsi"/>
          <w:b/>
          <w:i/>
          <w:lang w:val="hr-HR"/>
        </w:rPr>
        <w:t>osebnim propisima i naknada</w:t>
      </w:r>
    </w:p>
    <w:bookmarkEnd w:id="24"/>
    <w:bookmarkEnd w:id="25"/>
    <w:p w:rsidR="00583572" w:rsidRPr="007E5DA9" w:rsidRDefault="00583572" w:rsidP="00583572">
      <w:pPr>
        <w:spacing w:before="240" w:after="120"/>
        <w:jc w:val="both"/>
        <w:rPr>
          <w:rFonts w:eastAsia="Calibri" w:cstheme="minorHAnsi"/>
          <w:lang w:val="hr-HR"/>
        </w:rPr>
      </w:pPr>
      <w:r w:rsidRPr="007E5DA9">
        <w:rPr>
          <w:rFonts w:eastAsia="Calibri" w:cstheme="minorHAnsi"/>
          <w:lang w:val="hr-HR"/>
        </w:rPr>
        <w:t>Prihodi po osnovi upravnih i a</w:t>
      </w:r>
      <w:r>
        <w:rPr>
          <w:rFonts w:eastAsia="Calibri" w:cstheme="minorHAnsi"/>
          <w:lang w:val="hr-HR"/>
        </w:rPr>
        <w:t>dministrativnih pristojbi u 2024</w:t>
      </w:r>
      <w:r w:rsidRPr="007E5DA9">
        <w:rPr>
          <w:rFonts w:eastAsia="Calibri" w:cstheme="minorHAnsi"/>
          <w:lang w:val="hr-HR"/>
        </w:rPr>
        <w:t xml:space="preserve">. planirani su u iznosu od </w:t>
      </w:r>
      <w:r w:rsidR="00E348C9">
        <w:rPr>
          <w:rFonts w:eastAsia="Calibri" w:cstheme="minorHAnsi"/>
          <w:lang w:val="hr-HR"/>
        </w:rPr>
        <w:t>709,1 milijun</w:t>
      </w:r>
      <w:r>
        <w:rPr>
          <w:rFonts w:eastAsia="Calibri" w:cstheme="minorHAnsi"/>
          <w:lang w:val="hr-HR"/>
        </w:rPr>
        <w:t xml:space="preserve"> </w:t>
      </w:r>
      <w:r w:rsidRPr="00281119">
        <w:rPr>
          <w:rFonts w:eastAsia="Calibri" w:cstheme="minorHAnsi"/>
          <w:lang w:val="hr-HR"/>
        </w:rPr>
        <w:t xml:space="preserve">eura, dok projekcije za 2025. iznose 721,3 milijuna eura, a za </w:t>
      </w:r>
      <w:r w:rsidR="00E348C9">
        <w:rPr>
          <w:rFonts w:eastAsia="Calibri" w:cstheme="minorHAnsi"/>
          <w:lang w:val="hr-HR"/>
        </w:rPr>
        <w:t>2026. godinu 735,1 milijun</w:t>
      </w:r>
      <w:r w:rsidRPr="00281119">
        <w:rPr>
          <w:rFonts w:eastAsia="Calibri" w:cstheme="minorHAnsi"/>
          <w:lang w:val="hr-HR"/>
        </w:rPr>
        <w:t xml:space="preserve"> eura. Istodobno, prihodi po posebnim propisima, koji su u najvećoj mjeri namjenski prihodi proračunskih korisnika, bilježit će razinu od 569,2 milijuna eura u 2024., 577,4 milijuna eura u 2025. te 585 milijuna eura u 2026. godini.</w:t>
      </w:r>
    </w:p>
    <w:p w:rsidR="00583572" w:rsidRPr="007E5DA9" w:rsidRDefault="00583572" w:rsidP="00583572">
      <w:pPr>
        <w:spacing w:before="240" w:after="120"/>
        <w:jc w:val="both"/>
        <w:rPr>
          <w:rFonts w:cstheme="minorHAnsi"/>
          <w:b/>
          <w:i/>
          <w:lang w:val="hr-HR"/>
        </w:rPr>
      </w:pPr>
      <w:bookmarkStart w:id="26" w:name="_Toc119828148"/>
      <w:r w:rsidRPr="007E5DA9">
        <w:rPr>
          <w:rFonts w:cstheme="minorHAnsi"/>
          <w:b/>
          <w:i/>
          <w:lang w:val="hr-HR"/>
        </w:rPr>
        <w:t>Prihodi od prodaje proizvoda i roba te pruženih usluga i prihodi od donacija</w:t>
      </w:r>
    </w:p>
    <w:p w:rsidR="00583572" w:rsidRPr="007E5DA9" w:rsidRDefault="00583572" w:rsidP="00583572">
      <w:pPr>
        <w:spacing w:before="240" w:after="120"/>
        <w:jc w:val="both"/>
        <w:rPr>
          <w:rFonts w:eastAsia="Calibri" w:cstheme="minorHAnsi"/>
          <w:lang w:val="hr-HR"/>
        </w:rPr>
      </w:pPr>
      <w:r w:rsidRPr="007E5DA9">
        <w:rPr>
          <w:rFonts w:eastAsia="Calibri" w:cstheme="minorHAnsi"/>
          <w:lang w:val="hr-HR"/>
        </w:rPr>
        <w:t>Prihode od prodaje proizvoda i roba te pruženih usluga, koji su u cijelosti namjenski prihodi, kao i prihode od donacija plani</w:t>
      </w:r>
      <w:r>
        <w:rPr>
          <w:rFonts w:eastAsia="Calibri" w:cstheme="minorHAnsi"/>
          <w:lang w:val="hr-HR"/>
        </w:rPr>
        <w:t>raju proračunski korisnici. Za</w:t>
      </w:r>
      <w:r w:rsidRPr="007E5DA9">
        <w:rPr>
          <w:rFonts w:eastAsia="Calibri" w:cstheme="minorHAnsi"/>
          <w:lang w:val="hr-HR"/>
        </w:rPr>
        <w:t xml:space="preserve"> 202</w:t>
      </w:r>
      <w:r>
        <w:rPr>
          <w:rFonts w:eastAsia="Calibri" w:cstheme="minorHAnsi"/>
          <w:lang w:val="hr-HR"/>
        </w:rPr>
        <w:t>4</w:t>
      </w:r>
      <w:r w:rsidRPr="007E5DA9">
        <w:rPr>
          <w:rFonts w:eastAsia="Calibri" w:cstheme="minorHAnsi"/>
          <w:lang w:val="hr-HR"/>
        </w:rPr>
        <w:t xml:space="preserve">. godinu planirani su u iznosu od </w:t>
      </w:r>
      <w:r>
        <w:rPr>
          <w:rFonts w:eastAsia="Calibri" w:cstheme="minorHAnsi"/>
          <w:lang w:val="hr-HR"/>
        </w:rPr>
        <w:t xml:space="preserve">224,1 milijun eura, a u </w:t>
      </w:r>
      <w:r w:rsidRPr="007E5DA9">
        <w:rPr>
          <w:rFonts w:eastAsia="Calibri" w:cstheme="minorHAnsi"/>
          <w:lang w:val="hr-HR"/>
        </w:rPr>
        <w:t>202</w:t>
      </w:r>
      <w:r>
        <w:rPr>
          <w:rFonts w:eastAsia="Calibri" w:cstheme="minorHAnsi"/>
          <w:lang w:val="hr-HR"/>
        </w:rPr>
        <w:t>5</w:t>
      </w:r>
      <w:r w:rsidRPr="007E5DA9">
        <w:rPr>
          <w:rFonts w:eastAsia="Calibri" w:cstheme="minorHAnsi"/>
          <w:lang w:val="hr-HR"/>
        </w:rPr>
        <w:t>. i 202</w:t>
      </w:r>
      <w:r>
        <w:rPr>
          <w:rFonts w:eastAsia="Calibri" w:cstheme="minorHAnsi"/>
          <w:lang w:val="hr-HR"/>
        </w:rPr>
        <w:t>6</w:t>
      </w:r>
      <w:r w:rsidRPr="007E5DA9">
        <w:rPr>
          <w:rFonts w:eastAsia="Calibri" w:cstheme="minorHAnsi"/>
          <w:lang w:val="hr-HR"/>
        </w:rPr>
        <w:t>. godin</w:t>
      </w:r>
      <w:r w:rsidR="00E348C9">
        <w:rPr>
          <w:rFonts w:eastAsia="Calibri" w:cstheme="minorHAnsi"/>
          <w:lang w:val="hr-HR"/>
        </w:rPr>
        <w:t>i</w:t>
      </w:r>
      <w:r w:rsidRPr="007E5DA9">
        <w:rPr>
          <w:rFonts w:eastAsia="Calibri" w:cstheme="minorHAnsi"/>
          <w:lang w:val="hr-HR"/>
        </w:rPr>
        <w:t xml:space="preserve"> </w:t>
      </w:r>
      <w:r>
        <w:rPr>
          <w:rFonts w:eastAsia="Calibri" w:cstheme="minorHAnsi"/>
          <w:lang w:val="hr-HR"/>
        </w:rPr>
        <w:t>projicirani su na razini od 225,3, odnosno 231,2 milijuna eura</w:t>
      </w:r>
      <w:r w:rsidRPr="007E5DA9">
        <w:rPr>
          <w:rFonts w:eastAsia="Calibri" w:cstheme="minorHAnsi"/>
          <w:lang w:val="hr-HR"/>
        </w:rPr>
        <w:t>.</w:t>
      </w:r>
    </w:p>
    <w:p w:rsidR="00583572" w:rsidRPr="007E5DA9" w:rsidRDefault="00583572" w:rsidP="00583572">
      <w:pPr>
        <w:spacing w:before="240" w:after="120"/>
        <w:jc w:val="both"/>
        <w:rPr>
          <w:rFonts w:cstheme="minorHAnsi"/>
          <w:b/>
          <w:i/>
          <w:lang w:val="hr-HR"/>
        </w:rPr>
      </w:pPr>
      <w:r w:rsidRPr="007E5DA9">
        <w:rPr>
          <w:rFonts w:cstheme="minorHAnsi"/>
          <w:b/>
          <w:i/>
          <w:lang w:val="hr-HR"/>
        </w:rPr>
        <w:t>Prihodi iz nadležnog proračuna i od HZZO-a temeljem ugovornih obveza</w:t>
      </w:r>
    </w:p>
    <w:p w:rsidR="00583572" w:rsidRPr="007E5DA9" w:rsidRDefault="00583572" w:rsidP="00583572">
      <w:pPr>
        <w:spacing w:before="240"/>
        <w:jc w:val="both"/>
        <w:rPr>
          <w:rFonts w:eastAsia="Calibri" w:cstheme="minorHAnsi"/>
          <w:lang w:val="hr-HR"/>
        </w:rPr>
      </w:pPr>
      <w:r w:rsidRPr="00C03169">
        <w:rPr>
          <w:rFonts w:eastAsia="Calibri" w:cstheme="minorHAnsi"/>
          <w:lang w:val="hr-HR"/>
        </w:rPr>
        <w:t xml:space="preserve">Prihodi iz nadležnog proračuna i od Hrvatskog zavoda za zdravstveno osiguranje temeljem ugovornih obveza odnose se na ustanove u zdravstvu u državnom vlasništvu, koji će se u razdoblju 2024. -2026. kretati na </w:t>
      </w:r>
      <w:r w:rsidR="001700DD">
        <w:rPr>
          <w:rFonts w:eastAsia="Calibri" w:cstheme="minorHAnsi"/>
          <w:lang w:val="hr-HR"/>
        </w:rPr>
        <w:t xml:space="preserve">prosječnoj </w:t>
      </w:r>
      <w:r w:rsidRPr="00C03169">
        <w:rPr>
          <w:rFonts w:eastAsia="Calibri" w:cstheme="minorHAnsi"/>
          <w:lang w:val="hr-HR"/>
        </w:rPr>
        <w:t>razini od 2,9 milijardi eura.</w:t>
      </w:r>
      <w:r w:rsidR="008E3B41">
        <w:rPr>
          <w:rFonts w:eastAsia="Calibri" w:cstheme="minorHAnsi"/>
          <w:lang w:val="hr-HR"/>
        </w:rPr>
        <w:t xml:space="preserve"> Pritom valja istaknuti kako planirani iznosi odražavaju i prihode općih županijskih bolnica za koje se od 1. siječnja </w:t>
      </w:r>
      <w:r w:rsidR="00CA7F88">
        <w:rPr>
          <w:rFonts w:eastAsia="Calibri" w:cstheme="minorHAnsi"/>
          <w:lang w:val="hr-HR"/>
        </w:rPr>
        <w:t xml:space="preserve">2024. </w:t>
      </w:r>
      <w:r w:rsidR="008E3B41">
        <w:rPr>
          <w:rFonts w:eastAsia="Calibri" w:cstheme="minorHAnsi"/>
          <w:lang w:val="hr-HR"/>
        </w:rPr>
        <w:t xml:space="preserve">osnivačka prava prenose </w:t>
      </w:r>
      <w:r w:rsidR="0049466E">
        <w:rPr>
          <w:rFonts w:eastAsia="Calibri" w:cstheme="minorHAnsi"/>
          <w:lang w:val="hr-HR"/>
        </w:rPr>
        <w:t xml:space="preserve">na državu </w:t>
      </w:r>
      <w:r w:rsidR="008E3B41">
        <w:rPr>
          <w:rFonts w:eastAsia="Calibri" w:cstheme="minorHAnsi"/>
          <w:lang w:val="hr-HR"/>
        </w:rPr>
        <w:t>sa županija i grada Zagreba.</w:t>
      </w:r>
    </w:p>
    <w:bookmarkEnd w:id="26"/>
    <w:p w:rsidR="00583572" w:rsidRPr="007E5DA9" w:rsidRDefault="00583572" w:rsidP="00583572">
      <w:pPr>
        <w:spacing w:before="240" w:after="120"/>
        <w:jc w:val="both"/>
        <w:rPr>
          <w:rFonts w:cstheme="minorHAnsi"/>
          <w:b/>
          <w:i/>
          <w:lang w:val="hr-HR"/>
        </w:rPr>
      </w:pPr>
      <w:r w:rsidRPr="007E5DA9">
        <w:rPr>
          <w:rFonts w:cstheme="minorHAnsi"/>
          <w:b/>
          <w:i/>
          <w:lang w:val="hr-HR"/>
        </w:rPr>
        <w:t>Kazne, upravne mjere i ostali prihodi</w:t>
      </w:r>
    </w:p>
    <w:p w:rsidR="00583572" w:rsidRPr="007E5DA9" w:rsidRDefault="00583572" w:rsidP="00583572">
      <w:pPr>
        <w:spacing w:before="240" w:after="120"/>
        <w:jc w:val="both"/>
        <w:rPr>
          <w:rFonts w:eastAsia="Calibri" w:cstheme="minorHAnsi"/>
          <w:lang w:val="hr-HR"/>
        </w:rPr>
      </w:pPr>
      <w:r w:rsidRPr="00056595">
        <w:rPr>
          <w:rFonts w:eastAsia="Calibri" w:cstheme="minorHAnsi"/>
          <w:lang w:val="hr-HR"/>
        </w:rPr>
        <w:t>Prihodi od kazni i upravnih mjera najvećim se dijelom ostvaruju po osnovi kazni za prometne, porezne i carinske prekršaje, a u nešto manjoj mjeri od raznih ostalih kazni. Očekuje se da će prihodi od kazni i upravnih mjera slijediti trendove dosadašnjih kretanja i u narednom razdoblju te su za 2024. planirani u iznosu od 121,7 milijuna eura, dok projekcije za 2025. iznose 125,9 milijuna eura, a za 2026. godinu 130,5 milijuna eura.</w:t>
      </w:r>
      <w:r w:rsidRPr="007E5DA9">
        <w:rPr>
          <w:rFonts w:eastAsia="Calibri" w:cstheme="minorHAnsi"/>
          <w:lang w:val="hr-HR"/>
        </w:rPr>
        <w:t xml:space="preserve"> </w:t>
      </w:r>
    </w:p>
    <w:p w:rsidR="00583572" w:rsidRPr="007E5DA9" w:rsidRDefault="00583572" w:rsidP="00583572">
      <w:pPr>
        <w:tabs>
          <w:tab w:val="left" w:pos="7560"/>
        </w:tabs>
        <w:spacing w:before="240" w:after="120"/>
        <w:jc w:val="both"/>
        <w:rPr>
          <w:rFonts w:cstheme="minorHAnsi"/>
          <w:b/>
          <w:lang w:val="hr-HR"/>
        </w:rPr>
      </w:pPr>
      <w:r w:rsidRPr="007E5DA9">
        <w:rPr>
          <w:rFonts w:cstheme="minorHAnsi"/>
          <w:b/>
          <w:lang w:val="hr-HR"/>
        </w:rPr>
        <w:t>Prihodi od prodaje nefinancijske imovine</w:t>
      </w:r>
    </w:p>
    <w:bookmarkEnd w:id="10"/>
    <w:bookmarkEnd w:id="11"/>
    <w:p w:rsidR="00583572" w:rsidRDefault="00583572" w:rsidP="008A4124">
      <w:pPr>
        <w:spacing w:before="240" w:after="120"/>
        <w:jc w:val="both"/>
        <w:rPr>
          <w:rFonts w:eastAsia="Calibri" w:cstheme="minorHAnsi"/>
          <w:lang w:val="hr-HR"/>
        </w:rPr>
      </w:pPr>
      <w:r w:rsidRPr="007E5DA9">
        <w:rPr>
          <w:rFonts w:eastAsia="Calibri" w:cstheme="minorHAnsi"/>
          <w:lang w:val="hr-HR"/>
        </w:rPr>
        <w:t xml:space="preserve">Prihodi </w:t>
      </w:r>
      <w:r w:rsidRPr="00C35CFD">
        <w:rPr>
          <w:rFonts w:eastAsia="Calibri" w:cstheme="minorHAnsi"/>
          <w:lang w:val="hr-HR"/>
        </w:rPr>
        <w:t>od prodaje nefinancijske imovine u 2024. godini planiraju se u iznosu od 87,1 milijuna eura, a najveći dio ovih prihoda ostvarit će se prodajom zemljišta, stanova i ostalih građevinskih objekata, kao i prihodima od prodaje zaliha odnosno nafte i naftnih derivata radi zanavljanja zaliha. U naredne dvije godine ovi prihodi se projiciraju u iznosu od 87,4 milijuna eura i 87,8</w:t>
      </w:r>
      <w:r>
        <w:rPr>
          <w:rFonts w:eastAsia="Calibri" w:cstheme="minorHAnsi"/>
          <w:lang w:val="hr-HR"/>
        </w:rPr>
        <w:t xml:space="preserve"> </w:t>
      </w:r>
      <w:r w:rsidRPr="00C35CFD">
        <w:rPr>
          <w:rFonts w:eastAsia="Calibri" w:cstheme="minorHAnsi"/>
          <w:lang w:val="hr-HR"/>
        </w:rPr>
        <w:t>milijuna eura.</w:t>
      </w:r>
    </w:p>
    <w:p w:rsidR="00583572" w:rsidRDefault="00583572" w:rsidP="008A4124">
      <w:pPr>
        <w:spacing w:before="240" w:after="120"/>
        <w:jc w:val="both"/>
        <w:rPr>
          <w:rFonts w:cstheme="minorHAnsi"/>
          <w:i/>
          <w:lang w:val="hr-HR"/>
        </w:rPr>
      </w:pPr>
    </w:p>
    <w:p w:rsidR="007820AE" w:rsidRDefault="007820AE" w:rsidP="008A4124">
      <w:pPr>
        <w:spacing w:before="240" w:after="120"/>
        <w:jc w:val="both"/>
        <w:rPr>
          <w:rFonts w:cstheme="minorHAnsi"/>
          <w:i/>
          <w:lang w:val="hr-HR"/>
        </w:rPr>
      </w:pPr>
    </w:p>
    <w:p w:rsidR="00583572" w:rsidRDefault="001F3879" w:rsidP="00C526F6">
      <w:pPr>
        <w:spacing w:before="240" w:after="120"/>
        <w:contextualSpacing/>
        <w:jc w:val="both"/>
        <w:rPr>
          <w:noProof/>
          <w:lang w:val="hr-HR" w:eastAsia="hr-HR"/>
        </w:rPr>
      </w:pPr>
      <w:r w:rsidRPr="006B0F2A">
        <w:rPr>
          <w:rFonts w:cstheme="minorHAnsi"/>
          <w:i/>
          <w:lang w:val="hr-HR"/>
        </w:rPr>
        <w:lastRenderedPageBreak/>
        <w:t xml:space="preserve">Tablica </w:t>
      </w:r>
      <w:r w:rsidRPr="006B0F2A">
        <w:rPr>
          <w:rFonts w:cstheme="minorHAnsi"/>
          <w:i/>
          <w:lang w:val="hr-HR"/>
        </w:rPr>
        <w:fldChar w:fldCharType="begin"/>
      </w:r>
      <w:r w:rsidRPr="006B0F2A">
        <w:rPr>
          <w:rFonts w:cstheme="minorHAnsi"/>
          <w:i/>
          <w:lang w:val="hr-HR"/>
        </w:rPr>
        <w:instrText xml:space="preserve"> SEQ Tablica \* ARABIC </w:instrText>
      </w:r>
      <w:r w:rsidRPr="006B0F2A">
        <w:rPr>
          <w:rFonts w:cstheme="minorHAnsi"/>
          <w:i/>
          <w:lang w:val="hr-HR"/>
        </w:rPr>
        <w:fldChar w:fldCharType="separate"/>
      </w:r>
      <w:r w:rsidR="006A0A56">
        <w:rPr>
          <w:rFonts w:cstheme="minorHAnsi"/>
          <w:i/>
          <w:noProof/>
          <w:lang w:val="hr-HR"/>
        </w:rPr>
        <w:t>5</w:t>
      </w:r>
      <w:r w:rsidRPr="006B0F2A">
        <w:rPr>
          <w:rFonts w:cstheme="minorHAnsi"/>
          <w:i/>
          <w:lang w:val="hr-HR"/>
        </w:rPr>
        <w:fldChar w:fldCharType="end"/>
      </w:r>
      <w:r w:rsidRPr="006B0F2A">
        <w:rPr>
          <w:rFonts w:cstheme="minorHAnsi"/>
          <w:i/>
          <w:lang w:val="hr-HR"/>
        </w:rPr>
        <w:t>: Prihodi državnog proračuna za razdoblje 20</w:t>
      </w:r>
      <w:r w:rsidR="00EE36D9" w:rsidRPr="006B0F2A">
        <w:rPr>
          <w:rFonts w:cstheme="minorHAnsi"/>
          <w:i/>
          <w:lang w:val="hr-HR"/>
        </w:rPr>
        <w:t>2</w:t>
      </w:r>
      <w:r w:rsidR="00583572">
        <w:rPr>
          <w:rFonts w:cstheme="minorHAnsi"/>
          <w:i/>
          <w:lang w:val="hr-HR"/>
        </w:rPr>
        <w:t>2</w:t>
      </w:r>
      <w:r w:rsidR="00E22265" w:rsidRPr="006B0F2A">
        <w:rPr>
          <w:rFonts w:cstheme="minorHAnsi"/>
          <w:i/>
          <w:lang w:val="hr-HR"/>
        </w:rPr>
        <w:t>. - 202</w:t>
      </w:r>
      <w:r w:rsidR="00583572">
        <w:rPr>
          <w:rFonts w:cstheme="minorHAnsi"/>
          <w:i/>
          <w:lang w:val="hr-HR"/>
        </w:rPr>
        <w:t>6</w:t>
      </w:r>
      <w:r w:rsidRPr="006B0F2A">
        <w:rPr>
          <w:rFonts w:cstheme="minorHAnsi"/>
          <w:i/>
          <w:lang w:val="hr-HR"/>
        </w:rPr>
        <w:t>.</w:t>
      </w:r>
      <w:bookmarkEnd w:id="9"/>
      <w:r w:rsidR="008A4124">
        <w:rPr>
          <w:rFonts w:cstheme="minorHAnsi"/>
          <w:i/>
          <w:lang w:val="hr-HR"/>
        </w:rPr>
        <w:tab/>
      </w:r>
    </w:p>
    <w:p w:rsidR="0037667D" w:rsidRPr="00583572" w:rsidRDefault="007E2A5D" w:rsidP="008A4124">
      <w:pPr>
        <w:spacing w:before="240" w:after="120"/>
        <w:jc w:val="both"/>
        <w:rPr>
          <w:rFonts w:eastAsia="Calibri" w:cstheme="minorHAnsi"/>
          <w:lang w:val="hr-HR"/>
        </w:rPr>
      </w:pPr>
      <w:r w:rsidRPr="007E2A5D">
        <w:rPr>
          <w:noProof/>
          <w:lang w:val="hr-HR" w:eastAsia="hr-HR"/>
        </w:rPr>
        <w:drawing>
          <wp:inline distT="0" distB="0" distL="0" distR="0">
            <wp:extent cx="5982632" cy="2889250"/>
            <wp:effectExtent l="0" t="0" r="0" b="635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85620" cy="2890693"/>
                    </a:xfrm>
                    <a:prstGeom prst="rect">
                      <a:avLst/>
                    </a:prstGeom>
                    <a:noFill/>
                    <a:ln>
                      <a:noFill/>
                    </a:ln>
                  </pic:spPr>
                </pic:pic>
              </a:graphicData>
            </a:graphic>
          </wp:inline>
        </w:drawing>
      </w:r>
      <w:r w:rsidR="008A4124">
        <w:rPr>
          <w:rFonts w:cstheme="minorHAnsi"/>
          <w:i/>
          <w:lang w:val="hr-HR"/>
        </w:rPr>
        <w:br/>
      </w:r>
      <w:r w:rsidR="001F3879" w:rsidRPr="006B0F2A">
        <w:rPr>
          <w:i/>
          <w:sz w:val="20"/>
          <w:lang w:val="hr-HR"/>
        </w:rPr>
        <w:t>Izvor: Ministarstvo financija</w:t>
      </w:r>
    </w:p>
    <w:p w:rsidR="003B7547" w:rsidRDefault="003B7547"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Default="00583572" w:rsidP="00695821">
      <w:pPr>
        <w:rPr>
          <w:lang w:val="hr-HR"/>
        </w:rPr>
      </w:pPr>
    </w:p>
    <w:p w:rsidR="00583572" w:rsidRPr="006B0F2A" w:rsidRDefault="00583572" w:rsidP="00695821">
      <w:pPr>
        <w:rPr>
          <w:lang w:val="hr-HR"/>
        </w:rPr>
      </w:pPr>
    </w:p>
    <w:p w:rsidR="00695821" w:rsidRPr="006B0F2A" w:rsidRDefault="00695821" w:rsidP="0029489C">
      <w:pPr>
        <w:pStyle w:val="Heading1"/>
        <w:numPr>
          <w:ilvl w:val="0"/>
          <w:numId w:val="17"/>
        </w:numPr>
        <w:rPr>
          <w:lang w:val="hr-HR"/>
        </w:rPr>
      </w:pPr>
      <w:bookmarkStart w:id="27" w:name="_Toc150380899"/>
      <w:r w:rsidRPr="006B0F2A">
        <w:rPr>
          <w:lang w:val="hr-HR"/>
        </w:rPr>
        <w:lastRenderedPageBreak/>
        <w:t>RASHODI DRŽAVNOG PRORAČUNA</w:t>
      </w:r>
      <w:bookmarkEnd w:id="27"/>
      <w:r w:rsidRPr="006B0F2A">
        <w:rPr>
          <w:lang w:val="hr-HR"/>
        </w:rPr>
        <w:t xml:space="preserve"> </w:t>
      </w:r>
    </w:p>
    <w:p w:rsidR="00181D76" w:rsidRPr="006B0F2A" w:rsidRDefault="00181D76" w:rsidP="00181D76">
      <w:pPr>
        <w:rPr>
          <w:lang w:val="hr-HR"/>
        </w:rPr>
      </w:pPr>
    </w:p>
    <w:p w:rsidR="003E7003" w:rsidRDefault="003E7003" w:rsidP="003E7003">
      <w:pPr>
        <w:spacing w:after="0"/>
        <w:jc w:val="both"/>
        <w:rPr>
          <w:rFonts w:cstheme="minorHAnsi"/>
          <w:lang w:val="hr-HR"/>
        </w:rPr>
      </w:pPr>
      <w:r w:rsidRPr="00C42999">
        <w:rPr>
          <w:rFonts w:cstheme="minorHAnsi"/>
          <w:lang w:val="hr-HR"/>
        </w:rPr>
        <w:t>U 2024. godini ukupni rashodi državnog proračuna planirani su u iznosu od 32,6 milijardi eura, što je 11,2% ili 3,3 milijarde eura više u odnosu na tekući plan za 2023. godinu. U 2025. godini ukupni rashodi planirani su na razini od 33,3 milijarde eura, a u 2026. projiciraju se na razinu od 32,9 milijardi eura.</w:t>
      </w:r>
    </w:p>
    <w:p w:rsidR="003E7003" w:rsidRPr="00C42999" w:rsidRDefault="003E7003" w:rsidP="003E7003">
      <w:pPr>
        <w:spacing w:after="0"/>
        <w:jc w:val="both"/>
        <w:rPr>
          <w:rFonts w:cstheme="minorHAnsi"/>
          <w:lang w:val="hr-HR"/>
        </w:rPr>
      </w:pPr>
    </w:p>
    <w:p w:rsidR="00BC27DE" w:rsidRPr="003E7003" w:rsidRDefault="00BC27DE" w:rsidP="00223521">
      <w:pPr>
        <w:spacing w:after="0" w:line="240" w:lineRule="auto"/>
        <w:jc w:val="both"/>
        <w:rPr>
          <w:i/>
          <w:lang w:val="hr-HR"/>
        </w:rPr>
      </w:pPr>
      <w:r w:rsidRPr="003E7003">
        <w:rPr>
          <w:i/>
          <w:lang w:val="hr-HR"/>
        </w:rPr>
        <w:t xml:space="preserve">Tablica </w:t>
      </w:r>
      <w:r w:rsidRPr="003E7003">
        <w:rPr>
          <w:i/>
          <w:lang w:val="hr-HR"/>
        </w:rPr>
        <w:fldChar w:fldCharType="begin"/>
      </w:r>
      <w:r w:rsidRPr="003E7003">
        <w:rPr>
          <w:i/>
          <w:lang w:val="hr-HR"/>
        </w:rPr>
        <w:instrText xml:space="preserve"> SEQ Tablica \* ARABIC </w:instrText>
      </w:r>
      <w:r w:rsidRPr="003E7003">
        <w:rPr>
          <w:i/>
          <w:lang w:val="hr-HR"/>
        </w:rPr>
        <w:fldChar w:fldCharType="separate"/>
      </w:r>
      <w:r w:rsidR="006A0A56">
        <w:rPr>
          <w:i/>
          <w:noProof/>
          <w:lang w:val="hr-HR"/>
        </w:rPr>
        <w:t>6</w:t>
      </w:r>
      <w:r w:rsidRPr="003E7003">
        <w:rPr>
          <w:i/>
          <w:lang w:val="hr-HR"/>
        </w:rPr>
        <w:fldChar w:fldCharType="end"/>
      </w:r>
      <w:r w:rsidRPr="003E7003">
        <w:rPr>
          <w:i/>
          <w:lang w:val="hr-HR"/>
        </w:rPr>
        <w:t>: Kretanje ukupnih rashoda državnog proračuna u razdoblju 20</w:t>
      </w:r>
      <w:r w:rsidR="00EE36D9" w:rsidRPr="003E7003">
        <w:rPr>
          <w:i/>
          <w:lang w:val="hr-HR"/>
        </w:rPr>
        <w:t>2</w:t>
      </w:r>
      <w:r w:rsidR="003E7003" w:rsidRPr="003E7003">
        <w:rPr>
          <w:i/>
          <w:lang w:val="hr-HR"/>
        </w:rPr>
        <w:t>2</w:t>
      </w:r>
      <w:r w:rsidRPr="003E7003">
        <w:rPr>
          <w:i/>
          <w:lang w:val="hr-HR"/>
        </w:rPr>
        <w:t>. - 202</w:t>
      </w:r>
      <w:r w:rsidR="003E7003" w:rsidRPr="003E7003">
        <w:rPr>
          <w:i/>
          <w:lang w:val="hr-HR"/>
        </w:rPr>
        <w:t>6</w:t>
      </w:r>
      <w:r w:rsidRPr="003E7003">
        <w:rPr>
          <w:i/>
          <w:lang w:val="hr-HR"/>
        </w:rPr>
        <w:t>.</w:t>
      </w:r>
    </w:p>
    <w:p w:rsidR="00223521" w:rsidRPr="003E7003" w:rsidRDefault="003E7003" w:rsidP="00223521">
      <w:pPr>
        <w:spacing w:after="0" w:line="240" w:lineRule="auto"/>
        <w:jc w:val="both"/>
        <w:rPr>
          <w:i/>
          <w:lang w:val="hr-HR"/>
        </w:rPr>
      </w:pPr>
      <w:r w:rsidRPr="003E7003">
        <w:rPr>
          <w:rFonts w:cstheme="minorHAnsi"/>
          <w:noProof/>
          <w:lang w:val="hr-HR" w:eastAsia="hr-HR"/>
        </w:rPr>
        <w:drawing>
          <wp:inline distT="0" distB="0" distL="0" distR="0" wp14:anchorId="2162B549" wp14:editId="62D183DD">
            <wp:extent cx="5760720" cy="2036445"/>
            <wp:effectExtent l="0" t="0" r="0" b="1905"/>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2036445"/>
                    </a:xfrm>
                    <a:prstGeom prst="rect">
                      <a:avLst/>
                    </a:prstGeom>
                    <a:noFill/>
                    <a:ln>
                      <a:noFill/>
                    </a:ln>
                  </pic:spPr>
                </pic:pic>
              </a:graphicData>
            </a:graphic>
          </wp:inline>
        </w:drawing>
      </w:r>
    </w:p>
    <w:p w:rsidR="00BC27DE" w:rsidRDefault="00BC27DE" w:rsidP="00223521">
      <w:pPr>
        <w:spacing w:after="0" w:line="240" w:lineRule="auto"/>
        <w:jc w:val="both"/>
        <w:rPr>
          <w:i/>
          <w:sz w:val="20"/>
          <w:lang w:val="hr-HR"/>
        </w:rPr>
      </w:pPr>
      <w:r w:rsidRPr="003E7003">
        <w:rPr>
          <w:i/>
          <w:sz w:val="20"/>
          <w:lang w:val="hr-HR"/>
        </w:rPr>
        <w:t>Izvor: Ministarstvo financija</w:t>
      </w:r>
    </w:p>
    <w:p w:rsidR="003E7003" w:rsidRDefault="003E7003" w:rsidP="00223521">
      <w:pPr>
        <w:spacing w:after="0" w:line="240" w:lineRule="auto"/>
        <w:jc w:val="both"/>
        <w:rPr>
          <w:i/>
          <w:sz w:val="20"/>
          <w:lang w:val="hr-HR"/>
        </w:rPr>
      </w:pPr>
    </w:p>
    <w:p w:rsidR="003E7003" w:rsidRPr="00C42999" w:rsidRDefault="003E7003" w:rsidP="003E7003">
      <w:pPr>
        <w:shd w:val="clear" w:color="auto" w:fill="FFFFFF"/>
        <w:spacing w:after="0"/>
        <w:jc w:val="both"/>
        <w:rPr>
          <w:rFonts w:cstheme="minorHAnsi"/>
          <w:lang w:val="hr-HR"/>
        </w:rPr>
      </w:pPr>
      <w:r w:rsidRPr="00C42999">
        <w:rPr>
          <w:rFonts w:cstheme="minorHAnsi"/>
          <w:lang w:val="hr-HR"/>
        </w:rPr>
        <w:t xml:space="preserve">Ovaj proračun odražava politike Vlade usmjerene na daljnji rast kvalitete socijalne skrbi, održivost mirovinskog sustava i potporu najugroženijima. Osim toga, proračun odražava i nastavak reforme obrazovanja i zdravstva te obnove od potresa, nastavak provedbe demografskih mjera kao i jačanja obrambenih sposobnosti i sigurnosti. Daljnji napori ulažu se i u financiranje javnih investicija, posebno u području zelene i digitalne tranzicije, kao i energetske sigurnosti. </w:t>
      </w:r>
    </w:p>
    <w:p w:rsidR="003E7003" w:rsidRPr="00C42999" w:rsidRDefault="003E7003" w:rsidP="003E7003">
      <w:pPr>
        <w:shd w:val="clear" w:color="auto" w:fill="FFFFFF"/>
        <w:spacing w:after="0"/>
        <w:jc w:val="both"/>
        <w:rPr>
          <w:rFonts w:cstheme="minorHAnsi"/>
          <w:highlight w:val="yellow"/>
          <w:lang w:val="hr-HR"/>
        </w:rPr>
      </w:pPr>
    </w:p>
    <w:p w:rsidR="003E7003" w:rsidRPr="00C42999" w:rsidRDefault="003E7003" w:rsidP="003E7003">
      <w:pPr>
        <w:spacing w:after="0"/>
        <w:jc w:val="both"/>
        <w:rPr>
          <w:rFonts w:cstheme="minorHAnsi"/>
          <w:lang w:val="hr-HR"/>
        </w:rPr>
      </w:pPr>
      <w:r w:rsidRPr="00C42999">
        <w:rPr>
          <w:rFonts w:cstheme="minorHAnsi"/>
          <w:lang w:val="hr-HR"/>
        </w:rPr>
        <w:t>Povećanje ukupnih rashoda u iznosu od 3,3 milijarde eura prvenstveno je rezultat povećanih izdvajanja za:</w:t>
      </w:r>
    </w:p>
    <w:p w:rsidR="008E2918" w:rsidRPr="008E2918" w:rsidRDefault="008E2918" w:rsidP="008E2918">
      <w:pPr>
        <w:pStyle w:val="ListParagraph"/>
        <w:numPr>
          <w:ilvl w:val="1"/>
          <w:numId w:val="26"/>
        </w:numPr>
        <w:spacing w:after="0"/>
        <w:ind w:left="709" w:hanging="283"/>
        <w:jc w:val="both"/>
        <w:rPr>
          <w:rFonts w:cstheme="minorHAnsi"/>
          <w:lang w:val="hr-HR"/>
        </w:rPr>
      </w:pPr>
      <w:r w:rsidRPr="008E2918">
        <w:rPr>
          <w:rFonts w:cstheme="minorHAnsi"/>
          <w:lang w:val="hr-HR"/>
        </w:rPr>
        <w:t xml:space="preserve">zaposlene (uključujući rashode za zaposlene u osnovnom i srednjem školstvu i zaposlene u ustanovama u zdravstvu) u iznosu od 1,5 milijardi eura uslijed primjene ugovorenih povećanja dodacima kolektivnim ugovorima i odlukama Vlade o isplatama dodataka kao i uključivanja 22 opće bolnice i ustanove u zdravstvu u državni proračun te očekivane primjene novog Zakona o plaćama u državnoj službi i javnim službama,  </w:t>
      </w:r>
    </w:p>
    <w:p w:rsidR="003E7003" w:rsidRPr="00C42999" w:rsidRDefault="003E7003" w:rsidP="003E7003">
      <w:pPr>
        <w:pStyle w:val="ListParagraph"/>
        <w:numPr>
          <w:ilvl w:val="1"/>
          <w:numId w:val="26"/>
        </w:numPr>
        <w:spacing w:after="0"/>
        <w:ind w:left="709" w:hanging="283"/>
        <w:jc w:val="both"/>
        <w:rPr>
          <w:rFonts w:cstheme="minorHAnsi"/>
          <w:lang w:val="hr-HR"/>
        </w:rPr>
      </w:pPr>
      <w:r w:rsidRPr="00C42999">
        <w:rPr>
          <w:rFonts w:cstheme="minorHAnsi"/>
          <w:lang w:val="hr-HR"/>
        </w:rPr>
        <w:t>mirovine i mirovinska primanja u iznosu od 1,1 milijardu eura uslijed očekivane indeksacije mirovina po općim i posebnim propisima i očekivanog porasta broja umirovljenika,</w:t>
      </w:r>
    </w:p>
    <w:p w:rsidR="003E7003" w:rsidRPr="00C42999" w:rsidRDefault="003E7003" w:rsidP="003E7003">
      <w:pPr>
        <w:pStyle w:val="ListParagraph"/>
        <w:numPr>
          <w:ilvl w:val="1"/>
          <w:numId w:val="26"/>
        </w:numPr>
        <w:spacing w:after="0"/>
        <w:ind w:left="709" w:hanging="283"/>
        <w:jc w:val="both"/>
        <w:rPr>
          <w:rFonts w:cstheme="minorHAnsi"/>
          <w:lang w:val="hr-HR"/>
        </w:rPr>
      </w:pPr>
      <w:r w:rsidRPr="00C42999">
        <w:rPr>
          <w:rFonts w:cstheme="minorHAnsi"/>
          <w:lang w:val="hr-HR"/>
        </w:rPr>
        <w:t>provedbu projekata financiranih iz bespovratnih sredstava Mehanizma za oporavak i otpornost u iznosu od 723,4 milijuna eura,</w:t>
      </w:r>
    </w:p>
    <w:p w:rsidR="003E7003" w:rsidRPr="00C42999" w:rsidRDefault="003E7003" w:rsidP="003E7003">
      <w:pPr>
        <w:pStyle w:val="ListParagraph"/>
        <w:numPr>
          <w:ilvl w:val="1"/>
          <w:numId w:val="26"/>
        </w:numPr>
        <w:spacing w:after="0"/>
        <w:ind w:left="709" w:hanging="283"/>
        <w:jc w:val="both"/>
        <w:rPr>
          <w:rFonts w:cstheme="minorHAnsi"/>
          <w:lang w:val="hr-HR"/>
        </w:rPr>
      </w:pPr>
      <w:r w:rsidRPr="00C42999">
        <w:rPr>
          <w:rFonts w:cstheme="minorHAnsi"/>
          <w:lang w:val="hr-HR"/>
        </w:rPr>
        <w:t>troškove obnove i sanacije štete nastale uslijed potresa u iznosu od 418,0 milijuna eura,</w:t>
      </w:r>
    </w:p>
    <w:p w:rsidR="003E7003" w:rsidRPr="00C42999" w:rsidRDefault="003E7003" w:rsidP="003E7003">
      <w:pPr>
        <w:pStyle w:val="ListParagraph"/>
        <w:numPr>
          <w:ilvl w:val="1"/>
          <w:numId w:val="26"/>
        </w:numPr>
        <w:spacing w:after="0"/>
        <w:ind w:left="709" w:hanging="283"/>
        <w:jc w:val="both"/>
        <w:rPr>
          <w:rFonts w:cstheme="minorHAnsi"/>
          <w:lang w:val="hr-HR"/>
        </w:rPr>
      </w:pPr>
      <w:r w:rsidRPr="00C42999">
        <w:rPr>
          <w:rFonts w:cstheme="minorHAnsi"/>
          <w:lang w:val="hr-HR"/>
        </w:rPr>
        <w:t xml:space="preserve">nadoknadu troškova Hrvatskoj elektroprivredi d.d. vezanih uz financiranje obveze osiguranja zaliha plina na teritoriju Republike Hrvatske u skladu s Odlukom VRH u skladištu PSP Okoli u iznosu od 273,4 milijuna eura, </w:t>
      </w:r>
    </w:p>
    <w:p w:rsidR="003E7003" w:rsidRPr="00C42999" w:rsidRDefault="003E7003" w:rsidP="003E7003">
      <w:pPr>
        <w:pStyle w:val="ListParagraph"/>
        <w:numPr>
          <w:ilvl w:val="1"/>
          <w:numId w:val="26"/>
        </w:numPr>
        <w:spacing w:after="0"/>
        <w:ind w:left="709" w:hanging="283"/>
        <w:jc w:val="both"/>
        <w:rPr>
          <w:rFonts w:cstheme="minorHAnsi"/>
          <w:lang w:val="hr-HR"/>
        </w:rPr>
      </w:pPr>
      <w:r w:rsidRPr="00C42999">
        <w:rPr>
          <w:rFonts w:cstheme="minorHAnsi"/>
          <w:lang w:val="hr-HR"/>
        </w:rPr>
        <w:t>troškove servisiranja javnog duga u skladu sa stanjem uvjeta na financijskim tržištima u iznosu od 250,6 milijuna eura,</w:t>
      </w:r>
    </w:p>
    <w:p w:rsidR="003E7003" w:rsidRPr="00C42999" w:rsidRDefault="003E7003" w:rsidP="003E7003">
      <w:pPr>
        <w:pStyle w:val="ListParagraph"/>
        <w:numPr>
          <w:ilvl w:val="1"/>
          <w:numId w:val="26"/>
        </w:numPr>
        <w:spacing w:after="0"/>
        <w:ind w:left="709" w:hanging="283"/>
        <w:jc w:val="both"/>
        <w:rPr>
          <w:rFonts w:cstheme="minorHAnsi"/>
          <w:lang w:val="hr-HR"/>
        </w:rPr>
      </w:pPr>
      <w:r w:rsidRPr="00C42999">
        <w:rPr>
          <w:rFonts w:cstheme="minorHAnsi"/>
          <w:lang w:val="hr-HR"/>
        </w:rPr>
        <w:t xml:space="preserve">inkluzivni dodatak kao novu novčanu naknadu kojom se </w:t>
      </w:r>
      <w:r w:rsidRPr="00C42999">
        <w:rPr>
          <w:rFonts w:eastAsia="Times New Roman" w:cstheme="minorHAnsi"/>
          <w:lang w:val="hr-HR" w:eastAsia="hr-HR"/>
        </w:rPr>
        <w:t>objedinjavaju, ali i povećavaju postojeća prava za osobe s invaliditetom u iznosu od</w:t>
      </w:r>
      <w:r w:rsidRPr="00C42999">
        <w:rPr>
          <w:rFonts w:cstheme="minorHAnsi"/>
          <w:lang w:val="hr-HR"/>
        </w:rPr>
        <w:t xml:space="preserve"> 234,7 milijuna eura,</w:t>
      </w:r>
    </w:p>
    <w:p w:rsidR="003E7003" w:rsidRPr="00C42999" w:rsidRDefault="003E7003" w:rsidP="003E7003">
      <w:pPr>
        <w:pStyle w:val="ListParagraph"/>
        <w:numPr>
          <w:ilvl w:val="1"/>
          <w:numId w:val="26"/>
        </w:numPr>
        <w:spacing w:after="0"/>
        <w:ind w:left="709" w:hanging="283"/>
        <w:jc w:val="both"/>
        <w:rPr>
          <w:rFonts w:cstheme="minorHAnsi"/>
          <w:lang w:val="hr-HR"/>
        </w:rPr>
      </w:pPr>
      <w:r w:rsidRPr="00C42999">
        <w:rPr>
          <w:rFonts w:cstheme="minorHAnsi"/>
          <w:lang w:val="hr-HR"/>
        </w:rPr>
        <w:lastRenderedPageBreak/>
        <w:t>osobnu asistenciju koja je postala zakonsko pravo u iznosu od 116,7 milijuna eura,</w:t>
      </w:r>
    </w:p>
    <w:p w:rsidR="003E7003" w:rsidRPr="00C42999" w:rsidRDefault="003E7003" w:rsidP="003E7003">
      <w:pPr>
        <w:pStyle w:val="ListParagraph"/>
        <w:numPr>
          <w:ilvl w:val="1"/>
          <w:numId w:val="26"/>
        </w:numPr>
        <w:spacing w:after="0"/>
        <w:ind w:left="709" w:hanging="283"/>
        <w:jc w:val="both"/>
        <w:rPr>
          <w:rFonts w:cstheme="minorHAnsi"/>
          <w:lang w:val="hr-HR"/>
        </w:rPr>
      </w:pPr>
      <w:r w:rsidRPr="00C42999">
        <w:rPr>
          <w:rFonts w:cstheme="minorHAnsi"/>
          <w:lang w:val="hr-HR"/>
        </w:rPr>
        <w:t>doplatak za djecu zbog relaksacije uvjeta za ostvarivanje prava u iznosu od 114,5 milijuna eura,</w:t>
      </w:r>
    </w:p>
    <w:p w:rsidR="003E7003" w:rsidRPr="00C42999" w:rsidRDefault="003E7003" w:rsidP="003E7003">
      <w:pPr>
        <w:pStyle w:val="ListParagraph"/>
        <w:numPr>
          <w:ilvl w:val="1"/>
          <w:numId w:val="26"/>
        </w:numPr>
        <w:spacing w:after="0"/>
        <w:ind w:left="709" w:hanging="283"/>
        <w:jc w:val="both"/>
        <w:rPr>
          <w:rFonts w:cstheme="minorHAnsi"/>
          <w:lang w:val="hr-HR"/>
        </w:rPr>
      </w:pPr>
      <w:r w:rsidRPr="00C42999">
        <w:rPr>
          <w:rFonts w:cstheme="minorHAnsi"/>
          <w:lang w:val="hr-HR"/>
        </w:rPr>
        <w:t xml:space="preserve">financiranje i sufinanciranje građenja, modernizacije i obnove željezničke infrastrukture u iznosu od 87,4 milijuna eura, </w:t>
      </w:r>
    </w:p>
    <w:p w:rsidR="003E7003" w:rsidRPr="00C42999" w:rsidRDefault="003E7003" w:rsidP="003E7003">
      <w:pPr>
        <w:pStyle w:val="ListParagraph"/>
        <w:numPr>
          <w:ilvl w:val="1"/>
          <w:numId w:val="26"/>
        </w:numPr>
        <w:spacing w:after="0"/>
        <w:ind w:left="709" w:hanging="283"/>
        <w:jc w:val="both"/>
        <w:rPr>
          <w:rFonts w:cstheme="minorHAnsi"/>
          <w:lang w:val="hr-HR"/>
        </w:rPr>
      </w:pPr>
      <w:r w:rsidRPr="00C42999">
        <w:rPr>
          <w:rFonts w:cstheme="minorHAnsi"/>
          <w:lang w:val="hr-HR"/>
        </w:rPr>
        <w:t>povećanje kapaciteta LNG terminala te jačanje plinske infrastrukture izgradnjom četiri plinovoda u iznosu od 78,5 milijuna eura,</w:t>
      </w:r>
    </w:p>
    <w:p w:rsidR="003E7003" w:rsidRPr="00C42999" w:rsidRDefault="003E7003" w:rsidP="003E7003">
      <w:pPr>
        <w:pStyle w:val="ListParagraph"/>
        <w:numPr>
          <w:ilvl w:val="1"/>
          <w:numId w:val="26"/>
        </w:numPr>
        <w:spacing w:after="0"/>
        <w:ind w:left="709" w:hanging="283"/>
        <w:jc w:val="both"/>
        <w:rPr>
          <w:rFonts w:cstheme="minorHAnsi"/>
          <w:lang w:val="hr-HR"/>
        </w:rPr>
      </w:pPr>
      <w:r w:rsidRPr="00C42999">
        <w:rPr>
          <w:rFonts w:cstheme="minorHAnsi"/>
          <w:lang w:val="hr-HR"/>
        </w:rPr>
        <w:t>Hrvatskom zavodu za zdravstveno osiguranje za pokriće troškova zdravstvene zaštite u iznosu od 74,4 milijuna eura,</w:t>
      </w:r>
    </w:p>
    <w:p w:rsidR="003E7003" w:rsidRPr="00C42999" w:rsidRDefault="003E7003" w:rsidP="003E7003">
      <w:pPr>
        <w:pStyle w:val="ListParagraph"/>
        <w:numPr>
          <w:ilvl w:val="1"/>
          <w:numId w:val="26"/>
        </w:numPr>
        <w:spacing w:after="0"/>
        <w:ind w:left="709" w:hanging="283"/>
        <w:jc w:val="both"/>
        <w:rPr>
          <w:rFonts w:cstheme="minorHAnsi"/>
          <w:lang w:val="hr-HR"/>
        </w:rPr>
      </w:pPr>
      <w:r w:rsidRPr="00C42999">
        <w:rPr>
          <w:rFonts w:cstheme="minorHAnsi"/>
          <w:lang w:val="hr-HR"/>
        </w:rPr>
        <w:t>energetsku obnovu zgrada u svrhu povećanja energetike učinkovitosti u iznosu od 68,8 milijuna eura,</w:t>
      </w:r>
    </w:p>
    <w:p w:rsidR="003E7003" w:rsidRPr="00C42999" w:rsidRDefault="003E7003" w:rsidP="003E7003">
      <w:pPr>
        <w:pStyle w:val="ListParagraph"/>
        <w:numPr>
          <w:ilvl w:val="1"/>
          <w:numId w:val="26"/>
        </w:numPr>
        <w:spacing w:after="0"/>
        <w:ind w:left="709" w:hanging="283"/>
        <w:jc w:val="both"/>
        <w:rPr>
          <w:rFonts w:cstheme="minorHAnsi"/>
          <w:lang w:val="hr-HR"/>
        </w:rPr>
      </w:pPr>
      <w:r w:rsidRPr="00C42999">
        <w:rPr>
          <w:rFonts w:cstheme="minorHAnsi"/>
          <w:lang w:val="hr-HR"/>
        </w:rPr>
        <w:t>fiskalnu održivost dječjih vrtića u iznosu od 52,4 milijuna eura,</w:t>
      </w:r>
    </w:p>
    <w:p w:rsidR="003E7003" w:rsidRPr="00C42999" w:rsidRDefault="003E7003" w:rsidP="003E7003">
      <w:pPr>
        <w:pStyle w:val="ListParagraph"/>
        <w:numPr>
          <w:ilvl w:val="1"/>
          <w:numId w:val="26"/>
        </w:numPr>
        <w:spacing w:after="0"/>
        <w:ind w:left="709" w:hanging="283"/>
        <w:jc w:val="both"/>
        <w:rPr>
          <w:rFonts w:cstheme="minorHAnsi"/>
          <w:lang w:val="hr-HR"/>
        </w:rPr>
      </w:pPr>
      <w:r w:rsidRPr="00C42999">
        <w:rPr>
          <w:rFonts w:cstheme="minorHAnsi"/>
          <w:lang w:val="hr-HR"/>
        </w:rPr>
        <w:t>nabavu borbenih vozila Bradley te njihovog dovođenja u ispravno stanje i isporuku Oružanim snagama u iznosu 42,1 milijun eura.</w:t>
      </w:r>
    </w:p>
    <w:p w:rsidR="003E7003" w:rsidRPr="00C42999" w:rsidRDefault="003E7003" w:rsidP="003E7003">
      <w:pPr>
        <w:spacing w:after="0"/>
        <w:jc w:val="both"/>
        <w:rPr>
          <w:rFonts w:cstheme="minorHAnsi"/>
          <w:lang w:val="hr-HR"/>
        </w:rPr>
      </w:pPr>
    </w:p>
    <w:p w:rsidR="003E7003" w:rsidRPr="00C42999" w:rsidRDefault="003E7003" w:rsidP="003E7003">
      <w:pPr>
        <w:spacing w:after="0"/>
        <w:jc w:val="both"/>
        <w:rPr>
          <w:rFonts w:cstheme="minorHAnsi"/>
          <w:lang w:val="hr-HR"/>
        </w:rPr>
      </w:pPr>
      <w:r w:rsidRPr="00C42999">
        <w:rPr>
          <w:rFonts w:cstheme="minorHAnsi"/>
          <w:lang w:val="hr-HR"/>
        </w:rPr>
        <w:t>i smanjenih izdvajanja za:</w:t>
      </w:r>
    </w:p>
    <w:p w:rsidR="003E7003" w:rsidRPr="00C42999" w:rsidRDefault="003E7003" w:rsidP="003E7003">
      <w:pPr>
        <w:pStyle w:val="ListParagraph"/>
        <w:numPr>
          <w:ilvl w:val="1"/>
          <w:numId w:val="26"/>
        </w:numPr>
        <w:spacing w:after="0"/>
        <w:ind w:left="709" w:hanging="283"/>
        <w:jc w:val="both"/>
        <w:rPr>
          <w:rFonts w:cstheme="minorHAnsi"/>
          <w:lang w:val="hr-HR"/>
        </w:rPr>
      </w:pPr>
      <w:r w:rsidRPr="00C42999">
        <w:rPr>
          <w:rFonts w:cstheme="minorHAnsi"/>
          <w:lang w:val="hr-HR"/>
        </w:rPr>
        <w:t>provedbu projekata financiranih iz Europskih strukturnih i investicijskih fondova kao posljedica završetka programskog razdoblja 2014. - 2020. te razdoblja korištenja sredstava Fonda solidarnosti Europske unije u iznosu od 1,4 milijarde eura.</w:t>
      </w:r>
    </w:p>
    <w:p w:rsidR="003E7003" w:rsidRPr="00C42999" w:rsidRDefault="003E7003" w:rsidP="003E7003">
      <w:pPr>
        <w:pStyle w:val="ListParagraph"/>
        <w:numPr>
          <w:ilvl w:val="1"/>
          <w:numId w:val="26"/>
        </w:numPr>
        <w:spacing w:after="0"/>
        <w:ind w:left="709" w:hanging="283"/>
        <w:jc w:val="both"/>
        <w:rPr>
          <w:rFonts w:cstheme="minorHAnsi"/>
          <w:lang w:val="hr-HR"/>
        </w:rPr>
      </w:pPr>
      <w:r w:rsidRPr="00C42999">
        <w:rPr>
          <w:rFonts w:cstheme="minorHAnsi"/>
          <w:lang w:val="hr-HR"/>
        </w:rPr>
        <w:t>plaćanje naknade štete i troškova arbitražnog postupka po presudi INA-MOL u iznosu od 229,4 milijuna  eura,</w:t>
      </w:r>
    </w:p>
    <w:p w:rsidR="003E7003" w:rsidRPr="00C42999" w:rsidRDefault="003E7003" w:rsidP="003E7003">
      <w:pPr>
        <w:pStyle w:val="ListParagraph"/>
        <w:numPr>
          <w:ilvl w:val="1"/>
          <w:numId w:val="26"/>
        </w:numPr>
        <w:spacing w:after="0"/>
        <w:ind w:left="709" w:hanging="283"/>
        <w:jc w:val="both"/>
        <w:rPr>
          <w:rFonts w:cstheme="minorHAnsi"/>
          <w:lang w:val="hr-HR"/>
        </w:rPr>
      </w:pPr>
      <w:r w:rsidRPr="00C42999">
        <w:rPr>
          <w:rFonts w:cstheme="minorHAnsi"/>
          <w:lang w:val="hr-HR"/>
        </w:rPr>
        <w:t xml:space="preserve">otklanjanje poremećaja na domaćem tržištu energije u iznosu od 153,0 milijuna eura budući da se ova mjera Vlade u skladu s preporukama Europske komisije planira provoditi do kraja ožujka 2024. </w:t>
      </w:r>
    </w:p>
    <w:p w:rsidR="003E7003" w:rsidRPr="00C42999" w:rsidRDefault="003E7003" w:rsidP="003E7003">
      <w:pPr>
        <w:pStyle w:val="ListParagraph"/>
        <w:numPr>
          <w:ilvl w:val="1"/>
          <w:numId w:val="26"/>
        </w:numPr>
        <w:spacing w:after="0"/>
        <w:ind w:left="709" w:hanging="283"/>
        <w:jc w:val="both"/>
        <w:rPr>
          <w:rFonts w:cstheme="minorHAnsi"/>
          <w:lang w:val="hr-HR"/>
        </w:rPr>
      </w:pPr>
      <w:r w:rsidRPr="00C42999">
        <w:rPr>
          <w:rFonts w:cstheme="minorHAnsi"/>
          <w:lang w:val="hr-HR"/>
        </w:rPr>
        <w:t>jednokratno primanje korisnicima mirovinskih primanja koje je u 2023. isplaćivano temeljem odluka VRH kako bi se ublažile posljedice inflacije u iznosu od 136,1 milijun eura.</w:t>
      </w:r>
    </w:p>
    <w:p w:rsidR="003E7003" w:rsidRPr="00C42999" w:rsidRDefault="003E7003" w:rsidP="003E7003">
      <w:pPr>
        <w:spacing w:after="0"/>
        <w:jc w:val="both"/>
        <w:rPr>
          <w:rFonts w:cstheme="minorHAnsi"/>
          <w:highlight w:val="yellow"/>
          <w:lang w:val="hr-HR"/>
        </w:rPr>
      </w:pPr>
    </w:p>
    <w:p w:rsidR="003E7003" w:rsidRPr="003E7003" w:rsidRDefault="003E7003" w:rsidP="003E7003">
      <w:pPr>
        <w:spacing w:after="0"/>
        <w:jc w:val="both"/>
        <w:rPr>
          <w:rFonts w:cstheme="minorHAnsi"/>
          <w:lang w:val="hr-HR"/>
        </w:rPr>
      </w:pPr>
      <w:r w:rsidRPr="00C42999">
        <w:rPr>
          <w:rFonts w:cstheme="minorHAnsi"/>
          <w:lang w:val="hr-HR"/>
        </w:rPr>
        <w:t xml:space="preserve">U nastavku se daje pregled kretanja rashoda državnog proračuna u razdoblju 2022. - 2026. po ekonomskoj klasifikaciji. </w:t>
      </w:r>
    </w:p>
    <w:p w:rsidR="00223521" w:rsidRPr="000E707F" w:rsidRDefault="00223521" w:rsidP="00223521">
      <w:pPr>
        <w:spacing w:after="0" w:line="240" w:lineRule="auto"/>
        <w:jc w:val="both"/>
        <w:rPr>
          <w:i/>
          <w:sz w:val="20"/>
          <w:highlight w:val="yellow"/>
          <w:lang w:val="hr-HR"/>
        </w:rPr>
      </w:pPr>
    </w:p>
    <w:p w:rsidR="00C8194C" w:rsidRPr="003E7003" w:rsidRDefault="00527791" w:rsidP="00223521">
      <w:pPr>
        <w:spacing w:after="0" w:line="240" w:lineRule="auto"/>
        <w:jc w:val="both"/>
        <w:rPr>
          <w:i/>
          <w:lang w:val="hr-HR"/>
        </w:rPr>
      </w:pPr>
      <w:r w:rsidRPr="003E7003">
        <w:rPr>
          <w:i/>
          <w:lang w:val="hr-HR"/>
        </w:rPr>
        <w:t xml:space="preserve">Tablica </w:t>
      </w:r>
      <w:r w:rsidRPr="003E7003">
        <w:rPr>
          <w:i/>
          <w:lang w:val="hr-HR"/>
        </w:rPr>
        <w:fldChar w:fldCharType="begin"/>
      </w:r>
      <w:r w:rsidRPr="003E7003">
        <w:rPr>
          <w:i/>
          <w:lang w:val="hr-HR"/>
        </w:rPr>
        <w:instrText xml:space="preserve"> SEQ Tablica \* ARABIC </w:instrText>
      </w:r>
      <w:r w:rsidRPr="003E7003">
        <w:rPr>
          <w:i/>
          <w:lang w:val="hr-HR"/>
        </w:rPr>
        <w:fldChar w:fldCharType="separate"/>
      </w:r>
      <w:r w:rsidR="006A0A56">
        <w:rPr>
          <w:i/>
          <w:noProof/>
          <w:lang w:val="hr-HR"/>
        </w:rPr>
        <w:t>7</w:t>
      </w:r>
      <w:r w:rsidRPr="003E7003">
        <w:rPr>
          <w:i/>
          <w:lang w:val="hr-HR"/>
        </w:rPr>
        <w:fldChar w:fldCharType="end"/>
      </w:r>
      <w:r w:rsidRPr="003E7003">
        <w:rPr>
          <w:i/>
          <w:lang w:val="hr-HR"/>
        </w:rPr>
        <w:t>: Kretanje rashoda državnog proračuna koji se financiraju iz općih prihoda i primitaka, doprinosa i namjenskih primitaka u razdoblju 20</w:t>
      </w:r>
      <w:r w:rsidR="00223521" w:rsidRPr="003E7003">
        <w:rPr>
          <w:i/>
          <w:lang w:val="hr-HR"/>
        </w:rPr>
        <w:t>2</w:t>
      </w:r>
      <w:r w:rsidR="003E7003" w:rsidRPr="003E7003">
        <w:rPr>
          <w:i/>
          <w:lang w:val="hr-HR"/>
        </w:rPr>
        <w:t>2</w:t>
      </w:r>
      <w:r w:rsidR="00223521" w:rsidRPr="003E7003">
        <w:rPr>
          <w:i/>
          <w:lang w:val="hr-HR"/>
        </w:rPr>
        <w:t>. - 202</w:t>
      </w:r>
      <w:r w:rsidR="003E7003" w:rsidRPr="003E7003">
        <w:rPr>
          <w:i/>
          <w:lang w:val="hr-HR"/>
        </w:rPr>
        <w:t>6</w:t>
      </w:r>
      <w:r w:rsidRPr="003E7003">
        <w:rPr>
          <w:i/>
          <w:lang w:val="hr-HR"/>
        </w:rPr>
        <w:t>.</w:t>
      </w:r>
    </w:p>
    <w:p w:rsidR="00223521" w:rsidRPr="003E7003" w:rsidRDefault="003E7003" w:rsidP="008A4124">
      <w:pPr>
        <w:spacing w:after="0"/>
        <w:rPr>
          <w:i/>
          <w:sz w:val="20"/>
          <w:lang w:val="hr-HR"/>
        </w:rPr>
      </w:pPr>
      <w:r w:rsidRPr="003E7003">
        <w:rPr>
          <w:rFonts w:cstheme="minorHAnsi"/>
          <w:noProof/>
          <w:lang w:val="hr-HR" w:eastAsia="hr-HR"/>
        </w:rPr>
        <w:drawing>
          <wp:inline distT="0" distB="0" distL="0" distR="0" wp14:anchorId="1F5DA7A6" wp14:editId="66F55CAD">
            <wp:extent cx="5760720" cy="2036445"/>
            <wp:effectExtent l="0" t="0" r="0" b="1905"/>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2036445"/>
                    </a:xfrm>
                    <a:prstGeom prst="rect">
                      <a:avLst/>
                    </a:prstGeom>
                    <a:noFill/>
                    <a:ln>
                      <a:noFill/>
                    </a:ln>
                  </pic:spPr>
                </pic:pic>
              </a:graphicData>
            </a:graphic>
          </wp:inline>
        </w:drawing>
      </w:r>
      <w:r w:rsidR="008A4124" w:rsidRPr="003E7003">
        <w:rPr>
          <w:i/>
          <w:sz w:val="20"/>
          <w:lang w:val="hr-HR"/>
        </w:rPr>
        <w:br/>
      </w:r>
      <w:r w:rsidR="00223521" w:rsidRPr="003E7003">
        <w:rPr>
          <w:i/>
          <w:sz w:val="20"/>
          <w:lang w:val="hr-HR"/>
        </w:rPr>
        <w:t>Izvor: Ministarstvo financija</w:t>
      </w:r>
    </w:p>
    <w:p w:rsidR="00223521" w:rsidRPr="000E707F" w:rsidRDefault="00223521" w:rsidP="00223521">
      <w:pPr>
        <w:spacing w:after="0" w:line="240" w:lineRule="auto"/>
        <w:jc w:val="both"/>
        <w:rPr>
          <w:i/>
          <w:sz w:val="20"/>
          <w:highlight w:val="yellow"/>
          <w:lang w:val="hr-HR"/>
        </w:rPr>
      </w:pPr>
    </w:p>
    <w:p w:rsidR="00FA15E4" w:rsidRPr="003E7003" w:rsidRDefault="00FA15E4" w:rsidP="00FA15E4">
      <w:pPr>
        <w:spacing w:after="0" w:line="240" w:lineRule="auto"/>
        <w:jc w:val="both"/>
        <w:rPr>
          <w:rFonts w:ascii="Calibri" w:hAnsi="Calibri" w:cs="Calibri"/>
          <w:i/>
          <w:sz w:val="24"/>
          <w:szCs w:val="24"/>
          <w:lang w:val="hr-HR"/>
        </w:rPr>
      </w:pPr>
      <w:r w:rsidRPr="003E7003">
        <w:rPr>
          <w:i/>
          <w:lang w:val="hr-HR"/>
        </w:rPr>
        <w:t xml:space="preserve">Tablica </w:t>
      </w:r>
      <w:r w:rsidRPr="003E7003">
        <w:rPr>
          <w:i/>
          <w:lang w:val="hr-HR"/>
        </w:rPr>
        <w:fldChar w:fldCharType="begin"/>
      </w:r>
      <w:r w:rsidRPr="003E7003">
        <w:rPr>
          <w:i/>
          <w:lang w:val="hr-HR"/>
        </w:rPr>
        <w:instrText xml:space="preserve"> SEQ Tablica \* ARABIC </w:instrText>
      </w:r>
      <w:r w:rsidRPr="003E7003">
        <w:rPr>
          <w:i/>
          <w:lang w:val="hr-HR"/>
        </w:rPr>
        <w:fldChar w:fldCharType="separate"/>
      </w:r>
      <w:r w:rsidR="006A0A56">
        <w:rPr>
          <w:i/>
          <w:noProof/>
          <w:lang w:val="hr-HR"/>
        </w:rPr>
        <w:t>8</w:t>
      </w:r>
      <w:r w:rsidRPr="003E7003">
        <w:rPr>
          <w:i/>
          <w:lang w:val="hr-HR"/>
        </w:rPr>
        <w:fldChar w:fldCharType="end"/>
      </w:r>
      <w:r w:rsidRPr="003E7003">
        <w:rPr>
          <w:i/>
          <w:lang w:val="hr-HR"/>
        </w:rPr>
        <w:t xml:space="preserve">: </w:t>
      </w:r>
      <w:r w:rsidRPr="003E7003">
        <w:rPr>
          <w:rFonts w:ascii="Calibri" w:hAnsi="Calibri" w:cs="Calibri"/>
          <w:i/>
          <w:lang w:val="hr-HR"/>
        </w:rPr>
        <w:t>Kretanje rashoda državnog proračuna koji se financiraju iz vlastitih prihoda, prihoda za posebne namjene, pomoći i donacija u razdoblju 20</w:t>
      </w:r>
      <w:r w:rsidR="00223521" w:rsidRPr="003E7003">
        <w:rPr>
          <w:rFonts w:ascii="Calibri" w:hAnsi="Calibri" w:cs="Calibri"/>
          <w:i/>
          <w:lang w:val="hr-HR"/>
        </w:rPr>
        <w:t>2</w:t>
      </w:r>
      <w:r w:rsidR="003E7003" w:rsidRPr="003E7003">
        <w:rPr>
          <w:rFonts w:ascii="Calibri" w:hAnsi="Calibri" w:cs="Calibri"/>
          <w:i/>
          <w:lang w:val="hr-HR"/>
        </w:rPr>
        <w:t>2</w:t>
      </w:r>
      <w:r w:rsidR="00223521" w:rsidRPr="003E7003">
        <w:rPr>
          <w:rFonts w:ascii="Calibri" w:hAnsi="Calibri" w:cs="Calibri"/>
          <w:i/>
          <w:lang w:val="hr-HR"/>
        </w:rPr>
        <w:t>.</w:t>
      </w:r>
      <w:r w:rsidRPr="003E7003">
        <w:rPr>
          <w:rFonts w:ascii="Calibri" w:hAnsi="Calibri" w:cs="Calibri"/>
          <w:i/>
          <w:lang w:val="hr-HR"/>
        </w:rPr>
        <w:t xml:space="preserve"> - 202</w:t>
      </w:r>
      <w:r w:rsidR="003E7003" w:rsidRPr="003E7003">
        <w:rPr>
          <w:rFonts w:ascii="Calibri" w:hAnsi="Calibri" w:cs="Calibri"/>
          <w:i/>
          <w:lang w:val="hr-HR"/>
        </w:rPr>
        <w:t>6</w:t>
      </w:r>
      <w:r w:rsidRPr="003E7003">
        <w:rPr>
          <w:rFonts w:ascii="Calibri" w:hAnsi="Calibri" w:cs="Calibri"/>
          <w:i/>
          <w:lang w:val="hr-HR"/>
        </w:rPr>
        <w:t>.</w:t>
      </w:r>
    </w:p>
    <w:p w:rsidR="00190D86" w:rsidRPr="003E7003" w:rsidRDefault="003E7003" w:rsidP="008A4124">
      <w:pPr>
        <w:rPr>
          <w:i/>
          <w:sz w:val="20"/>
          <w:lang w:val="hr-HR"/>
        </w:rPr>
      </w:pPr>
      <w:r w:rsidRPr="003E7003">
        <w:rPr>
          <w:rFonts w:cstheme="minorHAnsi"/>
          <w:noProof/>
          <w:lang w:val="hr-HR" w:eastAsia="hr-HR"/>
        </w:rPr>
        <w:lastRenderedPageBreak/>
        <w:drawing>
          <wp:inline distT="0" distB="0" distL="0" distR="0" wp14:anchorId="34CCB669" wp14:editId="2C7EB436">
            <wp:extent cx="5760720" cy="2036445"/>
            <wp:effectExtent l="0" t="0" r="0" b="1905"/>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2036445"/>
                    </a:xfrm>
                    <a:prstGeom prst="rect">
                      <a:avLst/>
                    </a:prstGeom>
                    <a:noFill/>
                    <a:ln>
                      <a:noFill/>
                    </a:ln>
                  </pic:spPr>
                </pic:pic>
              </a:graphicData>
            </a:graphic>
          </wp:inline>
        </w:drawing>
      </w:r>
      <w:r w:rsidR="008A4124" w:rsidRPr="003E7003">
        <w:rPr>
          <w:i/>
          <w:sz w:val="20"/>
          <w:lang w:val="hr-HR"/>
        </w:rPr>
        <w:br/>
      </w:r>
      <w:r w:rsidR="00223521" w:rsidRPr="003E7003">
        <w:rPr>
          <w:i/>
          <w:sz w:val="20"/>
          <w:lang w:val="hr-HR"/>
        </w:rPr>
        <w:t>Izvor: Ministarstvo financija</w:t>
      </w:r>
    </w:p>
    <w:p w:rsidR="003E7003" w:rsidRPr="00C42999" w:rsidRDefault="003E7003" w:rsidP="003E7003">
      <w:pPr>
        <w:spacing w:after="0"/>
        <w:jc w:val="both"/>
        <w:rPr>
          <w:rFonts w:cstheme="minorHAnsi"/>
          <w:lang w:val="hr-HR"/>
        </w:rPr>
      </w:pPr>
      <w:bookmarkStart w:id="28" w:name="_Toc445241792"/>
      <w:r w:rsidRPr="00C42999">
        <w:rPr>
          <w:rFonts w:cstheme="minorHAnsi"/>
          <w:lang w:val="hr-HR"/>
        </w:rPr>
        <w:t xml:space="preserve">U nastavku se daje i prikaz kretanja rashoda državnog proračuna u razdoblju 2022. - 2026. po izvorima financiranja. Naime, proračunske klasifikacije čine okvir kojim se iskazuju i sustavno prate prihodi i primici te rashodi i izdaci po nositelju, cilju, namjeni, vrsti, lokaciji i izvoru financiranja. Izvori financiranja sadrže prihode i primitke iz kojih se podmiruju rashodi i izdaci određene vrste i namjene. S obzirom na sve veću zastupljenost EU sredstava u ukupnim prihodima, a time i proračunskim rashodima, ova klasifikacija postaje sve značajnija. </w:t>
      </w:r>
    </w:p>
    <w:p w:rsidR="00960F86" w:rsidRPr="003E7003" w:rsidRDefault="00BC27DE" w:rsidP="00223521">
      <w:pPr>
        <w:spacing w:after="0" w:line="240" w:lineRule="auto"/>
        <w:jc w:val="both"/>
        <w:rPr>
          <w:i/>
          <w:lang w:val="hr-HR"/>
        </w:rPr>
      </w:pPr>
      <w:r w:rsidRPr="003E7003">
        <w:rPr>
          <w:i/>
          <w:lang w:val="hr-HR"/>
        </w:rPr>
        <w:lastRenderedPageBreak/>
        <w:t xml:space="preserve">Tablica </w:t>
      </w:r>
      <w:r w:rsidRPr="003E7003">
        <w:rPr>
          <w:i/>
          <w:lang w:val="hr-HR"/>
        </w:rPr>
        <w:fldChar w:fldCharType="begin"/>
      </w:r>
      <w:r w:rsidRPr="003E7003">
        <w:rPr>
          <w:i/>
          <w:lang w:val="hr-HR"/>
        </w:rPr>
        <w:instrText xml:space="preserve"> SEQ Tablica \* ARABIC </w:instrText>
      </w:r>
      <w:r w:rsidRPr="003E7003">
        <w:rPr>
          <w:i/>
          <w:lang w:val="hr-HR"/>
        </w:rPr>
        <w:fldChar w:fldCharType="separate"/>
      </w:r>
      <w:r w:rsidR="006A0A56">
        <w:rPr>
          <w:i/>
          <w:noProof/>
          <w:lang w:val="hr-HR"/>
        </w:rPr>
        <w:t>9</w:t>
      </w:r>
      <w:r w:rsidRPr="003E7003">
        <w:rPr>
          <w:i/>
          <w:lang w:val="hr-HR"/>
        </w:rPr>
        <w:fldChar w:fldCharType="end"/>
      </w:r>
      <w:r w:rsidRPr="003E7003">
        <w:rPr>
          <w:i/>
          <w:lang w:val="hr-HR"/>
        </w:rPr>
        <w:t xml:space="preserve">: </w:t>
      </w:r>
      <w:r w:rsidR="00C8194C" w:rsidRPr="003E7003">
        <w:rPr>
          <w:i/>
          <w:lang w:val="hr-HR"/>
        </w:rPr>
        <w:t>Kretanje rashoda državnog proračuna u razdoblju 20</w:t>
      </w:r>
      <w:r w:rsidR="00223521" w:rsidRPr="003E7003">
        <w:rPr>
          <w:i/>
          <w:lang w:val="hr-HR"/>
        </w:rPr>
        <w:t>2</w:t>
      </w:r>
      <w:r w:rsidR="003E7003" w:rsidRPr="003E7003">
        <w:rPr>
          <w:i/>
          <w:lang w:val="hr-HR"/>
        </w:rPr>
        <w:t>2</w:t>
      </w:r>
      <w:r w:rsidR="00223521" w:rsidRPr="003E7003">
        <w:rPr>
          <w:i/>
          <w:lang w:val="hr-HR"/>
        </w:rPr>
        <w:t>. - 202</w:t>
      </w:r>
      <w:r w:rsidR="003E7003" w:rsidRPr="003E7003">
        <w:rPr>
          <w:i/>
          <w:lang w:val="hr-HR"/>
        </w:rPr>
        <w:t>6</w:t>
      </w:r>
      <w:r w:rsidR="00C8194C" w:rsidRPr="003E7003">
        <w:rPr>
          <w:i/>
          <w:lang w:val="hr-HR"/>
        </w:rPr>
        <w:t>. po izvorima financiranja</w:t>
      </w:r>
      <w:r w:rsidR="008A4124" w:rsidRPr="003E7003">
        <w:rPr>
          <w:i/>
          <w:lang w:val="hr-HR"/>
        </w:rPr>
        <w:br/>
      </w:r>
      <w:r w:rsidR="003E7003" w:rsidRPr="003E7003">
        <w:rPr>
          <w:rFonts w:cstheme="minorHAnsi"/>
          <w:noProof/>
          <w:lang w:val="hr-HR" w:eastAsia="hr-HR"/>
        </w:rPr>
        <w:drawing>
          <wp:inline distT="0" distB="0" distL="0" distR="0" wp14:anchorId="1F92298B" wp14:editId="45506E05">
            <wp:extent cx="5760281" cy="5591175"/>
            <wp:effectExtent l="0" t="0" r="0" b="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5032" cy="5595787"/>
                    </a:xfrm>
                    <a:prstGeom prst="rect">
                      <a:avLst/>
                    </a:prstGeom>
                    <a:noFill/>
                    <a:ln>
                      <a:noFill/>
                    </a:ln>
                  </pic:spPr>
                </pic:pic>
              </a:graphicData>
            </a:graphic>
          </wp:inline>
        </w:drawing>
      </w:r>
    </w:p>
    <w:p w:rsidR="00BE094B" w:rsidRPr="003E7003" w:rsidRDefault="00BC27DE" w:rsidP="00223521">
      <w:pPr>
        <w:spacing w:after="0"/>
        <w:rPr>
          <w:i/>
          <w:sz w:val="20"/>
          <w:lang w:val="hr-HR"/>
        </w:rPr>
      </w:pPr>
      <w:r w:rsidRPr="003E7003">
        <w:rPr>
          <w:i/>
          <w:sz w:val="20"/>
          <w:lang w:val="hr-HR"/>
        </w:rPr>
        <w:t>Izvor: Ministarstvo financija</w:t>
      </w:r>
    </w:p>
    <w:p w:rsidR="00960F86" w:rsidRPr="000E707F" w:rsidRDefault="00960F86" w:rsidP="00BC27DE">
      <w:pPr>
        <w:rPr>
          <w:i/>
          <w:sz w:val="20"/>
          <w:highlight w:val="yellow"/>
          <w:lang w:val="hr-HR"/>
        </w:rPr>
      </w:pPr>
      <w:r w:rsidRPr="000E707F">
        <w:rPr>
          <w:i/>
          <w:sz w:val="20"/>
          <w:highlight w:val="yellow"/>
          <w:lang w:val="hr-HR"/>
        </w:rPr>
        <w:br w:type="page"/>
      </w:r>
    </w:p>
    <w:p w:rsidR="00695821" w:rsidRPr="00E22A7E" w:rsidRDefault="007E4D7B" w:rsidP="0029489C">
      <w:pPr>
        <w:pStyle w:val="Heading2"/>
        <w:numPr>
          <w:ilvl w:val="1"/>
          <w:numId w:val="16"/>
        </w:numPr>
        <w:ind w:left="993" w:hanging="567"/>
        <w:rPr>
          <w:lang w:val="hr-HR"/>
        </w:rPr>
      </w:pPr>
      <w:bookmarkStart w:id="29" w:name="_Toc150380900"/>
      <w:bookmarkEnd w:id="28"/>
      <w:r w:rsidRPr="00E22A7E">
        <w:rPr>
          <w:lang w:val="hr-HR"/>
        </w:rPr>
        <w:lastRenderedPageBreak/>
        <w:t>Obrazloženje rashoda po ekonomskoj klasifikaciji</w:t>
      </w:r>
      <w:bookmarkEnd w:id="29"/>
    </w:p>
    <w:p w:rsidR="00223521" w:rsidRPr="000E707F" w:rsidRDefault="00223521" w:rsidP="00223521">
      <w:pPr>
        <w:spacing w:after="0" w:line="240" w:lineRule="auto"/>
        <w:jc w:val="both"/>
        <w:rPr>
          <w:b/>
          <w:i/>
          <w:highlight w:val="yellow"/>
          <w:lang w:val="hr-HR"/>
        </w:rPr>
      </w:pPr>
    </w:p>
    <w:p w:rsidR="006A0FFD" w:rsidRPr="000E707F" w:rsidRDefault="006A0FFD" w:rsidP="00223521">
      <w:pPr>
        <w:spacing w:after="0" w:line="240" w:lineRule="auto"/>
        <w:jc w:val="both"/>
        <w:rPr>
          <w:rFonts w:cstheme="minorHAnsi"/>
          <w:highlight w:val="yellow"/>
          <w:lang w:val="hr-HR"/>
        </w:rPr>
      </w:pPr>
    </w:p>
    <w:p w:rsidR="00486340" w:rsidRPr="00C42999" w:rsidRDefault="00486340" w:rsidP="00486340">
      <w:pPr>
        <w:spacing w:after="0"/>
        <w:jc w:val="both"/>
        <w:rPr>
          <w:rFonts w:cstheme="minorHAnsi"/>
          <w:b/>
          <w:i/>
          <w:lang w:val="hr-HR"/>
        </w:rPr>
      </w:pPr>
      <w:r w:rsidRPr="00C42999">
        <w:rPr>
          <w:rFonts w:cstheme="minorHAnsi"/>
          <w:b/>
          <w:i/>
          <w:lang w:val="hr-HR"/>
        </w:rPr>
        <w:t>Rashodi za zaposlene</w:t>
      </w:r>
    </w:p>
    <w:p w:rsidR="00486340" w:rsidRPr="00C42999" w:rsidRDefault="00486340" w:rsidP="00486340">
      <w:pPr>
        <w:spacing w:after="0"/>
        <w:jc w:val="both"/>
        <w:rPr>
          <w:rFonts w:cstheme="minorHAnsi"/>
          <w:lang w:val="hr-HR"/>
        </w:rPr>
      </w:pPr>
      <w:r w:rsidRPr="00C42999">
        <w:rPr>
          <w:rFonts w:cstheme="minorHAnsi"/>
          <w:lang w:val="hr-HR"/>
        </w:rPr>
        <w:t xml:space="preserve">Ukupni rashodi za zaposlene u 2024. godini planiraju se u iznosu od 5,2 milijarde eura (ne uključujući rashode za zaposlene u osnovnom i srednjem školstvu) i u odnosu na tekući plan 2023. godine bilježe rast od 1,3 milijarde eura. </w:t>
      </w:r>
    </w:p>
    <w:p w:rsidR="00486340" w:rsidRPr="00C42999" w:rsidRDefault="00486340" w:rsidP="00486340">
      <w:pPr>
        <w:spacing w:after="0"/>
        <w:jc w:val="both"/>
        <w:rPr>
          <w:rFonts w:cstheme="minorHAnsi"/>
          <w:lang w:val="hr-HR"/>
        </w:rPr>
      </w:pPr>
      <w:r w:rsidRPr="00C42999">
        <w:rPr>
          <w:rFonts w:cstheme="minorHAnsi"/>
          <w:lang w:val="hr-HR"/>
        </w:rPr>
        <w:t>Do povećanja je došlo ponajprije uslijed pune primjene Dodatka III. Temeljnom kolektivnom ugovoru za službenike i namještenike u javnim službama i Dodatka III. Kolektivnom ugovoru za državne službenike i namještenike iz listopada 2023. godine (Narodne novine, br. 128/23) kojima je utvrđeno povećanje:</w:t>
      </w:r>
    </w:p>
    <w:p w:rsidR="00486340" w:rsidRPr="00C42999" w:rsidRDefault="00486340" w:rsidP="00486340">
      <w:pPr>
        <w:pStyle w:val="ListParagraph"/>
        <w:numPr>
          <w:ilvl w:val="0"/>
          <w:numId w:val="27"/>
        </w:numPr>
        <w:spacing w:after="0"/>
        <w:ind w:left="426" w:hanging="284"/>
        <w:jc w:val="both"/>
        <w:rPr>
          <w:rFonts w:cstheme="minorHAnsi"/>
          <w:lang w:val="hr-HR"/>
        </w:rPr>
      </w:pPr>
      <w:r w:rsidRPr="00C42999">
        <w:rPr>
          <w:rFonts w:cstheme="minorHAnsi"/>
          <w:lang w:val="hr-HR"/>
        </w:rPr>
        <w:t xml:space="preserve">osnovice za izračun plaće od 1. listopada 2023. za 5% čime ista iznosi 947,18 €, </w:t>
      </w:r>
    </w:p>
    <w:p w:rsidR="00486340" w:rsidRPr="00C42999" w:rsidRDefault="00486340" w:rsidP="00486340">
      <w:pPr>
        <w:pStyle w:val="ListParagraph"/>
        <w:numPr>
          <w:ilvl w:val="0"/>
          <w:numId w:val="27"/>
        </w:numPr>
        <w:spacing w:after="0"/>
        <w:ind w:left="426" w:hanging="284"/>
        <w:jc w:val="both"/>
        <w:rPr>
          <w:rFonts w:cstheme="minorHAnsi"/>
          <w:lang w:val="hr-HR"/>
        </w:rPr>
      </w:pPr>
      <w:r w:rsidRPr="00C42999">
        <w:rPr>
          <w:rFonts w:cstheme="minorHAnsi"/>
          <w:lang w:val="hr-HR"/>
        </w:rPr>
        <w:t xml:space="preserve">regresa na iznos od 300,00 eura, </w:t>
      </w:r>
    </w:p>
    <w:p w:rsidR="00486340" w:rsidRPr="00C42999" w:rsidRDefault="00486340" w:rsidP="00486340">
      <w:pPr>
        <w:spacing w:after="0"/>
        <w:jc w:val="both"/>
        <w:rPr>
          <w:rFonts w:cstheme="minorHAnsi"/>
          <w:lang w:val="hr-HR"/>
        </w:rPr>
      </w:pPr>
      <w:r w:rsidRPr="00C42999">
        <w:rPr>
          <w:rFonts w:cstheme="minorHAnsi"/>
          <w:lang w:val="hr-HR"/>
        </w:rPr>
        <w:t>ali je uvedeno i novo pravo, odnosno g</w:t>
      </w:r>
      <w:r w:rsidRPr="00C42999">
        <w:rPr>
          <w:rFonts w:cstheme="minorHAnsi"/>
          <w:color w:val="231F20"/>
          <w:shd w:val="clear" w:color="auto" w:fill="FFFFFF"/>
          <w:lang w:val="hr-HR"/>
        </w:rPr>
        <w:t>odišnja nagrada za uskršnje blagdane u iznosu od 100,00 eura.</w:t>
      </w:r>
    </w:p>
    <w:p w:rsidR="00486340" w:rsidRPr="00C42999" w:rsidRDefault="00486340" w:rsidP="00486340">
      <w:pPr>
        <w:spacing w:after="0"/>
        <w:jc w:val="both"/>
        <w:rPr>
          <w:rFonts w:cstheme="minorHAnsi"/>
          <w:lang w:val="hr-HR"/>
        </w:rPr>
      </w:pPr>
    </w:p>
    <w:p w:rsidR="00486340" w:rsidRPr="00C42999" w:rsidRDefault="00486340" w:rsidP="00486340">
      <w:pPr>
        <w:spacing w:after="0"/>
        <w:jc w:val="both"/>
        <w:rPr>
          <w:rFonts w:cstheme="minorHAnsi"/>
          <w:lang w:val="hr-HR"/>
        </w:rPr>
      </w:pPr>
      <w:r w:rsidRPr="00C42999">
        <w:rPr>
          <w:rFonts w:cstheme="minorHAnsi"/>
          <w:lang w:val="hr-HR"/>
        </w:rPr>
        <w:t>Na rast ove kategorije rashoda također utječe daljnja primjena i drugih povećanja ugovorenih u 2023. godini i to:</w:t>
      </w:r>
    </w:p>
    <w:p w:rsidR="00486340" w:rsidRPr="00C42999" w:rsidRDefault="00486340" w:rsidP="00486340">
      <w:pPr>
        <w:pStyle w:val="ListParagraph"/>
        <w:numPr>
          <w:ilvl w:val="0"/>
          <w:numId w:val="27"/>
        </w:numPr>
        <w:spacing w:after="0"/>
        <w:ind w:left="426" w:hanging="284"/>
        <w:jc w:val="both"/>
        <w:rPr>
          <w:rFonts w:cstheme="minorHAnsi"/>
          <w:lang w:val="hr-HR"/>
        </w:rPr>
      </w:pPr>
      <w:r w:rsidRPr="00C42999">
        <w:rPr>
          <w:rFonts w:cstheme="minorHAnsi"/>
          <w:lang w:val="hr-HR"/>
        </w:rPr>
        <w:t>isplate privremenog dodatka na plaću u neto iznosu od 100, 80 i 60 eura mjesečno, ovisno o pripadnosti pojedinog radnog mjesta službenika i namještenika odgovarajućem razredu raspona koeficijenata složenosti poslova, kojim su obuhvaćena radna mjesta s propisanim koeficijentima u rasponu od najnižeg koeficijenta u državnoj službi i javnim službama 0,631 do koeficijenta 1,867 (Odluka VRH od 15. lipnja 2023.)</w:t>
      </w:r>
    </w:p>
    <w:p w:rsidR="00486340" w:rsidRPr="00C42999" w:rsidRDefault="00486340" w:rsidP="00486340">
      <w:pPr>
        <w:pStyle w:val="ListParagraph"/>
        <w:numPr>
          <w:ilvl w:val="0"/>
          <w:numId w:val="27"/>
        </w:numPr>
        <w:spacing w:after="0"/>
        <w:ind w:left="426" w:hanging="284"/>
        <w:jc w:val="both"/>
        <w:rPr>
          <w:rFonts w:cstheme="minorHAnsi"/>
          <w:lang w:val="hr-HR"/>
        </w:rPr>
      </w:pPr>
      <w:r w:rsidRPr="00C42999">
        <w:rPr>
          <w:rFonts w:cstheme="minorHAnsi"/>
          <w:lang w:val="hr-HR"/>
        </w:rPr>
        <w:t xml:space="preserve">isplate dodatka na plaću državnim službenicima i namještenicima u pravosudnim tijelima kojim je državnim službenicima i namještenicima u pravosudnim tijelima, raspoređenim na radna mjesta za koje je utvrđen koeficijent složenosti poslova do 2,30, određena isplata dodatka na plaću u visini od 12% (Odluka VRH 27. srpnja 2023.) </w:t>
      </w:r>
    </w:p>
    <w:p w:rsidR="00486340" w:rsidRPr="00C42999" w:rsidRDefault="00486340" w:rsidP="00486340">
      <w:pPr>
        <w:pStyle w:val="ListParagraph"/>
        <w:numPr>
          <w:ilvl w:val="0"/>
          <w:numId w:val="27"/>
        </w:numPr>
        <w:spacing w:after="0"/>
        <w:ind w:left="426" w:hanging="284"/>
        <w:jc w:val="both"/>
        <w:rPr>
          <w:rFonts w:cstheme="minorHAnsi"/>
          <w:lang w:val="hr-HR"/>
        </w:rPr>
      </w:pPr>
      <w:r w:rsidRPr="00C42999">
        <w:rPr>
          <w:rFonts w:cstheme="minorHAnsi"/>
          <w:lang w:val="hr-HR"/>
        </w:rPr>
        <w:t>isplate dodatka na plaću policijskim službenicima srednje stručne spreme, raspoređenim na radna mjesta srednje stručne spreme u visini od 10% odnosno u visini od 5% ovisno o osnovnom koeficijentu složenosti poslova i dodacima koje ostvaruje temeljem Uredbe o plaćama policijskih službenika (Odluka VRH 24. kolovoza 2023.)</w:t>
      </w:r>
    </w:p>
    <w:p w:rsidR="00486340" w:rsidRPr="00C42999" w:rsidRDefault="00486340" w:rsidP="00486340">
      <w:pPr>
        <w:pStyle w:val="ListParagraph"/>
        <w:numPr>
          <w:ilvl w:val="0"/>
          <w:numId w:val="27"/>
        </w:numPr>
        <w:spacing w:after="0"/>
        <w:ind w:left="426" w:hanging="284"/>
        <w:jc w:val="both"/>
        <w:rPr>
          <w:rFonts w:cstheme="minorHAnsi"/>
          <w:lang w:val="hr-HR"/>
        </w:rPr>
      </w:pPr>
      <w:r w:rsidRPr="00C42999">
        <w:rPr>
          <w:rFonts w:cstheme="minorHAnsi"/>
          <w:lang w:val="hr-HR"/>
        </w:rPr>
        <w:t>isplate dodatka u visini od 10% odnosno u visini od 5% ovisno o osnovnom koeficijentu složenosti poslova službenicima pravosudne policije, službenicima Ministarstva financija, Porezne uprave te službenicima Ministarstva financija, Carinske uprave (Odluka VRH 24. kolovoza 2023.)</w:t>
      </w:r>
    </w:p>
    <w:p w:rsidR="00486340" w:rsidRPr="00C42999" w:rsidRDefault="00486340" w:rsidP="00486340">
      <w:pPr>
        <w:pStyle w:val="ListParagraph"/>
        <w:numPr>
          <w:ilvl w:val="0"/>
          <w:numId w:val="27"/>
        </w:numPr>
        <w:spacing w:after="0"/>
        <w:ind w:left="426" w:hanging="284"/>
        <w:jc w:val="both"/>
        <w:rPr>
          <w:rFonts w:cstheme="minorHAnsi"/>
          <w:lang w:val="hr-HR"/>
        </w:rPr>
      </w:pPr>
      <w:r w:rsidRPr="00C42999">
        <w:rPr>
          <w:rFonts w:cstheme="minorHAnsi"/>
          <w:lang w:val="hr-HR"/>
        </w:rPr>
        <w:t>isplate dodatka na plaću u visini od 10% ostalim državnim službenicima i namještenicima u tijelima državne uprave i drugim državnim tijelima raspoređenim na radna mjesta za koje je utvrđen koeficijent složenosti poslova do 1,867, a koji nemaju pravo na dodatak za poslove s posebnim uvjetima rada odnosno dodatak za specifičnost poslova ili drugi dodatak utvrđen posebnim propisom ili sporazumom. Ako imaju pravo na takav dodatak u iznosu manjem od 10%, određena je isplata dodatka na plaću u visini razlike do 10% (Odluka VRH 24. kolovoza 2023.)</w:t>
      </w:r>
    </w:p>
    <w:p w:rsidR="00486340" w:rsidRPr="00C42999" w:rsidRDefault="00486340" w:rsidP="00486340">
      <w:pPr>
        <w:spacing w:after="0"/>
        <w:jc w:val="both"/>
        <w:rPr>
          <w:rFonts w:cstheme="minorHAnsi"/>
          <w:lang w:val="hr-HR"/>
        </w:rPr>
      </w:pPr>
    </w:p>
    <w:p w:rsidR="00486340" w:rsidRPr="00C42999" w:rsidRDefault="00486340" w:rsidP="00486340">
      <w:pPr>
        <w:spacing w:after="0"/>
        <w:jc w:val="both"/>
        <w:rPr>
          <w:rFonts w:cstheme="minorHAnsi"/>
          <w:lang w:val="hr-HR"/>
        </w:rPr>
      </w:pPr>
      <w:r w:rsidRPr="00C42999">
        <w:rPr>
          <w:rFonts w:cstheme="minorHAnsi"/>
          <w:lang w:val="hr-HR"/>
        </w:rPr>
        <w:t xml:space="preserve">Ovi rashodi financirani iz općih prihoda i primitaka, doprinosa i namjenskih primitaka povećavaju se za 436,5 milijuna eura u odnosu na tekući plan 2023. godine i iznose ukupno 3,3 milijarde eura. </w:t>
      </w:r>
    </w:p>
    <w:p w:rsidR="00486340" w:rsidRPr="00C42999" w:rsidRDefault="00486340" w:rsidP="00486340">
      <w:pPr>
        <w:spacing w:after="0"/>
        <w:jc w:val="both"/>
        <w:rPr>
          <w:rFonts w:cstheme="minorHAnsi"/>
          <w:lang w:val="hr-HR"/>
        </w:rPr>
      </w:pPr>
    </w:p>
    <w:p w:rsidR="00486340" w:rsidRPr="00C42999" w:rsidRDefault="00486340" w:rsidP="00486340">
      <w:pPr>
        <w:spacing w:after="0"/>
        <w:jc w:val="both"/>
        <w:rPr>
          <w:rFonts w:cstheme="minorHAnsi"/>
          <w:lang w:val="hr-HR"/>
        </w:rPr>
      </w:pPr>
      <w:r w:rsidRPr="00C42999">
        <w:rPr>
          <w:rFonts w:cstheme="minorHAnsi"/>
          <w:lang w:val="hr-HR"/>
        </w:rPr>
        <w:t xml:space="preserve">Rashodi za zaposlene financirani iz EU sredstava planiraju se na razini od 101,8 milijuna eura i bilježe rast od 6,9 milijuna eura u odnosu na tekući plan 2023. godine obzirom da se dio plaća djelatnika koji </w:t>
      </w:r>
      <w:r w:rsidRPr="00C42999">
        <w:rPr>
          <w:rFonts w:cstheme="minorHAnsi"/>
          <w:lang w:val="hr-HR"/>
        </w:rPr>
        <w:lastRenderedPageBreak/>
        <w:t>sudjeluju u sustavu upravljanja i kontrole korištenja EU fondova sufinancira iz EU sredstava (kroz prioritet Tehničke pomoći u pojedinom Operativnom programu). Rashodi za zaposlene financirani iz ostalih izvora povećavaju se za 832,4 milijuna eura u odnosu na tekući plan 2023. godine prvenstveno radi uključivanja općih bolnica i njihovih prihoda i rashoda u državni proračun. Naime, od 1. siječnja 2024. jedinice područne (regionalne) samouprave i Grad Zagreb prestaju biti osnivači općih bolnica, a osnivač postaje Republika Hrvatska. Nastavno na navedeno, 1. siječnja 2024. 22 opće bolnice i ustanove u zdravstvu prestaju biti proračunski korisnici jedinica područne (regionalne) samouprave i postaju proračunski korisnici državnog proračuna, a njihovi ukupni prihodi i primici, rashodi i izdaci uključuju se u državni proračun. Osim toga na rast ove kategorije rashoda utjecalo je osiguranje dodatnih sredstava za rashode za zaposlene za ustanove u zdravstvu koje su već uključene u državni proračun uslijed primjene ugovorenih povećanja dodacima kolektivnim ugovorima i odlukama Vlade o isplatama dodataka.</w:t>
      </w:r>
    </w:p>
    <w:p w:rsidR="00561A2E" w:rsidRDefault="00561A2E" w:rsidP="00561A2E">
      <w:pPr>
        <w:spacing w:after="0"/>
        <w:jc w:val="both"/>
        <w:rPr>
          <w:rFonts w:cstheme="minorHAnsi"/>
          <w:lang w:val="hr-HR"/>
        </w:rPr>
      </w:pPr>
    </w:p>
    <w:p w:rsidR="00486340" w:rsidRPr="00C42999" w:rsidRDefault="00561A2E" w:rsidP="00561A2E">
      <w:pPr>
        <w:spacing w:after="0"/>
        <w:jc w:val="both"/>
        <w:rPr>
          <w:rFonts w:cstheme="minorHAnsi"/>
          <w:lang w:val="hr-HR"/>
        </w:rPr>
      </w:pPr>
      <w:r w:rsidRPr="00561A2E">
        <w:rPr>
          <w:rFonts w:cstheme="minorHAnsi"/>
          <w:lang w:val="hr-HR"/>
        </w:rPr>
        <w:t xml:space="preserve">Povećanje ove kategorije rashoda rezultat je i očekivane primjene novog Zakona o plaćama </w:t>
      </w:r>
      <w:r w:rsidR="00096060">
        <w:rPr>
          <w:rFonts w:cstheme="minorHAnsi"/>
          <w:lang w:val="hr-HR"/>
        </w:rPr>
        <w:t xml:space="preserve"> </w:t>
      </w:r>
      <w:r w:rsidRPr="00561A2E">
        <w:rPr>
          <w:rFonts w:cstheme="minorHAnsi"/>
          <w:lang w:val="hr-HR"/>
        </w:rPr>
        <w:t xml:space="preserve">u državnoj službi i javnim službama.  </w:t>
      </w:r>
    </w:p>
    <w:p w:rsidR="00486340" w:rsidRPr="00C42999" w:rsidRDefault="00486340" w:rsidP="00486340">
      <w:pPr>
        <w:spacing w:after="0"/>
        <w:jc w:val="both"/>
        <w:rPr>
          <w:rFonts w:cstheme="minorHAnsi"/>
          <w:lang w:val="hr-HR"/>
        </w:rPr>
      </w:pPr>
    </w:p>
    <w:p w:rsidR="00486340" w:rsidRPr="00C42999" w:rsidRDefault="00486340" w:rsidP="00486340">
      <w:pPr>
        <w:spacing w:after="0"/>
        <w:jc w:val="both"/>
        <w:rPr>
          <w:rFonts w:cstheme="minorHAnsi"/>
          <w:lang w:val="hr-HR"/>
        </w:rPr>
      </w:pPr>
      <w:r w:rsidRPr="00C42999">
        <w:rPr>
          <w:rFonts w:cstheme="minorHAnsi"/>
          <w:lang w:val="hr-HR"/>
        </w:rPr>
        <w:t xml:space="preserve">U 2025. i 2026. godini ovi rashodi planirani su na razini od 5,3 milijarde eura, odnosno 5,4 milijarde eura. </w:t>
      </w:r>
    </w:p>
    <w:p w:rsidR="00486340" w:rsidRPr="00C42999" w:rsidRDefault="00486340" w:rsidP="00486340">
      <w:pPr>
        <w:spacing w:after="0"/>
        <w:jc w:val="both"/>
        <w:rPr>
          <w:rFonts w:cstheme="minorHAnsi"/>
          <w:b/>
          <w:i/>
          <w:lang w:val="hr-HR"/>
        </w:rPr>
      </w:pPr>
    </w:p>
    <w:p w:rsidR="00486340" w:rsidRPr="00C42999" w:rsidRDefault="00486340" w:rsidP="00486340">
      <w:pPr>
        <w:spacing w:after="0"/>
        <w:jc w:val="both"/>
        <w:rPr>
          <w:rFonts w:cstheme="minorHAnsi"/>
          <w:b/>
          <w:i/>
          <w:lang w:val="hr-HR"/>
        </w:rPr>
      </w:pPr>
      <w:r w:rsidRPr="00C42999">
        <w:rPr>
          <w:rFonts w:cstheme="minorHAnsi"/>
          <w:b/>
          <w:i/>
          <w:lang w:val="hr-HR"/>
        </w:rPr>
        <w:t>Materijalni rashodi</w:t>
      </w:r>
    </w:p>
    <w:p w:rsidR="00486340" w:rsidRPr="00C42999" w:rsidRDefault="00486340" w:rsidP="00486340">
      <w:pPr>
        <w:spacing w:after="0"/>
        <w:jc w:val="both"/>
        <w:rPr>
          <w:rFonts w:cstheme="minorHAnsi"/>
          <w:lang w:val="hr-HR"/>
        </w:rPr>
      </w:pPr>
      <w:r w:rsidRPr="00C42999">
        <w:rPr>
          <w:rFonts w:cstheme="minorHAnsi"/>
          <w:lang w:val="hr-HR"/>
        </w:rPr>
        <w:t xml:space="preserve">Ukupni materijalni rashodi u 2024. godini planiraju se u iznosu od 3,2 milijarde eura i u odnosu na tekući plan 2023. godine povećavaju se za 374,2 milijuna eura. Navedeno povećanje rezultat je povećanja ove kategorije rashoda financiranih iz općih prihoda i primitaka, doprinosa i namjenskih primitaka za iznos od 174,4 milijuna eura, ali i onih koji se financiraju iz EU i ostalih izvora za 199,8 milijuna eura i to prvenstveno radi uključivanja 22 opće bolnice i ustanova u zdravstvu i njihovih prihoda i rashoda u državni proračun. </w:t>
      </w:r>
    </w:p>
    <w:p w:rsidR="00486340" w:rsidRPr="00C42999" w:rsidRDefault="00486340" w:rsidP="00486340">
      <w:pPr>
        <w:spacing w:after="0"/>
        <w:jc w:val="both"/>
        <w:rPr>
          <w:rFonts w:cstheme="minorHAnsi"/>
          <w:lang w:val="hr-HR"/>
        </w:rPr>
      </w:pPr>
    </w:p>
    <w:p w:rsidR="00486340" w:rsidRPr="00C42999" w:rsidRDefault="00486340" w:rsidP="00486340">
      <w:pPr>
        <w:spacing w:after="0"/>
        <w:jc w:val="both"/>
        <w:rPr>
          <w:rFonts w:cstheme="minorHAnsi"/>
          <w:lang w:val="hr-HR"/>
        </w:rPr>
      </w:pPr>
      <w:r w:rsidRPr="00C42999">
        <w:rPr>
          <w:rFonts w:cstheme="minorHAnsi"/>
          <w:lang w:val="hr-HR"/>
        </w:rPr>
        <w:t xml:space="preserve">U 2025. i 2026. godini ukupni materijalni rashodi projicirani su na razini od 3,4 milijarde eura, odnosno 3,5 milijarde eura. </w:t>
      </w:r>
    </w:p>
    <w:p w:rsidR="00486340" w:rsidRPr="00C42999" w:rsidRDefault="00486340" w:rsidP="00486340">
      <w:pPr>
        <w:spacing w:after="0"/>
        <w:jc w:val="both"/>
        <w:rPr>
          <w:rFonts w:cstheme="minorHAnsi"/>
          <w:lang w:val="hr-HR"/>
        </w:rPr>
      </w:pPr>
    </w:p>
    <w:p w:rsidR="00486340" w:rsidRPr="00C42999" w:rsidRDefault="00486340" w:rsidP="00486340">
      <w:pPr>
        <w:spacing w:after="0"/>
        <w:jc w:val="both"/>
        <w:rPr>
          <w:rFonts w:cstheme="minorHAnsi"/>
          <w:b/>
          <w:i/>
          <w:lang w:val="hr-HR"/>
        </w:rPr>
      </w:pPr>
      <w:r w:rsidRPr="00C42999">
        <w:rPr>
          <w:rFonts w:cstheme="minorHAnsi"/>
          <w:b/>
          <w:i/>
          <w:lang w:val="hr-HR"/>
        </w:rPr>
        <w:t>Financijski rashodi</w:t>
      </w:r>
    </w:p>
    <w:p w:rsidR="00486340" w:rsidRPr="00C42999" w:rsidRDefault="00486340" w:rsidP="00486340">
      <w:pPr>
        <w:spacing w:after="0"/>
        <w:jc w:val="both"/>
        <w:rPr>
          <w:rFonts w:cstheme="minorHAnsi"/>
          <w:lang w:val="hr-HR"/>
        </w:rPr>
      </w:pPr>
      <w:r w:rsidRPr="00C42999">
        <w:rPr>
          <w:rFonts w:cstheme="minorHAnsi"/>
          <w:lang w:val="hr-HR"/>
        </w:rPr>
        <w:t xml:space="preserve">Financijski rashodi, koje čine kamate za izdane vrijednosne papire, kamate za primljene zajmove i ostali financijski rashodi, projicirani su u skladu sa stanjem uvjeta na financijskim tržištima, odnosno troškovima servisiranja javnog duga.  Ovi rashodi u 2024. godini planirani su na razini od 1,2 milijarde eura i u odnosu na tekući plan 2023. godine bilježe rast od 193,7 milijuna eura. U 2025. financijski rashodi projicirani su u iznosu od 1,4 milijarde eura, a u 2026. godini na razini od 1,5 milijardi eura. </w:t>
      </w:r>
    </w:p>
    <w:p w:rsidR="00486340" w:rsidRPr="00C42999" w:rsidRDefault="00486340" w:rsidP="00486340">
      <w:pPr>
        <w:spacing w:after="0"/>
        <w:jc w:val="both"/>
        <w:rPr>
          <w:rFonts w:cstheme="minorHAnsi"/>
          <w:b/>
          <w:i/>
          <w:lang w:val="hr-HR"/>
        </w:rPr>
      </w:pPr>
    </w:p>
    <w:p w:rsidR="00486340" w:rsidRPr="00C42999" w:rsidRDefault="00486340" w:rsidP="00486340">
      <w:pPr>
        <w:spacing w:after="0"/>
        <w:jc w:val="both"/>
        <w:rPr>
          <w:rFonts w:cstheme="minorHAnsi"/>
          <w:b/>
          <w:i/>
          <w:lang w:val="hr-HR"/>
        </w:rPr>
      </w:pPr>
      <w:r w:rsidRPr="00C42999">
        <w:rPr>
          <w:rFonts w:cstheme="minorHAnsi"/>
          <w:b/>
          <w:i/>
          <w:lang w:val="hr-HR"/>
        </w:rPr>
        <w:t>Subvencije</w:t>
      </w:r>
    </w:p>
    <w:p w:rsidR="00486340" w:rsidRPr="00C42999" w:rsidRDefault="00486340" w:rsidP="00486340">
      <w:pPr>
        <w:spacing w:after="0"/>
        <w:jc w:val="both"/>
        <w:rPr>
          <w:rFonts w:cstheme="minorHAnsi"/>
          <w:lang w:val="hr-HR"/>
        </w:rPr>
      </w:pPr>
      <w:r w:rsidRPr="00C42999">
        <w:rPr>
          <w:rFonts w:cstheme="minorHAnsi"/>
          <w:lang w:val="hr-HR"/>
        </w:rPr>
        <w:t xml:space="preserve">Rashodi za subvencije u 2024. godini planiraju se u iznosu od 1,8 milijardi eura te se u odnosu na tekući plan 2023. godine smanjuju za 99,3 milijuna eura. Subvencije financirane iz općih prihoda i primitaka, doprinosa i namjenskih primitaka povećavaju se za 66,3 milijuna eura. Ovo povećanje rezultat je osiguranja dodatnih sredstava za nadoknadu troškova Hrvatskoj elektroprivredi d.d. vezanih uz financiranje obveze osiguranja zaliha plina na teritoriju Republike Hrvatske u skladu s Odlukom VRH u skladištu PSP Okoli i istovremenog smanjenja izdvajanja za otklanjanje poremećaja na domaćem tržištu </w:t>
      </w:r>
      <w:r w:rsidRPr="00C42999">
        <w:rPr>
          <w:rFonts w:cstheme="minorHAnsi"/>
          <w:lang w:val="hr-HR"/>
        </w:rPr>
        <w:lastRenderedPageBreak/>
        <w:t xml:space="preserve">energije (budući da se ova mjera Vlade u skladu s preporukama Europske komisije planira provoditi do kraja ožujka 2024.) </w:t>
      </w:r>
    </w:p>
    <w:p w:rsidR="00486340" w:rsidRPr="00C42999" w:rsidRDefault="00486340" w:rsidP="00486340">
      <w:pPr>
        <w:spacing w:after="0"/>
        <w:jc w:val="both"/>
        <w:rPr>
          <w:rFonts w:cstheme="minorHAnsi"/>
          <w:lang w:val="hr-HR"/>
        </w:rPr>
      </w:pPr>
    </w:p>
    <w:p w:rsidR="00486340" w:rsidRPr="00C42999" w:rsidRDefault="00486340" w:rsidP="00486340">
      <w:pPr>
        <w:spacing w:after="0"/>
        <w:jc w:val="both"/>
        <w:rPr>
          <w:rFonts w:cstheme="minorHAnsi"/>
          <w:lang w:val="hr-HR"/>
        </w:rPr>
      </w:pPr>
      <w:r w:rsidRPr="00C42999">
        <w:rPr>
          <w:rFonts w:cstheme="minorHAnsi"/>
          <w:lang w:val="hr-HR"/>
        </w:rPr>
        <w:t>Nadalje, kao posljedica završetka programskog razdoblja 2014. - 2020. subvencije financirane iz EU i ostalih izvora smanjuju se za 165,7 milijuna eura.</w:t>
      </w:r>
    </w:p>
    <w:p w:rsidR="00486340" w:rsidRPr="00C42999" w:rsidRDefault="00486340" w:rsidP="00486340">
      <w:pPr>
        <w:spacing w:after="0"/>
        <w:jc w:val="both"/>
        <w:rPr>
          <w:rFonts w:cstheme="minorHAnsi"/>
          <w:lang w:val="hr-HR"/>
        </w:rPr>
      </w:pPr>
    </w:p>
    <w:p w:rsidR="00486340" w:rsidRPr="00C42999" w:rsidRDefault="00486340" w:rsidP="00486340">
      <w:pPr>
        <w:spacing w:after="0"/>
        <w:jc w:val="both"/>
        <w:rPr>
          <w:rFonts w:cstheme="minorHAnsi"/>
          <w:lang w:val="hr-HR"/>
        </w:rPr>
      </w:pPr>
      <w:r w:rsidRPr="00C42999">
        <w:rPr>
          <w:rFonts w:cstheme="minorHAnsi"/>
          <w:lang w:val="hr-HR"/>
        </w:rPr>
        <w:t>Ovi rashodi u 2025. i 2026. godini projicirani su na razini od 1,3 milijarde eura, odnosno 1,2 milijarde eura.</w:t>
      </w:r>
    </w:p>
    <w:p w:rsidR="00486340" w:rsidRPr="00C42999" w:rsidRDefault="00486340" w:rsidP="00486340">
      <w:pPr>
        <w:spacing w:after="0"/>
        <w:jc w:val="both"/>
        <w:rPr>
          <w:rFonts w:cstheme="minorHAnsi"/>
          <w:lang w:val="hr-HR"/>
        </w:rPr>
      </w:pPr>
    </w:p>
    <w:p w:rsidR="00486340" w:rsidRPr="00C42999" w:rsidRDefault="00486340" w:rsidP="00486340">
      <w:pPr>
        <w:spacing w:after="0"/>
        <w:jc w:val="both"/>
        <w:rPr>
          <w:rFonts w:cstheme="minorHAnsi"/>
          <w:b/>
          <w:i/>
          <w:lang w:val="hr-HR"/>
        </w:rPr>
      </w:pPr>
      <w:r w:rsidRPr="00C42999">
        <w:rPr>
          <w:rFonts w:cstheme="minorHAnsi"/>
          <w:b/>
          <w:i/>
          <w:lang w:val="hr-HR"/>
        </w:rPr>
        <w:t xml:space="preserve">Pomoći </w:t>
      </w:r>
    </w:p>
    <w:p w:rsidR="00486340" w:rsidRPr="00C42999" w:rsidRDefault="00486340" w:rsidP="00486340">
      <w:pPr>
        <w:spacing w:after="0"/>
        <w:jc w:val="both"/>
        <w:rPr>
          <w:rFonts w:cstheme="minorHAnsi"/>
          <w:lang w:val="hr-HR"/>
        </w:rPr>
      </w:pPr>
      <w:r w:rsidRPr="00C42999">
        <w:rPr>
          <w:rFonts w:cstheme="minorHAnsi"/>
          <w:lang w:val="hr-HR"/>
        </w:rPr>
        <w:t>Rashodi za pomoći državnog proračuna dane u inozemstvo i unutar opće države u 2024. godini zadržani su na razini tekućeg plana 2023. godine, odnosno predviđeni su u iznosu od 6,8 milijarde eura. Ovakva razina pomoći rezultat je:</w:t>
      </w:r>
    </w:p>
    <w:p w:rsidR="00486340" w:rsidRPr="00C42999" w:rsidRDefault="00486340" w:rsidP="00486340">
      <w:pPr>
        <w:pStyle w:val="ListParagraph"/>
        <w:numPr>
          <w:ilvl w:val="0"/>
          <w:numId w:val="28"/>
        </w:numPr>
        <w:spacing w:after="0"/>
        <w:ind w:left="567" w:hanging="283"/>
        <w:jc w:val="both"/>
        <w:rPr>
          <w:rFonts w:cstheme="minorHAnsi"/>
          <w:lang w:val="hr-HR"/>
        </w:rPr>
      </w:pPr>
      <w:r w:rsidRPr="00C42999">
        <w:rPr>
          <w:rFonts w:cstheme="minorHAnsi"/>
          <w:lang w:val="hr-HR"/>
        </w:rPr>
        <w:t xml:space="preserve">s jedne strane povećanja rashoda financiranih iz općih prihoda i primitaka, doprinosa i namjenskih primitaka u iznosu od 455,0 milijuna eura od čega najvećim dijelom za rashode za zaposlene u osnovnim i srednjim školama (203,2 milijuna eura), programe djelatnosti zaštite, očuvanja i održivog upravljanja kulturnom baštinom (140,2 milijuna eura, najvećim dijelom za sanaciju štete od potresa ustanova u kulturi), financiranje i sufinanciranje građenja, modernizacije i obnove željezničke infrastrukture (87,4 milijuna eura), fiskalnu održivost dječjih vrtića (52,4 milijuna eura), </w:t>
      </w:r>
    </w:p>
    <w:p w:rsidR="00486340" w:rsidRPr="00C42999" w:rsidRDefault="00486340" w:rsidP="00486340">
      <w:pPr>
        <w:pStyle w:val="ListParagraph"/>
        <w:numPr>
          <w:ilvl w:val="0"/>
          <w:numId w:val="28"/>
        </w:numPr>
        <w:spacing w:after="0"/>
        <w:ind w:left="567" w:hanging="283"/>
        <w:jc w:val="both"/>
        <w:rPr>
          <w:rFonts w:cstheme="minorHAnsi"/>
          <w:lang w:val="hr-HR"/>
        </w:rPr>
      </w:pPr>
      <w:r w:rsidRPr="00C42999">
        <w:rPr>
          <w:rFonts w:cstheme="minorHAnsi"/>
          <w:lang w:val="hr-HR"/>
        </w:rPr>
        <w:t>a s druge strane smanjenja rashoda financiranih iz EU i ostalih izvora u iznosu od 421,8 milijuna eura što je posljedica završetka programskog razdoblja 2014. - 2020. te razdoblja korištenja sredstava Fonda solidarnosti Europske unije.</w:t>
      </w:r>
    </w:p>
    <w:p w:rsidR="00486340" w:rsidRPr="00C42999" w:rsidRDefault="00486340" w:rsidP="00486340">
      <w:pPr>
        <w:spacing w:after="0"/>
        <w:ind w:left="284"/>
        <w:jc w:val="both"/>
        <w:rPr>
          <w:rFonts w:cstheme="minorHAnsi"/>
          <w:lang w:val="hr-HR"/>
        </w:rPr>
      </w:pPr>
    </w:p>
    <w:p w:rsidR="00486340" w:rsidRPr="00C42999" w:rsidRDefault="00486340" w:rsidP="00486340">
      <w:pPr>
        <w:spacing w:after="0"/>
        <w:jc w:val="both"/>
        <w:rPr>
          <w:rFonts w:cstheme="minorHAnsi"/>
          <w:lang w:val="hr-HR"/>
        </w:rPr>
      </w:pPr>
      <w:r w:rsidRPr="00C42999">
        <w:rPr>
          <w:rFonts w:cstheme="minorHAnsi"/>
          <w:lang w:val="hr-HR"/>
        </w:rPr>
        <w:t>U okviru ove kategorije rashoda planiraju se i sredstva za dobrovoljna spajanja jedinica lokalne samouprave (koja u odnosu na plan 2023. godine rastu za 100% i planiraju se na razini od 10,0 milijuna eura) kao i za pomoć fiskalnog izravnanja jedinicama lokalne i područne (regionalne) samouprave koja je planirana na razini 2023. godine.</w:t>
      </w:r>
    </w:p>
    <w:p w:rsidR="00486340" w:rsidRPr="00C42999" w:rsidRDefault="00486340" w:rsidP="00486340">
      <w:pPr>
        <w:spacing w:after="0"/>
        <w:jc w:val="both"/>
        <w:rPr>
          <w:rFonts w:cstheme="minorHAnsi"/>
          <w:lang w:val="hr-HR"/>
        </w:rPr>
      </w:pPr>
    </w:p>
    <w:p w:rsidR="00486340" w:rsidRPr="00C42999" w:rsidRDefault="00486340" w:rsidP="00486340">
      <w:pPr>
        <w:spacing w:after="0"/>
        <w:jc w:val="both"/>
        <w:rPr>
          <w:rFonts w:cstheme="minorHAnsi"/>
          <w:lang w:val="hr-HR"/>
        </w:rPr>
      </w:pPr>
      <w:r w:rsidRPr="00C42999">
        <w:rPr>
          <w:rFonts w:cstheme="minorHAnsi"/>
          <w:lang w:val="hr-HR"/>
        </w:rPr>
        <w:t xml:space="preserve">U 2025. godini ukupne pomoći projicirane su na razini od 7,2 milijarde eura budući da se očekuje provedba projekata iz novog programskog razdoblja 2021. - 2027. U 2026. godini se ova kategorija rashoda planira na razini od 6,6 milijardi eura. </w:t>
      </w:r>
    </w:p>
    <w:p w:rsidR="00486340" w:rsidRPr="00C42999" w:rsidRDefault="00486340" w:rsidP="00486340">
      <w:pPr>
        <w:spacing w:after="0"/>
        <w:jc w:val="both"/>
        <w:rPr>
          <w:rFonts w:cstheme="minorHAnsi"/>
          <w:lang w:val="hr-HR"/>
        </w:rPr>
      </w:pPr>
    </w:p>
    <w:p w:rsidR="00486340" w:rsidRPr="00C42999" w:rsidRDefault="00486340" w:rsidP="00486340">
      <w:pPr>
        <w:spacing w:after="0"/>
        <w:jc w:val="both"/>
        <w:rPr>
          <w:rFonts w:cstheme="minorHAnsi"/>
          <w:b/>
          <w:i/>
          <w:lang w:val="hr-HR"/>
        </w:rPr>
      </w:pPr>
      <w:r w:rsidRPr="00C42999">
        <w:rPr>
          <w:rFonts w:cstheme="minorHAnsi"/>
          <w:b/>
          <w:i/>
          <w:lang w:val="hr-HR"/>
        </w:rPr>
        <w:t xml:space="preserve">Naknade građanima i kućanstvima </w:t>
      </w:r>
    </w:p>
    <w:p w:rsidR="00486340" w:rsidRPr="00C42999" w:rsidRDefault="00486340" w:rsidP="00486340">
      <w:pPr>
        <w:tabs>
          <w:tab w:val="num" w:pos="1440"/>
        </w:tabs>
        <w:spacing w:after="0"/>
        <w:jc w:val="both"/>
        <w:rPr>
          <w:rFonts w:cstheme="minorHAnsi"/>
          <w:lang w:val="hr-HR"/>
        </w:rPr>
      </w:pPr>
      <w:r w:rsidRPr="00C42999">
        <w:rPr>
          <w:rFonts w:cstheme="minorHAnsi"/>
          <w:lang w:val="hr-HR"/>
        </w:rPr>
        <w:t xml:space="preserve">Naknade građanima i kućanstvima čine i u 2024. najznačajniju skupinu rashoda proračuna te se planiraju u iznosu od 10,5 milijardi eura što čini povećanje od 1,5 milijardi eura u odnosu na tekući plan 2023. godine. Ovo povećanje rezultat je porasta ove kategorije rashoda financiranih iz općih prihoda i primitaka, doprinosa i namjenskih primitka. </w:t>
      </w:r>
    </w:p>
    <w:p w:rsidR="00486340" w:rsidRPr="00C42999" w:rsidRDefault="00486340" w:rsidP="00486340">
      <w:pPr>
        <w:tabs>
          <w:tab w:val="num" w:pos="1440"/>
        </w:tabs>
        <w:spacing w:after="0"/>
        <w:jc w:val="both"/>
        <w:rPr>
          <w:rFonts w:cstheme="minorHAnsi"/>
          <w:lang w:val="hr-HR"/>
        </w:rPr>
      </w:pPr>
    </w:p>
    <w:p w:rsidR="00486340" w:rsidRPr="00C42999" w:rsidRDefault="00486340" w:rsidP="00486340">
      <w:pPr>
        <w:tabs>
          <w:tab w:val="num" w:pos="1440"/>
        </w:tabs>
        <w:spacing w:after="0"/>
        <w:jc w:val="both"/>
        <w:rPr>
          <w:rFonts w:cstheme="minorHAnsi"/>
          <w:lang w:val="hr-HR"/>
        </w:rPr>
      </w:pPr>
      <w:r w:rsidRPr="00C42999">
        <w:rPr>
          <w:rFonts w:cstheme="minorHAnsi"/>
          <w:lang w:val="hr-HR"/>
        </w:rPr>
        <w:t xml:space="preserve">Povećavaju se izdvajanja za mirovine za iznos od 1,1 milijardu eura kao rezultat očekivane indeksacije po općim i posebnim propisima i očekivanog rasta broja korisnika. </w:t>
      </w:r>
    </w:p>
    <w:p w:rsidR="00486340" w:rsidRPr="00C42999" w:rsidRDefault="00486340" w:rsidP="00486340">
      <w:pPr>
        <w:tabs>
          <w:tab w:val="num" w:pos="1440"/>
        </w:tabs>
        <w:spacing w:after="0"/>
        <w:jc w:val="both"/>
        <w:rPr>
          <w:rFonts w:cstheme="minorHAnsi"/>
          <w:lang w:val="hr-HR"/>
        </w:rPr>
      </w:pPr>
    </w:p>
    <w:p w:rsidR="00486340" w:rsidRPr="00C42999" w:rsidRDefault="00486340" w:rsidP="00486340">
      <w:pPr>
        <w:tabs>
          <w:tab w:val="num" w:pos="1440"/>
        </w:tabs>
        <w:spacing w:after="0"/>
        <w:jc w:val="both"/>
        <w:rPr>
          <w:rFonts w:eastAsia="Times New Roman" w:cstheme="minorHAnsi"/>
          <w:lang w:val="hr-HR" w:eastAsia="hr-HR"/>
        </w:rPr>
      </w:pPr>
      <w:r w:rsidRPr="00C42999">
        <w:rPr>
          <w:rFonts w:eastAsia="Times New Roman" w:cstheme="minorHAnsi"/>
          <w:lang w:val="hr-HR" w:eastAsia="hr-HR"/>
        </w:rPr>
        <w:t>U okviru ove kategorije rashoda osiguravaju se sredstva za primjenu Zakona o inkluzivnom dodatku</w:t>
      </w:r>
      <w:r w:rsidRPr="00C42999">
        <w:rPr>
          <w:rFonts w:cstheme="minorHAnsi"/>
          <w:lang w:val="hr-HR"/>
        </w:rPr>
        <w:t xml:space="preserve"> u iznosu od </w:t>
      </w:r>
      <w:r w:rsidRPr="00C42999">
        <w:rPr>
          <w:rFonts w:eastAsia="Times New Roman" w:cstheme="minorHAnsi"/>
          <w:lang w:val="hr-HR" w:eastAsia="hr-HR"/>
        </w:rPr>
        <w:t xml:space="preserve">442,1 milijuna eura. Inkluzivni dodatak </w:t>
      </w:r>
      <w:r w:rsidRPr="00C42999">
        <w:rPr>
          <w:rFonts w:cstheme="minorHAnsi"/>
          <w:lang w:val="hr-HR"/>
        </w:rPr>
        <w:t>je novčana naknada namijenjena osobama s invaliditetom i osobama s teškoćama u razvoju.</w:t>
      </w:r>
      <w:r w:rsidRPr="00C42999">
        <w:rPr>
          <w:rFonts w:eastAsia="Times New Roman" w:cstheme="minorHAnsi"/>
          <w:lang w:val="hr-HR" w:eastAsia="hr-HR"/>
        </w:rPr>
        <w:t xml:space="preserve"> Ovaj dodatak nije u potpunosti nova novčana naknada </w:t>
      </w:r>
      <w:r w:rsidRPr="00C42999">
        <w:rPr>
          <w:rFonts w:eastAsia="Times New Roman" w:cstheme="minorHAnsi"/>
          <w:lang w:val="hr-HR" w:eastAsia="hr-HR"/>
        </w:rPr>
        <w:lastRenderedPageBreak/>
        <w:t xml:space="preserve">već se njime objedinjavaju postojeća prava na osobnu invalidninu, pravo na doplatak za pomoć i njegu, pravo na doplatak za dijete s težim ili teškim invaliditetom i dijete s oštećenjem zdravlja te pravo na novčanu pomoć za nezaposlene osobe s invaliditetom. Međutim, osim objedinjavanja postojećih prava iznos inkluzivnog dodatka za sve korisnike bit će veći od iznosa objedinjenih naknada koje sada ostvaruju osobe s invaliditetom, s posebnim naglaskom na djecu s teškoćama u razvoju. U odnosu na postojeća prava dodatna izdvajanja za inkluzivni dodatak u odnosu na tekući plan 2023. godine iznose 234,7 milijuna eura. </w:t>
      </w:r>
    </w:p>
    <w:p w:rsidR="00486340" w:rsidRPr="00C42999" w:rsidRDefault="00486340" w:rsidP="00486340">
      <w:pPr>
        <w:tabs>
          <w:tab w:val="num" w:pos="1440"/>
        </w:tabs>
        <w:spacing w:after="0"/>
        <w:jc w:val="both"/>
        <w:rPr>
          <w:rFonts w:eastAsia="Times New Roman" w:cstheme="minorHAnsi"/>
          <w:lang w:val="hr-HR" w:eastAsia="hr-HR"/>
        </w:rPr>
      </w:pPr>
    </w:p>
    <w:p w:rsidR="00486340" w:rsidRPr="00C42999" w:rsidRDefault="00486340" w:rsidP="00486340">
      <w:pPr>
        <w:tabs>
          <w:tab w:val="num" w:pos="1440"/>
        </w:tabs>
        <w:spacing w:after="0"/>
        <w:jc w:val="both"/>
        <w:rPr>
          <w:rFonts w:eastAsia="Times New Roman" w:cstheme="minorHAnsi"/>
          <w:lang w:val="hr-HR" w:eastAsia="hr-HR"/>
        </w:rPr>
      </w:pPr>
      <w:r w:rsidRPr="00C42999">
        <w:rPr>
          <w:rFonts w:eastAsia="Times New Roman" w:cstheme="minorHAnsi"/>
          <w:lang w:val="hr-HR" w:eastAsia="hr-HR"/>
        </w:rPr>
        <w:t xml:space="preserve">Osim toga na ovoj kategoriji rashoda osiguravaju se i sredstva za provedbu Zakona o osobnoj asistenciji u iznosu od 118,6 milijuna eura (pri čemu rast u odnosu na tekući plan 2023. iznosi 116,7 milijuna eura). Naime, do sada je pružanje usluge osobne asistencije bilo ograničeno modelom financiranja putem projekata koji su vođeni od strane udruga te ograničeno projektnim financiranje, a sada postaje zakonsko pravo. Predloženim zakonskim rješenjem proširen je krug osoba koje imaju pravo na uslugu osobne asistencije te je povećana ukupna cijena sata usluge koja se plaća osobnom asistentu. </w:t>
      </w:r>
    </w:p>
    <w:p w:rsidR="00486340" w:rsidRPr="00C42999" w:rsidRDefault="00486340" w:rsidP="00486340">
      <w:pPr>
        <w:tabs>
          <w:tab w:val="num" w:pos="1440"/>
        </w:tabs>
        <w:spacing w:after="0"/>
        <w:jc w:val="both"/>
        <w:rPr>
          <w:rFonts w:eastAsia="Times New Roman" w:cstheme="minorHAnsi"/>
          <w:lang w:val="hr-HR" w:eastAsia="hr-HR"/>
        </w:rPr>
      </w:pPr>
      <w:r w:rsidRPr="00C42999">
        <w:rPr>
          <w:rFonts w:eastAsia="Times New Roman" w:cstheme="minorHAnsi"/>
          <w:lang w:val="hr-HR" w:eastAsia="hr-HR"/>
        </w:rPr>
        <w:t xml:space="preserve"> </w:t>
      </w:r>
    </w:p>
    <w:p w:rsidR="00486340" w:rsidRPr="00C42999" w:rsidRDefault="00486340" w:rsidP="00486340">
      <w:pPr>
        <w:spacing w:after="0"/>
        <w:jc w:val="both"/>
        <w:rPr>
          <w:rFonts w:cstheme="minorHAnsi"/>
          <w:lang w:val="hr-HR"/>
        </w:rPr>
      </w:pPr>
      <w:r w:rsidRPr="00C42999">
        <w:rPr>
          <w:rFonts w:cstheme="minorHAnsi"/>
          <w:lang w:val="hr-HR"/>
        </w:rPr>
        <w:t xml:space="preserve">Također se osiguravaju sredstva i za primjenu Zakona o doplatku za djecu u iznosu od 262,5 milijuna eura pri čemu ista u odnosu na tekući plan 2023. godine rastu u iznosu od 114,5 milijuna eura zbog relaksacije uvjeta za ostvarivanje prava predviđenih Zakonom o izmjenama i dopunama Zakona o doplatku za djecu koji je u proceduri usvajanja. Naime, dohodovni cenzus kao uvjet za ostvarivanje prava na doplatak za djecu se povećava sa sadašnjih 70% proračunske osnovice na 140% proračunske osnovice, a sve u cilju proširenja broja korisnika prava, kao i djece za koju se ostvaruje pravo na doplatak za djecu. </w:t>
      </w:r>
    </w:p>
    <w:p w:rsidR="00486340" w:rsidRPr="00C42999" w:rsidRDefault="00486340" w:rsidP="00486340">
      <w:pPr>
        <w:spacing w:after="0"/>
        <w:jc w:val="both"/>
        <w:rPr>
          <w:rFonts w:cstheme="minorHAnsi"/>
          <w:lang w:val="hr-HR"/>
        </w:rPr>
      </w:pPr>
    </w:p>
    <w:p w:rsidR="00486340" w:rsidRPr="00C42999" w:rsidRDefault="00486340" w:rsidP="00486340">
      <w:pPr>
        <w:spacing w:after="0"/>
        <w:jc w:val="both"/>
        <w:rPr>
          <w:rFonts w:cstheme="minorHAnsi"/>
          <w:lang w:val="hr-HR"/>
        </w:rPr>
      </w:pPr>
      <w:r w:rsidRPr="00C42999">
        <w:rPr>
          <w:rFonts w:cstheme="minorHAnsi"/>
          <w:lang w:val="hr-HR"/>
        </w:rPr>
        <w:t>U 2025. godini ovi rashodi bilježe daljnji rast i projicirani su na razini od 10,8 milijardi eura, dok se u 2026. očekuju na razini od 11,1 milijardi eura.</w:t>
      </w:r>
    </w:p>
    <w:p w:rsidR="00486340" w:rsidRPr="00C42999" w:rsidRDefault="00486340" w:rsidP="00486340">
      <w:pPr>
        <w:spacing w:after="0"/>
        <w:jc w:val="both"/>
        <w:rPr>
          <w:rFonts w:cstheme="minorHAnsi"/>
          <w:lang w:val="hr-HR"/>
        </w:rPr>
      </w:pPr>
    </w:p>
    <w:p w:rsidR="00486340" w:rsidRPr="00C42999" w:rsidRDefault="00486340" w:rsidP="00486340">
      <w:pPr>
        <w:spacing w:after="0"/>
        <w:jc w:val="both"/>
        <w:rPr>
          <w:rFonts w:cstheme="minorHAnsi"/>
          <w:b/>
          <w:i/>
          <w:lang w:val="hr-HR"/>
        </w:rPr>
      </w:pPr>
      <w:r w:rsidRPr="00C42999">
        <w:rPr>
          <w:rFonts w:cstheme="minorHAnsi"/>
          <w:b/>
          <w:i/>
          <w:lang w:val="hr-HR"/>
        </w:rPr>
        <w:t xml:space="preserve">Ostali rashodi </w:t>
      </w:r>
    </w:p>
    <w:p w:rsidR="00486340" w:rsidRPr="00C42999" w:rsidRDefault="00486340" w:rsidP="00486340">
      <w:pPr>
        <w:spacing w:after="0"/>
        <w:jc w:val="both"/>
        <w:rPr>
          <w:rFonts w:cstheme="minorHAnsi"/>
          <w:lang w:val="hr-HR"/>
        </w:rPr>
      </w:pPr>
      <w:r w:rsidRPr="00C42999">
        <w:rPr>
          <w:rFonts w:cstheme="minorHAnsi"/>
          <w:lang w:val="hr-HR"/>
        </w:rPr>
        <w:t xml:space="preserve">Ostali rashodi, koji uključuju tekuće i kapitalne donacije, kazne, penale i naknade šteta, izvanredne rashode i kapitalne pomoći u 2024. godini planirani su u iznosu od 1,8 milijardi eura, odnosno 112,9 milijuna eura manje u odnosu na tekući plan 2023. godine. </w:t>
      </w:r>
    </w:p>
    <w:p w:rsidR="00486340" w:rsidRPr="00C42999" w:rsidRDefault="00486340" w:rsidP="00486340">
      <w:pPr>
        <w:spacing w:after="0"/>
        <w:jc w:val="both"/>
        <w:rPr>
          <w:rFonts w:cstheme="minorHAnsi"/>
          <w:lang w:val="hr-HR"/>
        </w:rPr>
      </w:pPr>
    </w:p>
    <w:p w:rsidR="00486340" w:rsidRPr="00C42999" w:rsidRDefault="00486340" w:rsidP="00486340">
      <w:pPr>
        <w:spacing w:after="0"/>
        <w:jc w:val="both"/>
        <w:rPr>
          <w:rFonts w:cstheme="minorHAnsi"/>
          <w:lang w:val="hr-HR"/>
        </w:rPr>
      </w:pPr>
      <w:r w:rsidRPr="00C42999">
        <w:rPr>
          <w:rFonts w:cstheme="minorHAnsi"/>
          <w:lang w:val="hr-HR"/>
        </w:rPr>
        <w:t>Većina smanjenja odnosi se na rashode financirane iz EU i ostalih izvora u iznosu od 89,1 milijun eura što je posljedica završetka programskog razdoblja 2014. - 2020. te razdoblja korištenja sredstava Fonda solidarnosti Europske unije.</w:t>
      </w:r>
    </w:p>
    <w:p w:rsidR="00486340" w:rsidRPr="00C42999" w:rsidRDefault="00486340" w:rsidP="00486340">
      <w:pPr>
        <w:spacing w:after="0"/>
        <w:jc w:val="both"/>
        <w:rPr>
          <w:rFonts w:cstheme="minorHAnsi"/>
          <w:lang w:val="hr-HR"/>
        </w:rPr>
      </w:pPr>
    </w:p>
    <w:p w:rsidR="00486340" w:rsidRPr="00C42999" w:rsidRDefault="00486340" w:rsidP="00486340">
      <w:pPr>
        <w:spacing w:after="0"/>
        <w:jc w:val="both"/>
        <w:rPr>
          <w:rFonts w:cstheme="minorHAnsi"/>
          <w:lang w:val="hr-HR"/>
        </w:rPr>
      </w:pPr>
      <w:r w:rsidRPr="00C42999">
        <w:rPr>
          <w:rFonts w:cstheme="minorHAnsi"/>
          <w:lang w:val="hr-HR"/>
        </w:rPr>
        <w:t xml:space="preserve">Unutar ove kategorije rashoda financiranih iz općih prihoda i primitaka, doprinosa i namjenskih primitaka osigurana su sredstva za izgradnju 4 plinovoda i to u iznosu od 153,5 milijuna eura, odnosno 78,5 milijuna više u odnosu na tekući plan 2023. </w:t>
      </w:r>
    </w:p>
    <w:p w:rsidR="00486340" w:rsidRPr="00C42999" w:rsidRDefault="00486340" w:rsidP="00486340">
      <w:pPr>
        <w:spacing w:after="0"/>
        <w:jc w:val="both"/>
        <w:rPr>
          <w:rFonts w:cstheme="minorHAnsi"/>
          <w:lang w:val="hr-HR"/>
        </w:rPr>
      </w:pPr>
    </w:p>
    <w:p w:rsidR="00486340" w:rsidRPr="00C42999" w:rsidRDefault="00486340" w:rsidP="00486340">
      <w:pPr>
        <w:spacing w:after="0"/>
        <w:jc w:val="both"/>
        <w:rPr>
          <w:rFonts w:cstheme="minorHAnsi"/>
          <w:lang w:val="hr-HR"/>
        </w:rPr>
      </w:pPr>
      <w:r w:rsidRPr="00C42999">
        <w:rPr>
          <w:rFonts w:cstheme="minorHAnsi"/>
          <w:lang w:val="hr-HR"/>
        </w:rPr>
        <w:t>U 2025. i 2026. godini ovi rashodi projicirani su na razini od 2,1 odnosno 2,0 milijarde eura.</w:t>
      </w:r>
    </w:p>
    <w:p w:rsidR="00486340" w:rsidRPr="00C42999" w:rsidRDefault="00486340" w:rsidP="00486340">
      <w:pPr>
        <w:spacing w:after="0"/>
        <w:jc w:val="both"/>
        <w:rPr>
          <w:rFonts w:cstheme="minorHAnsi"/>
          <w:lang w:val="hr-HR"/>
        </w:rPr>
      </w:pPr>
    </w:p>
    <w:p w:rsidR="00486340" w:rsidRPr="00C42999" w:rsidRDefault="00486340" w:rsidP="00486340">
      <w:pPr>
        <w:spacing w:after="0"/>
        <w:jc w:val="both"/>
        <w:rPr>
          <w:rFonts w:cstheme="minorHAnsi"/>
          <w:b/>
          <w:lang w:val="hr-HR"/>
        </w:rPr>
      </w:pPr>
      <w:r w:rsidRPr="00C42999">
        <w:rPr>
          <w:rFonts w:cstheme="minorHAnsi"/>
          <w:b/>
          <w:lang w:val="hr-HR"/>
        </w:rPr>
        <w:t>Rashodi za nabavu nefinancijske imovine</w:t>
      </w:r>
    </w:p>
    <w:p w:rsidR="00486340" w:rsidRPr="00C42999" w:rsidRDefault="00486340" w:rsidP="00486340">
      <w:pPr>
        <w:spacing w:after="0"/>
        <w:jc w:val="both"/>
        <w:rPr>
          <w:rFonts w:cstheme="minorHAnsi"/>
          <w:color w:val="000000"/>
          <w:lang w:val="hr-HR"/>
        </w:rPr>
      </w:pPr>
      <w:r w:rsidRPr="00C42999">
        <w:rPr>
          <w:rFonts w:cstheme="minorHAnsi"/>
          <w:color w:val="000000"/>
          <w:lang w:val="hr-HR"/>
        </w:rPr>
        <w:t xml:space="preserve">Rashodi za nabavu nefinancijske imovine u 2024. godini planirani su u iznosu od 2,0 milijardi eura i u odnosu na tekući plan 2023. godine rastu za 98,7 milijuna eura. Ova razina rashoda rezultat je rasta ove kategorije rashoda </w:t>
      </w:r>
      <w:r w:rsidRPr="00C42999">
        <w:rPr>
          <w:rFonts w:cstheme="minorHAnsi"/>
          <w:lang w:val="hr-HR"/>
        </w:rPr>
        <w:t xml:space="preserve">koji se financiraju iz općih prihoda i primitaka, doprinosa i namjenskih primitaka </w:t>
      </w:r>
      <w:r w:rsidRPr="00C42999">
        <w:rPr>
          <w:rFonts w:cstheme="minorHAnsi"/>
          <w:lang w:val="hr-HR"/>
        </w:rPr>
        <w:lastRenderedPageBreak/>
        <w:t xml:space="preserve">(382,1 milijuna eura) s jedne strane i smanjenja </w:t>
      </w:r>
      <w:r w:rsidRPr="00C42999">
        <w:rPr>
          <w:rFonts w:cstheme="minorHAnsi"/>
          <w:color w:val="000000"/>
          <w:lang w:val="hr-HR"/>
        </w:rPr>
        <w:t xml:space="preserve">ove kategorije rashoda </w:t>
      </w:r>
      <w:r w:rsidRPr="00C42999">
        <w:rPr>
          <w:rFonts w:cstheme="minorHAnsi"/>
          <w:lang w:val="hr-HR"/>
        </w:rPr>
        <w:t>koji se financiraju iz EU i ostalih izvora financiranja (283,4 milijuna eura).</w:t>
      </w:r>
    </w:p>
    <w:p w:rsidR="00486340" w:rsidRPr="00C42999" w:rsidRDefault="00486340" w:rsidP="00486340">
      <w:pPr>
        <w:spacing w:after="0"/>
        <w:jc w:val="both"/>
        <w:rPr>
          <w:rFonts w:cstheme="minorHAnsi"/>
          <w:color w:val="000000"/>
          <w:lang w:val="hr-HR"/>
        </w:rPr>
      </w:pPr>
    </w:p>
    <w:p w:rsidR="00486340" w:rsidRPr="00C42999" w:rsidRDefault="00486340" w:rsidP="00486340">
      <w:pPr>
        <w:spacing w:after="0"/>
        <w:jc w:val="both"/>
        <w:rPr>
          <w:rFonts w:cstheme="minorHAnsi"/>
          <w:lang w:val="hr-HR"/>
        </w:rPr>
      </w:pPr>
      <w:r w:rsidRPr="00C42999">
        <w:rPr>
          <w:rFonts w:cstheme="minorHAnsi"/>
          <w:color w:val="000000"/>
          <w:lang w:val="hr-HR"/>
        </w:rPr>
        <w:t xml:space="preserve">Porast kategorije rashoda </w:t>
      </w:r>
      <w:r w:rsidRPr="00C42999">
        <w:rPr>
          <w:rFonts w:cstheme="minorHAnsi"/>
          <w:lang w:val="hr-HR"/>
        </w:rPr>
        <w:t xml:space="preserve">koji se financiraju iz općih prihoda i primitaka, doprinosa i namjenskih primitaka </w:t>
      </w:r>
      <w:r w:rsidRPr="00C42999">
        <w:rPr>
          <w:rFonts w:cstheme="minorHAnsi"/>
          <w:color w:val="000000"/>
          <w:lang w:val="hr-HR"/>
        </w:rPr>
        <w:t xml:space="preserve">najvećim dijelom rezultat je povećanih </w:t>
      </w:r>
      <w:r w:rsidRPr="00C42999">
        <w:rPr>
          <w:rFonts w:cstheme="minorHAnsi"/>
          <w:lang w:val="hr-HR"/>
        </w:rPr>
        <w:t xml:space="preserve">izdvajanja za sanaciju štete uzrokovane potresom, ali i uslijed povećanih izdvajanja za opremanje hrvatske vojske kako bi se ojačala geopolitička pozicija Hrvatske. </w:t>
      </w:r>
    </w:p>
    <w:p w:rsidR="00486340" w:rsidRPr="00C42999" w:rsidRDefault="00486340" w:rsidP="00486340">
      <w:pPr>
        <w:spacing w:after="0"/>
        <w:jc w:val="both"/>
        <w:rPr>
          <w:rFonts w:cstheme="minorHAnsi"/>
          <w:color w:val="000000"/>
          <w:lang w:val="hr-HR"/>
        </w:rPr>
      </w:pPr>
    </w:p>
    <w:p w:rsidR="00486340" w:rsidRPr="00C42999" w:rsidRDefault="00486340" w:rsidP="00486340">
      <w:pPr>
        <w:spacing w:after="0"/>
        <w:jc w:val="both"/>
        <w:rPr>
          <w:rFonts w:cstheme="minorHAnsi"/>
          <w:color w:val="000000"/>
          <w:lang w:val="hr-HR"/>
        </w:rPr>
      </w:pPr>
      <w:r w:rsidRPr="00C42999">
        <w:rPr>
          <w:rFonts w:cstheme="minorHAnsi"/>
          <w:color w:val="000000"/>
          <w:lang w:val="hr-HR"/>
        </w:rPr>
        <w:t>U 2025. i 2026. godini ovi rashodi predviđaju se u iznosu od 1,8 milijardi eura, odnosno 1,5 milijardi eura.</w:t>
      </w:r>
    </w:p>
    <w:p w:rsidR="00223521" w:rsidRPr="000E707F" w:rsidRDefault="00223521" w:rsidP="00095377">
      <w:pPr>
        <w:spacing w:after="120"/>
        <w:jc w:val="both"/>
        <w:rPr>
          <w:highlight w:val="yellow"/>
          <w:lang w:val="hr-HR"/>
        </w:rPr>
      </w:pPr>
    </w:p>
    <w:p w:rsidR="00695821" w:rsidRPr="00486340" w:rsidRDefault="00695821" w:rsidP="0029489C">
      <w:pPr>
        <w:pStyle w:val="Heading2"/>
        <w:numPr>
          <w:ilvl w:val="1"/>
          <w:numId w:val="16"/>
        </w:numPr>
        <w:ind w:left="993" w:hanging="567"/>
        <w:rPr>
          <w:lang w:val="hr-HR"/>
        </w:rPr>
      </w:pPr>
      <w:bookmarkStart w:id="30" w:name="_Toc150380901"/>
      <w:r w:rsidRPr="00486340">
        <w:rPr>
          <w:lang w:val="hr-HR"/>
        </w:rPr>
        <w:t>Obrazloženje rashoda po funkcijskoj klasifikaciji</w:t>
      </w:r>
      <w:bookmarkEnd w:id="30"/>
    </w:p>
    <w:p w:rsidR="00033D9E" w:rsidRPr="000E707F" w:rsidRDefault="00033D9E" w:rsidP="00D668A6">
      <w:pPr>
        <w:pStyle w:val="Default"/>
        <w:spacing w:after="200" w:line="276" w:lineRule="auto"/>
        <w:jc w:val="both"/>
        <w:rPr>
          <w:rFonts w:asciiTheme="minorHAnsi" w:hAnsiTheme="minorHAnsi"/>
          <w:color w:val="auto"/>
          <w:sz w:val="22"/>
          <w:szCs w:val="22"/>
          <w:highlight w:val="yellow"/>
        </w:rPr>
      </w:pPr>
      <w:bookmarkStart w:id="31" w:name="_Toc445241796"/>
    </w:p>
    <w:bookmarkEnd w:id="31"/>
    <w:p w:rsidR="00486340" w:rsidRPr="00C42999" w:rsidRDefault="00486340" w:rsidP="00486340">
      <w:pPr>
        <w:spacing w:after="0"/>
        <w:jc w:val="both"/>
        <w:rPr>
          <w:rFonts w:cstheme="minorHAnsi"/>
          <w:color w:val="000000"/>
          <w:lang w:val="hr-HR" w:eastAsia="hr-HR"/>
        </w:rPr>
      </w:pPr>
      <w:r w:rsidRPr="00C42999">
        <w:rPr>
          <w:rFonts w:cstheme="minorHAnsi"/>
          <w:lang w:val="hr-HR" w:eastAsia="hr-HR"/>
        </w:rPr>
        <w:t xml:space="preserve">S ciljem daljnjeg povećanja transparentnosti korištenja proračunskih sredstava u </w:t>
      </w:r>
      <w:r w:rsidRPr="00C42999">
        <w:rPr>
          <w:rFonts w:cstheme="minorHAnsi"/>
          <w:color w:val="000000"/>
          <w:lang w:val="hr-HR" w:eastAsia="hr-HR"/>
        </w:rPr>
        <w:t xml:space="preserve">nastavku se u okviru obrazloženja rashoda državnog proračuna, daje i prikaz rashoda po funkcijskoj klasifikaciji. </w:t>
      </w:r>
    </w:p>
    <w:p w:rsidR="00223521" w:rsidRPr="000E707F" w:rsidRDefault="00223521" w:rsidP="00223521">
      <w:pPr>
        <w:spacing w:after="0" w:line="240" w:lineRule="auto"/>
        <w:jc w:val="both"/>
        <w:rPr>
          <w:rFonts w:ascii="Calibri" w:hAnsi="Calibri" w:cs="Calibri"/>
          <w:color w:val="000000"/>
          <w:highlight w:val="yellow"/>
          <w:lang w:val="hr-HR" w:eastAsia="hr-HR"/>
        </w:rPr>
      </w:pPr>
    </w:p>
    <w:p w:rsidR="00223521" w:rsidRPr="00486340" w:rsidRDefault="00223521" w:rsidP="00223521">
      <w:pPr>
        <w:spacing w:after="0" w:line="240" w:lineRule="auto"/>
        <w:jc w:val="both"/>
        <w:rPr>
          <w:rFonts w:ascii="Calibri" w:hAnsi="Calibri" w:cs="Calibri"/>
          <w:i/>
          <w:lang w:val="hr-HR"/>
        </w:rPr>
      </w:pPr>
      <w:r w:rsidRPr="00486340">
        <w:rPr>
          <w:rFonts w:ascii="Calibri" w:hAnsi="Calibri" w:cs="Calibri"/>
          <w:i/>
          <w:lang w:val="hr-HR"/>
        </w:rPr>
        <w:t xml:space="preserve">Tablica </w:t>
      </w:r>
      <w:r w:rsidR="00674659" w:rsidRPr="00486340">
        <w:rPr>
          <w:rFonts w:ascii="Calibri" w:hAnsi="Calibri" w:cs="Calibri"/>
          <w:i/>
          <w:lang w:val="hr-HR"/>
        </w:rPr>
        <w:t>10</w:t>
      </w:r>
      <w:r w:rsidRPr="00486340">
        <w:rPr>
          <w:rFonts w:ascii="Calibri" w:hAnsi="Calibri" w:cs="Calibri"/>
          <w:i/>
          <w:lang w:val="hr-HR"/>
        </w:rPr>
        <w:t>: Kretanje rashoda državnog proračuna u razdoblju 202</w:t>
      </w:r>
      <w:r w:rsidR="00486340" w:rsidRPr="00486340">
        <w:rPr>
          <w:rFonts w:ascii="Calibri" w:hAnsi="Calibri" w:cs="Calibri"/>
          <w:i/>
          <w:lang w:val="hr-HR"/>
        </w:rPr>
        <w:t>2</w:t>
      </w:r>
      <w:r w:rsidRPr="00486340">
        <w:rPr>
          <w:rFonts w:ascii="Calibri" w:hAnsi="Calibri" w:cs="Calibri"/>
          <w:i/>
          <w:lang w:val="hr-HR"/>
        </w:rPr>
        <w:t>. - 202</w:t>
      </w:r>
      <w:r w:rsidR="00486340" w:rsidRPr="00486340">
        <w:rPr>
          <w:rFonts w:ascii="Calibri" w:hAnsi="Calibri" w:cs="Calibri"/>
          <w:i/>
          <w:lang w:val="hr-HR"/>
        </w:rPr>
        <w:t>6</w:t>
      </w:r>
      <w:r w:rsidRPr="00486340">
        <w:rPr>
          <w:rFonts w:ascii="Calibri" w:hAnsi="Calibri" w:cs="Calibri"/>
          <w:i/>
          <w:lang w:val="hr-HR"/>
        </w:rPr>
        <w:t>. po funkcijskoj klasifikaciji</w:t>
      </w:r>
    </w:p>
    <w:p w:rsidR="00223521" w:rsidRPr="00486340" w:rsidRDefault="00486340" w:rsidP="00223521">
      <w:pPr>
        <w:spacing w:after="0" w:line="240" w:lineRule="auto"/>
        <w:jc w:val="both"/>
        <w:rPr>
          <w:rFonts w:ascii="Calibri" w:hAnsi="Calibri" w:cs="Calibri"/>
          <w:lang w:val="hr-HR"/>
        </w:rPr>
      </w:pPr>
      <w:r w:rsidRPr="00486340">
        <w:rPr>
          <w:rFonts w:cstheme="minorHAnsi"/>
          <w:noProof/>
          <w:lang w:val="hr-HR" w:eastAsia="hr-HR"/>
        </w:rPr>
        <w:drawing>
          <wp:inline distT="0" distB="0" distL="0" distR="0" wp14:anchorId="711CF71A" wp14:editId="7F40885F">
            <wp:extent cx="5760720" cy="2347595"/>
            <wp:effectExtent l="0" t="0" r="0"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2347595"/>
                    </a:xfrm>
                    <a:prstGeom prst="rect">
                      <a:avLst/>
                    </a:prstGeom>
                    <a:noFill/>
                    <a:ln>
                      <a:noFill/>
                    </a:ln>
                  </pic:spPr>
                </pic:pic>
              </a:graphicData>
            </a:graphic>
          </wp:inline>
        </w:drawing>
      </w:r>
    </w:p>
    <w:p w:rsidR="0037667D" w:rsidRPr="006B0F2A" w:rsidRDefault="00223521" w:rsidP="00BC27DE">
      <w:pPr>
        <w:rPr>
          <w:lang w:val="hr-HR"/>
        </w:rPr>
      </w:pPr>
      <w:r w:rsidRPr="00486340">
        <w:rPr>
          <w:rFonts w:ascii="Calibri" w:hAnsi="Calibri" w:cs="Calibri"/>
          <w:i/>
          <w:lang w:val="hr-HR"/>
        </w:rPr>
        <w:t>Izvor: Ministarstvo financija</w:t>
      </w:r>
      <w:r w:rsidR="0037667D" w:rsidRPr="006B0F2A">
        <w:rPr>
          <w:lang w:val="hr-HR"/>
        </w:rPr>
        <w:br w:type="page"/>
      </w:r>
    </w:p>
    <w:p w:rsidR="00695821" w:rsidRPr="006B0F2A" w:rsidRDefault="00695821" w:rsidP="0029489C">
      <w:pPr>
        <w:pStyle w:val="Heading1"/>
        <w:numPr>
          <w:ilvl w:val="0"/>
          <w:numId w:val="17"/>
        </w:numPr>
        <w:rPr>
          <w:lang w:val="hr-HR"/>
        </w:rPr>
      </w:pPr>
      <w:bookmarkStart w:id="32" w:name="_Toc150380902"/>
      <w:r w:rsidRPr="006B0F2A">
        <w:rPr>
          <w:lang w:val="hr-HR"/>
        </w:rPr>
        <w:lastRenderedPageBreak/>
        <w:t>UKUPNI MANJAK</w:t>
      </w:r>
      <w:r w:rsidR="00BC27DE" w:rsidRPr="006B0F2A">
        <w:rPr>
          <w:lang w:val="hr-HR"/>
        </w:rPr>
        <w:t>/VIŠAK</w:t>
      </w:r>
      <w:r w:rsidRPr="006B0F2A">
        <w:rPr>
          <w:lang w:val="hr-HR"/>
        </w:rPr>
        <w:t xml:space="preserve"> DRŽAVNOG PRORAČUNA</w:t>
      </w:r>
      <w:bookmarkEnd w:id="32"/>
      <w:r w:rsidRPr="006B0F2A">
        <w:rPr>
          <w:lang w:val="hr-HR"/>
        </w:rPr>
        <w:t xml:space="preserve"> </w:t>
      </w:r>
    </w:p>
    <w:p w:rsidR="00695821" w:rsidRPr="006B0F2A" w:rsidRDefault="00695821" w:rsidP="00695821">
      <w:pPr>
        <w:rPr>
          <w:lang w:val="hr-HR"/>
        </w:rPr>
      </w:pPr>
    </w:p>
    <w:p w:rsidR="00695821" w:rsidRPr="006B0F2A" w:rsidRDefault="00695821" w:rsidP="002A12E4">
      <w:pPr>
        <w:jc w:val="both"/>
        <w:rPr>
          <w:lang w:val="hr-HR"/>
        </w:rPr>
      </w:pPr>
      <w:r w:rsidRPr="006B0F2A">
        <w:rPr>
          <w:lang w:val="hr-HR"/>
        </w:rPr>
        <w:t xml:space="preserve">Slijedom ukupno planiranih prihoda u iznosu od </w:t>
      </w:r>
      <w:r w:rsidR="003C5C33">
        <w:rPr>
          <w:lang w:val="hr-HR"/>
        </w:rPr>
        <w:t>28,5</w:t>
      </w:r>
      <w:r w:rsidR="00A831A9" w:rsidRPr="006B0F2A">
        <w:rPr>
          <w:lang w:val="hr-HR"/>
        </w:rPr>
        <w:t xml:space="preserve"> </w:t>
      </w:r>
      <w:r w:rsidR="008E0275" w:rsidRPr="006B0F2A">
        <w:rPr>
          <w:lang w:val="hr-HR"/>
        </w:rPr>
        <w:t>milijard</w:t>
      </w:r>
      <w:r w:rsidR="00A831A9" w:rsidRPr="006B0F2A">
        <w:rPr>
          <w:lang w:val="hr-HR"/>
        </w:rPr>
        <w:t>i</w:t>
      </w:r>
      <w:r w:rsidRPr="006B0F2A">
        <w:rPr>
          <w:lang w:val="hr-HR"/>
        </w:rPr>
        <w:t xml:space="preserve"> </w:t>
      </w:r>
      <w:r w:rsidR="0015106F" w:rsidRPr="006B0F2A">
        <w:rPr>
          <w:lang w:val="hr-HR"/>
        </w:rPr>
        <w:t>eura</w:t>
      </w:r>
      <w:r w:rsidRPr="006B0F2A">
        <w:rPr>
          <w:lang w:val="hr-HR"/>
        </w:rPr>
        <w:t xml:space="preserve"> te ukupno planiranih rashoda u iznosu od </w:t>
      </w:r>
      <w:r w:rsidR="003C5C33">
        <w:rPr>
          <w:lang w:val="hr-HR"/>
        </w:rPr>
        <w:t>32,6</w:t>
      </w:r>
      <w:r w:rsidRPr="006B0F2A">
        <w:rPr>
          <w:lang w:val="hr-HR"/>
        </w:rPr>
        <w:t xml:space="preserve"> mi</w:t>
      </w:r>
      <w:r w:rsidR="00A831A9" w:rsidRPr="006B0F2A">
        <w:rPr>
          <w:lang w:val="hr-HR"/>
        </w:rPr>
        <w:t>lijardi</w:t>
      </w:r>
      <w:r w:rsidRPr="006B0F2A">
        <w:rPr>
          <w:lang w:val="hr-HR"/>
        </w:rPr>
        <w:t xml:space="preserve"> </w:t>
      </w:r>
      <w:r w:rsidR="0015106F" w:rsidRPr="006B0F2A">
        <w:rPr>
          <w:lang w:val="hr-HR"/>
        </w:rPr>
        <w:t>eura</w:t>
      </w:r>
      <w:r w:rsidRPr="006B0F2A">
        <w:rPr>
          <w:lang w:val="hr-HR"/>
        </w:rPr>
        <w:t>, planirani manjak državnog proračuna za 20</w:t>
      </w:r>
      <w:r w:rsidR="00155FA2" w:rsidRPr="006B0F2A">
        <w:rPr>
          <w:lang w:val="hr-HR"/>
        </w:rPr>
        <w:t>2</w:t>
      </w:r>
      <w:r w:rsidR="00B849B2">
        <w:rPr>
          <w:lang w:val="hr-HR"/>
        </w:rPr>
        <w:t>4</w:t>
      </w:r>
      <w:r w:rsidRPr="006B0F2A">
        <w:rPr>
          <w:lang w:val="hr-HR"/>
        </w:rPr>
        <w:t xml:space="preserve">. godinu iznosi </w:t>
      </w:r>
      <w:r w:rsidR="003C5C33">
        <w:rPr>
          <w:lang w:val="hr-HR"/>
        </w:rPr>
        <w:t>4,1</w:t>
      </w:r>
      <w:r w:rsidRPr="006B0F2A">
        <w:rPr>
          <w:lang w:val="hr-HR"/>
        </w:rPr>
        <w:t xml:space="preserve"> milijard</w:t>
      </w:r>
      <w:r w:rsidR="00A831A9" w:rsidRPr="006B0F2A">
        <w:rPr>
          <w:lang w:val="hr-HR"/>
        </w:rPr>
        <w:t>i</w:t>
      </w:r>
      <w:r w:rsidRPr="006B0F2A">
        <w:rPr>
          <w:lang w:val="hr-HR"/>
        </w:rPr>
        <w:t xml:space="preserve"> </w:t>
      </w:r>
      <w:r w:rsidR="0015106F" w:rsidRPr="006B0F2A">
        <w:rPr>
          <w:lang w:val="hr-HR"/>
        </w:rPr>
        <w:t>eura</w:t>
      </w:r>
      <w:r w:rsidRPr="006B0F2A">
        <w:rPr>
          <w:lang w:val="hr-HR"/>
        </w:rPr>
        <w:t xml:space="preserve"> </w:t>
      </w:r>
      <w:r w:rsidRPr="009B6E7D">
        <w:rPr>
          <w:lang w:val="hr-HR"/>
        </w:rPr>
        <w:t xml:space="preserve">ili </w:t>
      </w:r>
      <w:r w:rsidR="00C30921">
        <w:rPr>
          <w:lang w:val="hr-HR"/>
        </w:rPr>
        <w:t>5</w:t>
      </w:r>
      <w:r w:rsidRPr="009B6E7D">
        <w:rPr>
          <w:lang w:val="hr-HR"/>
        </w:rPr>
        <w:t>%</w:t>
      </w:r>
      <w:r w:rsidRPr="006B0F2A">
        <w:rPr>
          <w:lang w:val="hr-HR"/>
        </w:rPr>
        <w:t xml:space="preserve"> bruto domaćeg proizvoda. </w:t>
      </w:r>
    </w:p>
    <w:p w:rsidR="00695821" w:rsidRPr="006B0F2A" w:rsidRDefault="00BE094B" w:rsidP="002A12E4">
      <w:pPr>
        <w:jc w:val="both"/>
        <w:rPr>
          <w:lang w:val="hr-HR"/>
        </w:rPr>
      </w:pPr>
      <w:r w:rsidRPr="006B0F2A">
        <w:rPr>
          <w:lang w:val="hr-HR"/>
        </w:rPr>
        <w:t>U 202</w:t>
      </w:r>
      <w:r w:rsidR="00785FEF">
        <w:rPr>
          <w:lang w:val="hr-HR"/>
        </w:rPr>
        <w:t>5</w:t>
      </w:r>
      <w:r w:rsidR="00695821" w:rsidRPr="006B0F2A">
        <w:rPr>
          <w:lang w:val="hr-HR"/>
        </w:rPr>
        <w:t xml:space="preserve">. godini manjak državnog proračuna projiciran je </w:t>
      </w:r>
      <w:r w:rsidR="00A831A9" w:rsidRPr="006B0F2A">
        <w:rPr>
          <w:lang w:val="hr-HR"/>
        </w:rPr>
        <w:t xml:space="preserve">u iznosu od </w:t>
      </w:r>
      <w:r w:rsidR="00785FEF">
        <w:rPr>
          <w:lang w:val="hr-HR"/>
        </w:rPr>
        <w:t>3,2</w:t>
      </w:r>
      <w:r w:rsidR="00D41E40" w:rsidRPr="006B0F2A">
        <w:rPr>
          <w:lang w:val="hr-HR"/>
        </w:rPr>
        <w:t xml:space="preserve"> milij</w:t>
      </w:r>
      <w:r w:rsidR="00785FEF">
        <w:rPr>
          <w:lang w:val="hr-HR"/>
        </w:rPr>
        <w:t>arde</w:t>
      </w:r>
      <w:r w:rsidR="00D41E40" w:rsidRPr="006B0F2A">
        <w:rPr>
          <w:lang w:val="hr-HR"/>
        </w:rPr>
        <w:t xml:space="preserve"> eura</w:t>
      </w:r>
      <w:r w:rsidR="00A831A9" w:rsidRPr="006B0F2A">
        <w:rPr>
          <w:lang w:val="hr-HR"/>
        </w:rPr>
        <w:t xml:space="preserve"> </w:t>
      </w:r>
      <w:r w:rsidR="00A831A9" w:rsidRPr="00FA6C9B">
        <w:rPr>
          <w:lang w:val="hr-HR"/>
        </w:rPr>
        <w:t xml:space="preserve">ili </w:t>
      </w:r>
      <w:r w:rsidR="00785FEF">
        <w:rPr>
          <w:lang w:val="hr-HR"/>
        </w:rPr>
        <w:t>3,7</w:t>
      </w:r>
      <w:r w:rsidR="00A831A9" w:rsidRPr="00FA6C9B">
        <w:rPr>
          <w:lang w:val="hr-HR"/>
        </w:rPr>
        <w:t>%</w:t>
      </w:r>
      <w:r w:rsidR="00A831A9" w:rsidRPr="006B0F2A">
        <w:rPr>
          <w:lang w:val="hr-HR"/>
        </w:rPr>
        <w:t xml:space="preserve"> BDP-a dok se u 202</w:t>
      </w:r>
      <w:r w:rsidR="00785FEF">
        <w:rPr>
          <w:lang w:val="hr-HR"/>
        </w:rPr>
        <w:t>6</w:t>
      </w:r>
      <w:r w:rsidR="00A831A9" w:rsidRPr="006B0F2A">
        <w:rPr>
          <w:lang w:val="hr-HR"/>
        </w:rPr>
        <w:t>.</w:t>
      </w:r>
      <w:r w:rsidR="00D72B0A" w:rsidRPr="006B0F2A">
        <w:rPr>
          <w:lang w:val="hr-HR"/>
        </w:rPr>
        <w:t xml:space="preserve"> </w:t>
      </w:r>
      <w:r w:rsidR="00A831A9" w:rsidRPr="006B0F2A">
        <w:rPr>
          <w:lang w:val="hr-HR"/>
        </w:rPr>
        <w:t xml:space="preserve">očekuje </w:t>
      </w:r>
      <w:r w:rsidR="00D41E40" w:rsidRPr="006B0F2A">
        <w:rPr>
          <w:lang w:val="hr-HR"/>
        </w:rPr>
        <w:t>manjak</w:t>
      </w:r>
      <w:r w:rsidR="00A831A9" w:rsidRPr="006B0F2A">
        <w:rPr>
          <w:lang w:val="hr-HR"/>
        </w:rPr>
        <w:t xml:space="preserve"> od </w:t>
      </w:r>
      <w:r w:rsidR="00785FEF">
        <w:rPr>
          <w:lang w:val="hr-HR"/>
        </w:rPr>
        <w:t>2,2</w:t>
      </w:r>
      <w:r w:rsidR="00A831A9" w:rsidRPr="006B0F2A">
        <w:rPr>
          <w:lang w:val="hr-HR"/>
        </w:rPr>
        <w:t xml:space="preserve"> </w:t>
      </w:r>
      <w:r w:rsidR="00D41E40" w:rsidRPr="006B0F2A">
        <w:rPr>
          <w:lang w:val="hr-HR"/>
        </w:rPr>
        <w:t>milij</w:t>
      </w:r>
      <w:r w:rsidR="00785FEF">
        <w:rPr>
          <w:lang w:val="hr-HR"/>
        </w:rPr>
        <w:t>arde</w:t>
      </w:r>
      <w:r w:rsidR="00D41E40" w:rsidRPr="006B0F2A">
        <w:rPr>
          <w:lang w:val="hr-HR"/>
        </w:rPr>
        <w:t xml:space="preserve"> </w:t>
      </w:r>
      <w:r w:rsidR="00D41E40" w:rsidRPr="00FA6C9B">
        <w:rPr>
          <w:lang w:val="hr-HR"/>
        </w:rPr>
        <w:t>eura</w:t>
      </w:r>
      <w:r w:rsidR="00A831A9" w:rsidRPr="00FA6C9B">
        <w:rPr>
          <w:lang w:val="hr-HR"/>
        </w:rPr>
        <w:t xml:space="preserve"> ili </w:t>
      </w:r>
      <w:r w:rsidR="00785FEF">
        <w:rPr>
          <w:lang w:val="hr-HR"/>
        </w:rPr>
        <w:t>2,5</w:t>
      </w:r>
      <w:r w:rsidR="00A831A9" w:rsidRPr="00FA6C9B">
        <w:rPr>
          <w:lang w:val="hr-HR"/>
        </w:rPr>
        <w:t>% BDP-a</w:t>
      </w:r>
      <w:r w:rsidR="00A831A9" w:rsidRPr="006B0F2A">
        <w:rPr>
          <w:lang w:val="hr-HR"/>
        </w:rPr>
        <w:t xml:space="preserve">. </w:t>
      </w:r>
    </w:p>
    <w:p w:rsidR="00695821" w:rsidRPr="006B0F2A" w:rsidRDefault="00DB0827" w:rsidP="00533F79">
      <w:pPr>
        <w:spacing w:before="240" w:after="0" w:line="240" w:lineRule="auto"/>
        <w:rPr>
          <w:i/>
          <w:lang w:val="hr-HR"/>
        </w:rPr>
      </w:pPr>
      <w:bookmarkStart w:id="33" w:name="_Toc445241797"/>
      <w:r w:rsidRPr="006B0F2A">
        <w:rPr>
          <w:i/>
          <w:lang w:val="hr-HR"/>
        </w:rPr>
        <w:t xml:space="preserve">Tablica </w:t>
      </w:r>
      <w:r w:rsidR="00362A8C" w:rsidRPr="006B0F2A">
        <w:rPr>
          <w:i/>
          <w:lang w:val="hr-HR"/>
        </w:rPr>
        <w:t>1</w:t>
      </w:r>
      <w:r w:rsidR="00674659">
        <w:rPr>
          <w:i/>
          <w:lang w:val="hr-HR"/>
        </w:rPr>
        <w:t>1</w:t>
      </w:r>
      <w:r w:rsidR="00695821" w:rsidRPr="006B0F2A">
        <w:rPr>
          <w:i/>
          <w:lang w:val="hr-HR"/>
        </w:rPr>
        <w:t>: Ukupni manjak</w:t>
      </w:r>
      <w:r w:rsidR="00BC27DE" w:rsidRPr="006B0F2A">
        <w:rPr>
          <w:i/>
          <w:lang w:val="hr-HR"/>
        </w:rPr>
        <w:t>/višak</w:t>
      </w:r>
      <w:r w:rsidR="00695821" w:rsidRPr="006B0F2A">
        <w:rPr>
          <w:i/>
          <w:lang w:val="hr-HR"/>
        </w:rPr>
        <w:t xml:space="preserve"> državnog proračuna</w:t>
      </w:r>
      <w:bookmarkEnd w:id="33"/>
    </w:p>
    <w:p w:rsidR="008E0275" w:rsidRPr="006B0F2A" w:rsidRDefault="00345B49" w:rsidP="008E0275">
      <w:pPr>
        <w:spacing w:before="240" w:after="0"/>
        <w:rPr>
          <w:lang w:val="hr-HR"/>
        </w:rPr>
      </w:pPr>
      <w:r w:rsidRPr="00345B49">
        <w:rPr>
          <w:noProof/>
          <w:lang w:val="hr-HR" w:eastAsia="hr-HR"/>
        </w:rPr>
        <w:drawing>
          <wp:inline distT="0" distB="0" distL="0" distR="0">
            <wp:extent cx="5760720" cy="1464829"/>
            <wp:effectExtent l="0" t="0" r="0" b="2540"/>
            <wp:docPr id="14" name="Slika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60720" cy="1464829"/>
                    </a:xfrm>
                    <a:prstGeom prst="rect">
                      <a:avLst/>
                    </a:prstGeom>
                    <a:noFill/>
                    <a:ln>
                      <a:noFill/>
                    </a:ln>
                  </pic:spPr>
                </pic:pic>
              </a:graphicData>
            </a:graphic>
          </wp:inline>
        </w:drawing>
      </w:r>
    </w:p>
    <w:p w:rsidR="00695821" w:rsidRPr="006B0F2A" w:rsidRDefault="00695821" w:rsidP="00205AC5">
      <w:pPr>
        <w:spacing w:after="0"/>
        <w:rPr>
          <w:i/>
          <w:sz w:val="20"/>
          <w:lang w:val="hr-HR"/>
        </w:rPr>
      </w:pPr>
      <w:r w:rsidRPr="006B0F2A">
        <w:rPr>
          <w:i/>
          <w:sz w:val="20"/>
          <w:lang w:val="hr-HR"/>
        </w:rPr>
        <w:t>Izvor: Ministarstvo financija</w:t>
      </w:r>
    </w:p>
    <w:p w:rsidR="001314C4" w:rsidRPr="006B0F2A" w:rsidRDefault="00695821" w:rsidP="00695821">
      <w:pPr>
        <w:rPr>
          <w:lang w:val="hr-HR"/>
        </w:rPr>
      </w:pPr>
      <w:r w:rsidRPr="006B0F2A">
        <w:rPr>
          <w:lang w:val="hr-HR"/>
        </w:rPr>
        <w:t xml:space="preserve"> </w:t>
      </w:r>
      <w:r w:rsidR="001314C4" w:rsidRPr="006B0F2A">
        <w:rPr>
          <w:lang w:val="hr-HR"/>
        </w:rPr>
        <w:br w:type="page"/>
      </w:r>
    </w:p>
    <w:p w:rsidR="00695821" w:rsidRPr="006B0F2A" w:rsidRDefault="00695821" w:rsidP="0029489C">
      <w:pPr>
        <w:pStyle w:val="Heading1"/>
        <w:numPr>
          <w:ilvl w:val="0"/>
          <w:numId w:val="17"/>
        </w:numPr>
        <w:rPr>
          <w:lang w:val="hr-HR"/>
        </w:rPr>
      </w:pPr>
      <w:bookmarkStart w:id="34" w:name="_Toc150380903"/>
      <w:r w:rsidRPr="006B0F2A">
        <w:rPr>
          <w:lang w:val="hr-HR"/>
        </w:rPr>
        <w:lastRenderedPageBreak/>
        <w:t>RAČUN FINANCIRANJA DRŽAVNOG PRORAČUNA</w:t>
      </w:r>
      <w:bookmarkEnd w:id="34"/>
      <w:r w:rsidRPr="006B0F2A">
        <w:rPr>
          <w:lang w:val="hr-HR"/>
        </w:rPr>
        <w:t xml:space="preserve"> </w:t>
      </w:r>
    </w:p>
    <w:p w:rsidR="00695821" w:rsidRDefault="00695821" w:rsidP="00695821">
      <w:pPr>
        <w:rPr>
          <w:lang w:val="hr-HR"/>
        </w:rPr>
      </w:pPr>
    </w:p>
    <w:p w:rsidR="000621DF" w:rsidRPr="00AE4E5A" w:rsidRDefault="000621DF" w:rsidP="000621DF">
      <w:pPr>
        <w:jc w:val="both"/>
        <w:rPr>
          <w:lang w:val="hr-HR"/>
        </w:rPr>
      </w:pPr>
      <w:r>
        <w:rPr>
          <w:lang w:val="hr-HR"/>
        </w:rPr>
        <w:t>Planirani manjak državnog proračuna u</w:t>
      </w:r>
      <w:r w:rsidRPr="00AE4E5A">
        <w:rPr>
          <w:lang w:val="hr-HR"/>
        </w:rPr>
        <w:t xml:space="preserve"> 2024. godinu u iznosu od 4,1 milijardu eura financirat će se razlikom ukupnih primitaka od financijske imovine i zaduživanja </w:t>
      </w:r>
      <w:r>
        <w:rPr>
          <w:lang w:val="hr-HR"/>
        </w:rPr>
        <w:t xml:space="preserve">i </w:t>
      </w:r>
      <w:r w:rsidRPr="00AE4E5A">
        <w:rPr>
          <w:lang w:val="hr-HR"/>
        </w:rPr>
        <w:t>ukupnih izdataka za financijsku imovinu i otplate zajmova</w:t>
      </w:r>
      <w:r>
        <w:rPr>
          <w:lang w:val="hr-HR"/>
        </w:rPr>
        <w:t xml:space="preserve"> te sredstvima prenesenim iz prethodne godine</w:t>
      </w:r>
      <w:r w:rsidRPr="00AE4E5A">
        <w:rPr>
          <w:lang w:val="hr-HR"/>
        </w:rPr>
        <w:t>. Pritom s</w:t>
      </w:r>
      <w:r>
        <w:rPr>
          <w:lang w:val="hr-HR"/>
        </w:rPr>
        <w:t>e</w:t>
      </w:r>
      <w:r w:rsidRPr="00AE4E5A">
        <w:rPr>
          <w:lang w:val="hr-HR"/>
        </w:rPr>
        <w:t xml:space="preserve"> ukupni primici od financijske imovine i zaduživanja planira</w:t>
      </w:r>
      <w:r>
        <w:rPr>
          <w:lang w:val="hr-HR"/>
        </w:rPr>
        <w:t>ju</w:t>
      </w:r>
      <w:r w:rsidRPr="00AE4E5A">
        <w:rPr>
          <w:lang w:val="hr-HR"/>
        </w:rPr>
        <w:t xml:space="preserve"> u iznosu od 8,2 milijarde eura, a ukupni izdaci za financijsku imovinu i otplate zajmova u iznosu od 4,5 milijardi eura. </w:t>
      </w:r>
    </w:p>
    <w:p w:rsidR="000621DF" w:rsidRPr="00D57FAD" w:rsidRDefault="000621DF" w:rsidP="000621DF">
      <w:pPr>
        <w:jc w:val="both"/>
        <w:rPr>
          <w:color w:val="FF0000"/>
          <w:lang w:val="hr-HR"/>
        </w:rPr>
      </w:pPr>
      <w:r w:rsidRPr="00AE4E5A">
        <w:rPr>
          <w:lang w:val="hr-HR"/>
        </w:rPr>
        <w:t>U strukturi ukupnih primitaka od financijske imovine i zaduživanja u 2024. godini najznačajniji iznos od 5,5 milijardi eura odnosi se na primitke od izdanih vrijednosnih papira</w:t>
      </w:r>
      <w:r w:rsidRPr="00D57FAD">
        <w:rPr>
          <w:lang w:val="hr-HR"/>
        </w:rPr>
        <w:t xml:space="preserve">, od čega se </w:t>
      </w:r>
      <w:r>
        <w:rPr>
          <w:lang w:val="hr-HR"/>
        </w:rPr>
        <w:t xml:space="preserve">4,5 milijardi eura odnosi na </w:t>
      </w:r>
      <w:r w:rsidRPr="00AE4E5A">
        <w:rPr>
          <w:lang w:val="hr-HR"/>
        </w:rPr>
        <w:t xml:space="preserve">obveznice, a 1,0 milijarda eura na trezorske zapise </w:t>
      </w:r>
      <w:r>
        <w:rPr>
          <w:lang w:val="hr-HR"/>
        </w:rPr>
        <w:t>(neto)</w:t>
      </w:r>
      <w:r w:rsidRPr="00D57FAD">
        <w:rPr>
          <w:lang w:val="hr-HR"/>
        </w:rPr>
        <w:t>.</w:t>
      </w:r>
      <w:r>
        <w:rPr>
          <w:color w:val="FF0000"/>
          <w:lang w:val="hr-HR"/>
        </w:rPr>
        <w:t xml:space="preserve"> </w:t>
      </w:r>
      <w:r w:rsidRPr="00D57FAD">
        <w:rPr>
          <w:lang w:val="hr-HR"/>
        </w:rPr>
        <w:t xml:space="preserve">Primici od zaduživanja inozemnim i domaćim kreditima i zajmovima </w:t>
      </w:r>
      <w:r>
        <w:rPr>
          <w:lang w:val="hr-HR"/>
        </w:rPr>
        <w:t>planiraju se</w:t>
      </w:r>
      <w:r w:rsidRPr="00D57FAD">
        <w:rPr>
          <w:lang w:val="hr-HR"/>
        </w:rPr>
        <w:t xml:space="preserve"> u iznosu od </w:t>
      </w:r>
      <w:r>
        <w:rPr>
          <w:lang w:val="hr-HR"/>
        </w:rPr>
        <w:t>2,5</w:t>
      </w:r>
      <w:r w:rsidRPr="00D57FAD">
        <w:rPr>
          <w:color w:val="FF0000"/>
          <w:lang w:val="hr-HR"/>
        </w:rPr>
        <w:t xml:space="preserve"> </w:t>
      </w:r>
      <w:r w:rsidRPr="00AE4E5A">
        <w:rPr>
          <w:lang w:val="hr-HR"/>
        </w:rPr>
        <w:t>milijard</w:t>
      </w:r>
      <w:r>
        <w:rPr>
          <w:lang w:val="hr-HR"/>
        </w:rPr>
        <w:t>i</w:t>
      </w:r>
      <w:r w:rsidRPr="00AE4E5A">
        <w:rPr>
          <w:lang w:val="hr-HR"/>
        </w:rPr>
        <w:t xml:space="preserve"> eura</w:t>
      </w:r>
      <w:r>
        <w:rPr>
          <w:lang w:val="hr-HR"/>
        </w:rPr>
        <w:t>, od čega se 1,2 milijarde eura odnosi na zajam</w:t>
      </w:r>
      <w:r w:rsidRPr="008B5A7C">
        <w:rPr>
          <w:lang w:val="hr-HR"/>
        </w:rPr>
        <w:t xml:space="preserve"> koji Republika Hrvatska ostvar</w:t>
      </w:r>
      <w:r>
        <w:rPr>
          <w:lang w:val="hr-HR"/>
        </w:rPr>
        <w:t>uje</w:t>
      </w:r>
      <w:r w:rsidRPr="008B5A7C">
        <w:rPr>
          <w:lang w:val="hr-HR"/>
        </w:rPr>
        <w:t xml:space="preserve"> u okviru Nacionalnog plana oporavka i otpornosti 2021.-2026. </w:t>
      </w:r>
      <w:r>
        <w:rPr>
          <w:lang w:val="hr-HR"/>
        </w:rPr>
        <w:t xml:space="preserve"> </w:t>
      </w:r>
      <w:r w:rsidRPr="00D57FAD">
        <w:rPr>
          <w:lang w:val="hr-HR"/>
        </w:rPr>
        <w:t xml:space="preserve">Preostali iznos planiranih primitaka u računu financiranja državnog proračuna odnosi se na primitke od povrata glavnica danih zajmova i depozita u iznosu od </w:t>
      </w:r>
      <w:r>
        <w:rPr>
          <w:lang w:val="hr-HR"/>
        </w:rPr>
        <w:t>126,7</w:t>
      </w:r>
      <w:r w:rsidRPr="00D57FAD">
        <w:rPr>
          <w:color w:val="FF0000"/>
          <w:lang w:val="hr-HR"/>
        </w:rPr>
        <w:t xml:space="preserve"> </w:t>
      </w:r>
      <w:r w:rsidRPr="008B5A7C">
        <w:rPr>
          <w:lang w:val="hr-HR"/>
        </w:rPr>
        <w:t>milijuna eura</w:t>
      </w:r>
      <w:r>
        <w:rPr>
          <w:lang w:val="hr-HR"/>
        </w:rPr>
        <w:t xml:space="preserve"> i primitke od prodaje dionica i udjela u glavnici u iznosu od 10,0 milijuna eura.</w:t>
      </w:r>
    </w:p>
    <w:p w:rsidR="000621DF" w:rsidRPr="00E26582" w:rsidRDefault="000621DF" w:rsidP="000621DF">
      <w:pPr>
        <w:jc w:val="both"/>
        <w:rPr>
          <w:lang w:val="hr-HR"/>
        </w:rPr>
      </w:pPr>
      <w:r w:rsidRPr="00E26582">
        <w:rPr>
          <w:lang w:val="hr-HR"/>
        </w:rPr>
        <w:t xml:space="preserve">U strukturi ukupnih izdataka za financijsku imovinu i otplate zajmova najveći iznos od </w:t>
      </w:r>
      <w:r>
        <w:rPr>
          <w:lang w:val="hr-HR"/>
        </w:rPr>
        <w:t>3,2</w:t>
      </w:r>
      <w:r w:rsidRPr="00E26582">
        <w:rPr>
          <w:lang w:val="hr-HR"/>
        </w:rPr>
        <w:t xml:space="preserve"> milijard</w:t>
      </w:r>
      <w:r>
        <w:rPr>
          <w:lang w:val="hr-HR"/>
        </w:rPr>
        <w:t>e</w:t>
      </w:r>
      <w:r w:rsidRPr="00E26582">
        <w:rPr>
          <w:lang w:val="hr-HR"/>
        </w:rPr>
        <w:t xml:space="preserve"> eura čine izdaci za otplatu glavnice za izdane vrijednosne papire koji se u cijelosti odnose na izdatke za otplatu glavnice za izdane obveznice. Izdaci za otplatu glavnice primljenih kredita i zajmova </w:t>
      </w:r>
      <w:r>
        <w:rPr>
          <w:lang w:val="hr-HR"/>
        </w:rPr>
        <w:t>planiraju se u iznosu od</w:t>
      </w:r>
      <w:r w:rsidRPr="00E26582">
        <w:rPr>
          <w:lang w:val="hr-HR"/>
        </w:rPr>
        <w:t xml:space="preserve"> 774,4 milijuna eura</w:t>
      </w:r>
      <w:r>
        <w:rPr>
          <w:lang w:val="hr-HR"/>
        </w:rPr>
        <w:t xml:space="preserve">. Najznačajniji iznos </w:t>
      </w:r>
      <w:r w:rsidRPr="00E26582">
        <w:rPr>
          <w:lang w:val="hr-HR"/>
        </w:rPr>
        <w:t>od 558,8 milijuna eura</w:t>
      </w:r>
      <w:r>
        <w:rPr>
          <w:lang w:val="hr-HR"/>
        </w:rPr>
        <w:t xml:space="preserve"> odnosi se </w:t>
      </w:r>
      <w:r w:rsidRPr="00E26582">
        <w:rPr>
          <w:lang w:val="hr-HR"/>
        </w:rPr>
        <w:t>na otplatu glavnice primljenih kredita i zajmova od kreditnih i ostalih financijskih institucija izvan javnog sektora</w:t>
      </w:r>
      <w:r>
        <w:rPr>
          <w:lang w:val="hr-HR"/>
        </w:rPr>
        <w:t xml:space="preserve">. </w:t>
      </w:r>
      <w:r w:rsidRPr="00E26582">
        <w:rPr>
          <w:lang w:val="hr-HR"/>
        </w:rPr>
        <w:t>Izdaci za dane zajmove i depozite planira</w:t>
      </w:r>
      <w:r>
        <w:rPr>
          <w:lang w:val="hr-HR"/>
        </w:rPr>
        <w:t>ju se u</w:t>
      </w:r>
      <w:r w:rsidRPr="00E26582">
        <w:rPr>
          <w:lang w:val="hr-HR"/>
        </w:rPr>
        <w:t xml:space="preserve"> iznosu od 420,3 milijuna eura, a izdaci za dionice i udjele u glavnici 1</w:t>
      </w:r>
      <w:r>
        <w:rPr>
          <w:lang w:val="hr-HR"/>
        </w:rPr>
        <w:t>66</w:t>
      </w:r>
      <w:r w:rsidRPr="00E26582">
        <w:rPr>
          <w:lang w:val="hr-HR"/>
        </w:rPr>
        <w:t>,2 milijuna eura.</w:t>
      </w:r>
    </w:p>
    <w:p w:rsidR="000621DF" w:rsidRDefault="000621DF" w:rsidP="000621DF">
      <w:pPr>
        <w:jc w:val="both"/>
        <w:rPr>
          <w:lang w:val="hr-HR"/>
        </w:rPr>
      </w:pPr>
      <w:r>
        <w:rPr>
          <w:lang w:val="hr-HR"/>
        </w:rPr>
        <w:t>U</w:t>
      </w:r>
      <w:r w:rsidRPr="00E26582">
        <w:rPr>
          <w:lang w:val="hr-HR"/>
        </w:rPr>
        <w:t xml:space="preserve">kupni manjak </w:t>
      </w:r>
      <w:r w:rsidRPr="000D12E2">
        <w:rPr>
          <w:lang w:val="hr-HR"/>
        </w:rPr>
        <w:t xml:space="preserve">državnog proračuna </w:t>
      </w:r>
      <w:r>
        <w:rPr>
          <w:lang w:val="hr-HR"/>
        </w:rPr>
        <w:t>u</w:t>
      </w:r>
      <w:r w:rsidRPr="000D12E2">
        <w:rPr>
          <w:lang w:val="hr-HR"/>
        </w:rPr>
        <w:t xml:space="preserve"> 2025. godini </w:t>
      </w:r>
      <w:r>
        <w:rPr>
          <w:lang w:val="hr-HR"/>
        </w:rPr>
        <w:t xml:space="preserve">planiran </w:t>
      </w:r>
      <w:r w:rsidRPr="000D12E2">
        <w:rPr>
          <w:lang w:val="hr-HR"/>
        </w:rPr>
        <w:t>u iznosu od 3,2 milijarde eura</w:t>
      </w:r>
      <w:r>
        <w:rPr>
          <w:lang w:val="hr-HR"/>
        </w:rPr>
        <w:t xml:space="preserve"> financirat će se razlikom između u</w:t>
      </w:r>
      <w:r w:rsidRPr="00DF4E85">
        <w:rPr>
          <w:lang w:val="hr-HR"/>
        </w:rPr>
        <w:t>kupni</w:t>
      </w:r>
      <w:r>
        <w:rPr>
          <w:lang w:val="hr-HR"/>
        </w:rPr>
        <w:t>h primitaka od financijske imovine i zaduživanja planiranih u iznosu od 9,4 milijarde eura i ukupnih izdataka</w:t>
      </w:r>
      <w:r w:rsidRPr="00DF4E85">
        <w:rPr>
          <w:lang w:val="hr-HR"/>
        </w:rPr>
        <w:t xml:space="preserve"> za financijsku imovinu i otplate zajmova </w:t>
      </w:r>
      <w:r>
        <w:rPr>
          <w:lang w:val="hr-HR"/>
        </w:rPr>
        <w:t xml:space="preserve">u </w:t>
      </w:r>
      <w:r w:rsidRPr="000D12E2">
        <w:rPr>
          <w:lang w:val="hr-HR"/>
        </w:rPr>
        <w:t>iznosu od 6,8 milijardi eura</w:t>
      </w:r>
      <w:r>
        <w:rPr>
          <w:lang w:val="hr-HR"/>
        </w:rPr>
        <w:t xml:space="preserve"> te sredstvima prenesenim iz 2024. godine. </w:t>
      </w:r>
    </w:p>
    <w:p w:rsidR="000621DF" w:rsidRPr="006B0F2A" w:rsidRDefault="000621DF" w:rsidP="000621DF">
      <w:pPr>
        <w:rPr>
          <w:lang w:val="hr-HR"/>
        </w:rPr>
      </w:pPr>
      <w:r>
        <w:rPr>
          <w:lang w:val="hr-HR"/>
        </w:rPr>
        <w:t>U</w:t>
      </w:r>
      <w:r w:rsidRPr="00E26582">
        <w:rPr>
          <w:lang w:val="hr-HR"/>
        </w:rPr>
        <w:t xml:space="preserve">kupni manjak </w:t>
      </w:r>
      <w:r w:rsidRPr="000D12E2">
        <w:rPr>
          <w:lang w:val="hr-HR"/>
        </w:rPr>
        <w:t xml:space="preserve">državnog proračuna </w:t>
      </w:r>
      <w:r>
        <w:rPr>
          <w:lang w:val="hr-HR"/>
        </w:rPr>
        <w:t>u</w:t>
      </w:r>
      <w:r w:rsidRPr="000D12E2">
        <w:rPr>
          <w:lang w:val="hr-HR"/>
        </w:rPr>
        <w:t xml:space="preserve"> 202</w:t>
      </w:r>
      <w:r>
        <w:rPr>
          <w:lang w:val="hr-HR"/>
        </w:rPr>
        <w:t>6</w:t>
      </w:r>
      <w:r w:rsidRPr="000D12E2">
        <w:rPr>
          <w:lang w:val="hr-HR"/>
        </w:rPr>
        <w:t xml:space="preserve">. godini </w:t>
      </w:r>
      <w:r>
        <w:rPr>
          <w:lang w:val="hr-HR"/>
        </w:rPr>
        <w:t xml:space="preserve">planiran </w:t>
      </w:r>
      <w:r w:rsidRPr="000D12E2">
        <w:rPr>
          <w:lang w:val="hr-HR"/>
        </w:rPr>
        <w:t xml:space="preserve">u iznosu od </w:t>
      </w:r>
      <w:r>
        <w:rPr>
          <w:lang w:val="hr-HR"/>
        </w:rPr>
        <w:t>2</w:t>
      </w:r>
      <w:r w:rsidRPr="000D12E2">
        <w:rPr>
          <w:lang w:val="hr-HR"/>
        </w:rPr>
        <w:t>,2 milijarde eura</w:t>
      </w:r>
      <w:r>
        <w:rPr>
          <w:lang w:val="hr-HR"/>
        </w:rPr>
        <w:t xml:space="preserve"> financirat će se razlikom između u</w:t>
      </w:r>
      <w:r w:rsidRPr="00DF4E85">
        <w:rPr>
          <w:lang w:val="hr-HR"/>
        </w:rPr>
        <w:t>kupni</w:t>
      </w:r>
      <w:r>
        <w:rPr>
          <w:lang w:val="hr-HR"/>
        </w:rPr>
        <w:t>h primitaka od financijske imovine i zaduživanja planiranih u iznosu od 6,3 milijarde eura i ukupnih izdataka</w:t>
      </w:r>
      <w:r w:rsidRPr="00DF4E85">
        <w:rPr>
          <w:lang w:val="hr-HR"/>
        </w:rPr>
        <w:t xml:space="preserve"> za financijsku imovinu i otplate zajmova </w:t>
      </w:r>
      <w:r>
        <w:rPr>
          <w:lang w:val="hr-HR"/>
        </w:rPr>
        <w:t xml:space="preserve">u </w:t>
      </w:r>
      <w:r w:rsidRPr="000D12E2">
        <w:rPr>
          <w:lang w:val="hr-HR"/>
        </w:rPr>
        <w:t xml:space="preserve">iznosu od </w:t>
      </w:r>
      <w:r>
        <w:rPr>
          <w:lang w:val="hr-HR"/>
        </w:rPr>
        <w:t xml:space="preserve">3,5 </w:t>
      </w:r>
      <w:r w:rsidRPr="000D12E2">
        <w:rPr>
          <w:lang w:val="hr-HR"/>
        </w:rPr>
        <w:t>milijardi eura</w:t>
      </w:r>
      <w:r>
        <w:rPr>
          <w:lang w:val="hr-HR"/>
        </w:rPr>
        <w:t>.</w:t>
      </w:r>
    </w:p>
    <w:p w:rsidR="000621DF" w:rsidRDefault="000621DF" w:rsidP="00362A8C">
      <w:pPr>
        <w:spacing w:after="0" w:line="240" w:lineRule="auto"/>
        <w:jc w:val="both"/>
        <w:rPr>
          <w:i/>
          <w:highlight w:val="yellow"/>
          <w:lang w:val="hr-HR"/>
        </w:rPr>
      </w:pPr>
    </w:p>
    <w:p w:rsidR="000621DF" w:rsidRDefault="000621DF" w:rsidP="00362A8C">
      <w:pPr>
        <w:spacing w:after="0" w:line="240" w:lineRule="auto"/>
        <w:jc w:val="both"/>
        <w:rPr>
          <w:i/>
          <w:highlight w:val="yellow"/>
          <w:lang w:val="hr-HR"/>
        </w:rPr>
      </w:pPr>
    </w:p>
    <w:p w:rsidR="000621DF" w:rsidRDefault="000621DF" w:rsidP="00362A8C">
      <w:pPr>
        <w:spacing w:after="0" w:line="240" w:lineRule="auto"/>
        <w:jc w:val="both"/>
        <w:rPr>
          <w:i/>
          <w:highlight w:val="yellow"/>
          <w:lang w:val="hr-HR"/>
        </w:rPr>
      </w:pPr>
    </w:p>
    <w:p w:rsidR="000621DF" w:rsidRDefault="000621DF" w:rsidP="00362A8C">
      <w:pPr>
        <w:spacing w:after="0" w:line="240" w:lineRule="auto"/>
        <w:jc w:val="both"/>
        <w:rPr>
          <w:i/>
          <w:highlight w:val="yellow"/>
          <w:lang w:val="hr-HR"/>
        </w:rPr>
      </w:pPr>
    </w:p>
    <w:p w:rsidR="000621DF" w:rsidRDefault="000621DF" w:rsidP="00362A8C">
      <w:pPr>
        <w:spacing w:after="0" w:line="240" w:lineRule="auto"/>
        <w:jc w:val="both"/>
        <w:rPr>
          <w:i/>
          <w:highlight w:val="yellow"/>
          <w:lang w:val="hr-HR"/>
        </w:rPr>
      </w:pPr>
    </w:p>
    <w:p w:rsidR="000621DF" w:rsidRDefault="000621DF" w:rsidP="00362A8C">
      <w:pPr>
        <w:spacing w:after="0" w:line="240" w:lineRule="auto"/>
        <w:jc w:val="both"/>
        <w:rPr>
          <w:i/>
          <w:highlight w:val="yellow"/>
          <w:lang w:val="hr-HR"/>
        </w:rPr>
      </w:pPr>
    </w:p>
    <w:p w:rsidR="000621DF" w:rsidRDefault="000621DF" w:rsidP="00362A8C">
      <w:pPr>
        <w:spacing w:after="0" w:line="240" w:lineRule="auto"/>
        <w:jc w:val="both"/>
        <w:rPr>
          <w:i/>
          <w:highlight w:val="yellow"/>
          <w:lang w:val="hr-HR"/>
        </w:rPr>
      </w:pPr>
    </w:p>
    <w:p w:rsidR="000621DF" w:rsidRDefault="000621DF" w:rsidP="00362A8C">
      <w:pPr>
        <w:spacing w:after="0" w:line="240" w:lineRule="auto"/>
        <w:jc w:val="both"/>
        <w:rPr>
          <w:i/>
          <w:highlight w:val="yellow"/>
          <w:lang w:val="hr-HR"/>
        </w:rPr>
      </w:pPr>
    </w:p>
    <w:p w:rsidR="000621DF" w:rsidRDefault="000621DF" w:rsidP="00362A8C">
      <w:pPr>
        <w:spacing w:after="0" w:line="240" w:lineRule="auto"/>
        <w:jc w:val="both"/>
        <w:rPr>
          <w:i/>
          <w:highlight w:val="yellow"/>
          <w:lang w:val="hr-HR"/>
        </w:rPr>
      </w:pPr>
    </w:p>
    <w:p w:rsidR="000621DF" w:rsidRDefault="000621DF" w:rsidP="00362A8C">
      <w:pPr>
        <w:spacing w:after="0" w:line="240" w:lineRule="auto"/>
        <w:jc w:val="both"/>
        <w:rPr>
          <w:i/>
          <w:highlight w:val="yellow"/>
          <w:lang w:val="hr-HR"/>
        </w:rPr>
      </w:pPr>
    </w:p>
    <w:p w:rsidR="000621DF" w:rsidRDefault="000621DF" w:rsidP="00362A8C">
      <w:pPr>
        <w:spacing w:after="0" w:line="240" w:lineRule="auto"/>
        <w:jc w:val="both"/>
        <w:rPr>
          <w:i/>
          <w:highlight w:val="yellow"/>
          <w:lang w:val="hr-HR"/>
        </w:rPr>
      </w:pPr>
    </w:p>
    <w:p w:rsidR="00111DAD" w:rsidRDefault="00111DAD" w:rsidP="00362A8C">
      <w:pPr>
        <w:spacing w:after="0" w:line="240" w:lineRule="auto"/>
        <w:jc w:val="both"/>
        <w:rPr>
          <w:i/>
          <w:highlight w:val="yellow"/>
          <w:lang w:val="hr-HR"/>
        </w:rPr>
      </w:pPr>
    </w:p>
    <w:p w:rsidR="00D56335" w:rsidRPr="00E45A6D" w:rsidRDefault="00362A8C" w:rsidP="00362A8C">
      <w:pPr>
        <w:spacing w:after="0" w:line="240" w:lineRule="auto"/>
        <w:jc w:val="both"/>
        <w:rPr>
          <w:i/>
          <w:lang w:val="hr-HR"/>
        </w:rPr>
      </w:pPr>
      <w:r w:rsidRPr="00E45A6D">
        <w:rPr>
          <w:i/>
          <w:lang w:val="hr-HR"/>
        </w:rPr>
        <w:lastRenderedPageBreak/>
        <w:t xml:space="preserve">Tablica </w:t>
      </w:r>
      <w:r w:rsidR="00674659" w:rsidRPr="00E45A6D">
        <w:rPr>
          <w:i/>
          <w:lang w:val="hr-HR"/>
        </w:rPr>
        <w:t>12</w:t>
      </w:r>
      <w:r w:rsidRPr="00E45A6D">
        <w:rPr>
          <w:i/>
          <w:lang w:val="hr-HR"/>
        </w:rPr>
        <w:t>: Račun prihoda, rashoda i financiranja državnog proračuna</w:t>
      </w:r>
    </w:p>
    <w:p w:rsidR="00D56335" w:rsidRPr="00E45A6D" w:rsidRDefault="000621DF" w:rsidP="000621DF">
      <w:pPr>
        <w:spacing w:after="0" w:line="240" w:lineRule="auto"/>
        <w:jc w:val="both"/>
        <w:rPr>
          <w:i/>
          <w:lang w:val="hr-HR"/>
        </w:rPr>
      </w:pPr>
      <w:r w:rsidRPr="00E45A6D">
        <w:rPr>
          <w:noProof/>
          <w:lang w:val="hr-HR" w:eastAsia="hr-HR"/>
        </w:rPr>
        <w:drawing>
          <wp:inline distT="0" distB="0" distL="0" distR="0" wp14:anchorId="1AC93C47" wp14:editId="351A3B66">
            <wp:extent cx="5741714" cy="1615044"/>
            <wp:effectExtent l="0" t="0" r="0" b="444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790544" cy="1628779"/>
                    </a:xfrm>
                    <a:prstGeom prst="rect">
                      <a:avLst/>
                    </a:prstGeom>
                    <a:noFill/>
                    <a:ln>
                      <a:noFill/>
                    </a:ln>
                  </pic:spPr>
                </pic:pic>
              </a:graphicData>
            </a:graphic>
          </wp:inline>
        </w:drawing>
      </w:r>
    </w:p>
    <w:p w:rsidR="00362A8C" w:rsidRPr="00E45A6D" w:rsidRDefault="00362A8C" w:rsidP="00362A8C">
      <w:pPr>
        <w:spacing w:after="0"/>
        <w:rPr>
          <w:i/>
          <w:sz w:val="20"/>
          <w:lang w:val="hr-HR"/>
        </w:rPr>
      </w:pPr>
      <w:r w:rsidRPr="00E45A6D">
        <w:rPr>
          <w:i/>
          <w:sz w:val="20"/>
          <w:lang w:val="hr-HR"/>
        </w:rPr>
        <w:t>Izvor: Ministarstvo financija</w:t>
      </w: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Default="000621DF" w:rsidP="00362A8C">
      <w:pPr>
        <w:spacing w:after="0"/>
        <w:rPr>
          <w:i/>
          <w:sz w:val="20"/>
          <w:highlight w:val="yellow"/>
          <w:lang w:val="hr-HR"/>
        </w:rPr>
      </w:pPr>
    </w:p>
    <w:p w:rsidR="000621DF" w:rsidRPr="000621DF" w:rsidRDefault="000621DF" w:rsidP="00362A8C">
      <w:pPr>
        <w:spacing w:after="0"/>
        <w:rPr>
          <w:i/>
          <w:sz w:val="20"/>
          <w:highlight w:val="yellow"/>
          <w:lang w:val="hr-HR"/>
        </w:rPr>
      </w:pPr>
    </w:p>
    <w:p w:rsidR="00306477" w:rsidRPr="00A27BB3" w:rsidRDefault="00306477" w:rsidP="00B337AF">
      <w:pPr>
        <w:pStyle w:val="Heading1"/>
        <w:numPr>
          <w:ilvl w:val="0"/>
          <w:numId w:val="17"/>
        </w:numPr>
        <w:spacing w:before="0"/>
        <w:rPr>
          <w:lang w:val="hr-HR"/>
        </w:rPr>
      </w:pPr>
      <w:bookmarkStart w:id="35" w:name="_Toc445299434"/>
      <w:bookmarkStart w:id="36" w:name="_Toc150380904"/>
      <w:r w:rsidRPr="00A27BB3">
        <w:rPr>
          <w:lang w:val="hr-HR"/>
        </w:rPr>
        <w:lastRenderedPageBreak/>
        <w:t>STANJE DOSPJELIH NEPODMIRENIH OBVEZA PRORAČUNSKIH KORISNIKA DRŽAVNOG PRORAČUNA</w:t>
      </w:r>
      <w:bookmarkEnd w:id="35"/>
      <w:bookmarkEnd w:id="36"/>
    </w:p>
    <w:p w:rsidR="00B337AF" w:rsidRPr="007A235C" w:rsidRDefault="00B337AF" w:rsidP="00B337AF">
      <w:pPr>
        <w:spacing w:after="0"/>
        <w:rPr>
          <w:highlight w:val="yellow"/>
          <w:lang w:val="hr-HR"/>
        </w:rPr>
      </w:pPr>
    </w:p>
    <w:p w:rsidR="00B337AF" w:rsidRPr="00A27BB3" w:rsidRDefault="00B337AF" w:rsidP="00B337AF">
      <w:pPr>
        <w:spacing w:after="0" w:line="240" w:lineRule="auto"/>
        <w:rPr>
          <w:rFonts w:ascii="Calibri" w:hAnsi="Calibri" w:cs="Calibri"/>
          <w:noProof/>
          <w:lang w:val="hr-HR" w:eastAsia="hr-HR"/>
        </w:rPr>
      </w:pPr>
      <w:r w:rsidRPr="00A27BB3">
        <w:rPr>
          <w:rFonts w:ascii="Calibri" w:hAnsi="Calibri" w:cs="Calibri"/>
          <w:i/>
          <w:lang w:val="hr-HR"/>
        </w:rPr>
        <w:t>Tablica 1</w:t>
      </w:r>
      <w:r w:rsidR="00674659" w:rsidRPr="00A27BB3">
        <w:rPr>
          <w:rFonts w:ascii="Calibri" w:hAnsi="Calibri" w:cs="Calibri"/>
          <w:i/>
          <w:lang w:val="hr-HR"/>
        </w:rPr>
        <w:t>3</w:t>
      </w:r>
      <w:r w:rsidRPr="00A27BB3">
        <w:rPr>
          <w:rFonts w:ascii="Calibri" w:hAnsi="Calibri" w:cs="Calibri"/>
          <w:i/>
          <w:lang w:val="hr-HR"/>
        </w:rPr>
        <w:t>: Stanje dospjelih nepodmirenih obveza ministarstava i drugih državnih tijela na razini razdjela organizacijske klasifikacije</w:t>
      </w:r>
      <w:r w:rsidR="00ED192B" w:rsidRPr="00A27BB3">
        <w:rPr>
          <w:rFonts w:ascii="Calibri" w:hAnsi="Calibri" w:cs="Calibri"/>
          <w:lang w:val="hr-HR"/>
        </w:rPr>
        <w:t xml:space="preserve"> </w:t>
      </w:r>
    </w:p>
    <w:p w:rsidR="00B337AF" w:rsidRPr="00A27BB3" w:rsidRDefault="00A27BB3" w:rsidP="00B337AF">
      <w:pPr>
        <w:spacing w:after="0" w:line="240" w:lineRule="auto"/>
        <w:rPr>
          <w:rFonts w:ascii="Calibri" w:hAnsi="Calibri" w:cs="Calibri"/>
          <w:lang w:val="hr-HR"/>
        </w:rPr>
      </w:pPr>
      <w:r w:rsidRPr="00A27BB3">
        <w:rPr>
          <w:rFonts w:cstheme="minorHAnsi"/>
          <w:noProof/>
          <w:lang w:val="hr-HR" w:eastAsia="hr-HR"/>
        </w:rPr>
        <w:drawing>
          <wp:inline distT="0" distB="0" distL="0" distR="0" wp14:anchorId="45B64891" wp14:editId="7D0ABE03">
            <wp:extent cx="5391895" cy="7677150"/>
            <wp:effectExtent l="0" t="0" r="0" b="0"/>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392877" cy="7678548"/>
                    </a:xfrm>
                    <a:prstGeom prst="rect">
                      <a:avLst/>
                    </a:prstGeom>
                    <a:noFill/>
                    <a:ln>
                      <a:noFill/>
                    </a:ln>
                  </pic:spPr>
                </pic:pic>
              </a:graphicData>
            </a:graphic>
          </wp:inline>
        </w:drawing>
      </w:r>
    </w:p>
    <w:p w:rsidR="00A27BB3" w:rsidRDefault="00B337AF" w:rsidP="00A27BB3">
      <w:pPr>
        <w:spacing w:after="0" w:line="240" w:lineRule="auto"/>
        <w:jc w:val="both"/>
        <w:rPr>
          <w:rFonts w:ascii="Calibri" w:hAnsi="Calibri" w:cs="Calibri"/>
          <w:i/>
          <w:lang w:val="hr-HR"/>
        </w:rPr>
      </w:pPr>
      <w:r w:rsidRPr="00A27BB3">
        <w:rPr>
          <w:rFonts w:ascii="Calibri" w:hAnsi="Calibri" w:cs="Calibri"/>
          <w:i/>
          <w:lang w:val="hr-HR"/>
        </w:rPr>
        <w:t>Izvor: Ministarstvo financija</w:t>
      </w:r>
    </w:p>
    <w:p w:rsidR="00B337AF" w:rsidRPr="00A27BB3" w:rsidRDefault="00B337AF" w:rsidP="00A27BB3">
      <w:pPr>
        <w:spacing w:after="0" w:line="240" w:lineRule="auto"/>
        <w:jc w:val="both"/>
        <w:rPr>
          <w:rFonts w:ascii="Calibri" w:hAnsi="Calibri" w:cs="Calibri"/>
          <w:i/>
          <w:lang w:val="hr-HR"/>
        </w:rPr>
      </w:pPr>
      <w:r w:rsidRPr="00A27BB3">
        <w:rPr>
          <w:rFonts w:ascii="Calibri" w:hAnsi="Calibri" w:cs="Calibri"/>
          <w:i/>
          <w:lang w:val="hr-HR"/>
        </w:rPr>
        <w:lastRenderedPageBreak/>
        <w:t xml:space="preserve">Tablica </w:t>
      </w:r>
      <w:r w:rsidR="00674659" w:rsidRPr="00A27BB3">
        <w:rPr>
          <w:rFonts w:ascii="Calibri" w:hAnsi="Calibri" w:cs="Calibri"/>
          <w:i/>
          <w:lang w:val="hr-HR"/>
        </w:rPr>
        <w:t>14</w:t>
      </w:r>
      <w:r w:rsidRPr="00A27BB3">
        <w:rPr>
          <w:rFonts w:ascii="Calibri" w:hAnsi="Calibri" w:cs="Calibri"/>
          <w:i/>
          <w:lang w:val="hr-HR"/>
        </w:rPr>
        <w:t>: Stanje dospjelih nepodmirenih obveza izvanproračunskih korisnika</w:t>
      </w:r>
    </w:p>
    <w:p w:rsidR="00B337AF" w:rsidRPr="00A27BB3" w:rsidRDefault="00A27BB3" w:rsidP="00B337AF">
      <w:pPr>
        <w:spacing w:after="0" w:line="240" w:lineRule="auto"/>
        <w:jc w:val="both"/>
        <w:rPr>
          <w:rFonts w:ascii="Calibri" w:hAnsi="Calibri" w:cs="Calibri"/>
          <w:i/>
          <w:lang w:val="hr-HR"/>
        </w:rPr>
      </w:pPr>
      <w:r w:rsidRPr="00A27BB3">
        <w:rPr>
          <w:rFonts w:cstheme="minorHAnsi"/>
          <w:noProof/>
          <w:lang w:val="hr-HR" w:eastAsia="hr-HR"/>
        </w:rPr>
        <w:drawing>
          <wp:inline distT="0" distB="0" distL="0" distR="0" wp14:anchorId="7D720DF9" wp14:editId="1B8EF9A1">
            <wp:extent cx="5760720" cy="2551430"/>
            <wp:effectExtent l="0" t="0" r="0" b="1270"/>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760720" cy="2551430"/>
                    </a:xfrm>
                    <a:prstGeom prst="rect">
                      <a:avLst/>
                    </a:prstGeom>
                    <a:noFill/>
                    <a:ln>
                      <a:noFill/>
                    </a:ln>
                  </pic:spPr>
                </pic:pic>
              </a:graphicData>
            </a:graphic>
          </wp:inline>
        </w:drawing>
      </w:r>
    </w:p>
    <w:p w:rsidR="00B337AF" w:rsidRPr="006B0F2A" w:rsidRDefault="00B337AF" w:rsidP="00B337AF">
      <w:pPr>
        <w:spacing w:after="0" w:line="240" w:lineRule="auto"/>
        <w:jc w:val="both"/>
        <w:rPr>
          <w:rFonts w:ascii="Calibri" w:hAnsi="Calibri" w:cs="Calibri"/>
          <w:i/>
          <w:lang w:val="hr-HR"/>
        </w:rPr>
      </w:pPr>
      <w:r w:rsidRPr="00A27BB3">
        <w:rPr>
          <w:rFonts w:ascii="Calibri" w:hAnsi="Calibri" w:cs="Calibri"/>
          <w:i/>
          <w:lang w:val="hr-HR"/>
        </w:rPr>
        <w:t>Izvor: Ministarstvo financija</w:t>
      </w:r>
    </w:p>
    <w:p w:rsidR="00B337AF" w:rsidRPr="006B0F2A" w:rsidRDefault="00B337AF" w:rsidP="00B337AF">
      <w:pPr>
        <w:rPr>
          <w:lang w:val="hr-HR"/>
        </w:rPr>
      </w:pPr>
    </w:p>
    <w:p w:rsidR="00306477" w:rsidRPr="006B0F2A" w:rsidRDefault="00306477" w:rsidP="00306477">
      <w:pPr>
        <w:rPr>
          <w:sz w:val="6"/>
          <w:szCs w:val="6"/>
          <w:lang w:val="hr-HR"/>
        </w:rPr>
      </w:pPr>
    </w:p>
    <w:p w:rsidR="00306477" w:rsidRPr="006B0F2A" w:rsidRDefault="00306477" w:rsidP="00695821">
      <w:pPr>
        <w:rPr>
          <w:lang w:val="hr-HR"/>
        </w:rPr>
      </w:pPr>
      <w:r w:rsidRPr="006B0F2A">
        <w:rPr>
          <w:lang w:val="hr-HR"/>
        </w:rPr>
        <w:br w:type="page"/>
      </w:r>
    </w:p>
    <w:p w:rsidR="00695821" w:rsidRPr="006B0F2A" w:rsidRDefault="00695821" w:rsidP="0029489C">
      <w:pPr>
        <w:pStyle w:val="Heading1"/>
        <w:numPr>
          <w:ilvl w:val="0"/>
          <w:numId w:val="17"/>
        </w:numPr>
        <w:rPr>
          <w:lang w:val="hr-HR"/>
        </w:rPr>
      </w:pPr>
      <w:bookmarkStart w:id="37" w:name="_Toc150380905"/>
      <w:r w:rsidRPr="006B0F2A">
        <w:rPr>
          <w:lang w:val="hr-HR"/>
        </w:rPr>
        <w:lastRenderedPageBreak/>
        <w:t>PROCJENA UKUPNOG MANJKA</w:t>
      </w:r>
      <w:r w:rsidR="003052F1" w:rsidRPr="006B0F2A">
        <w:rPr>
          <w:lang w:val="hr-HR"/>
        </w:rPr>
        <w:t>/VIŠKA</w:t>
      </w:r>
      <w:r w:rsidRPr="006B0F2A">
        <w:rPr>
          <w:lang w:val="hr-HR"/>
        </w:rPr>
        <w:t xml:space="preserve"> OPĆE DRŽAVE</w:t>
      </w:r>
      <w:bookmarkEnd w:id="37"/>
      <w:r w:rsidRPr="006B0F2A">
        <w:rPr>
          <w:lang w:val="hr-HR"/>
        </w:rPr>
        <w:t xml:space="preserve"> </w:t>
      </w:r>
    </w:p>
    <w:p w:rsidR="00695821" w:rsidRPr="006B0F2A" w:rsidRDefault="00695821" w:rsidP="00695821">
      <w:pPr>
        <w:rPr>
          <w:lang w:val="hr-HR"/>
        </w:rPr>
      </w:pPr>
    </w:p>
    <w:p w:rsidR="0069403F" w:rsidRPr="007A235C" w:rsidRDefault="0069403F" w:rsidP="00834752">
      <w:pPr>
        <w:spacing w:after="240"/>
        <w:jc w:val="both"/>
        <w:rPr>
          <w:rFonts w:ascii="Calibri" w:hAnsi="Calibri"/>
          <w:highlight w:val="yellow"/>
          <w:lang w:val="hr-HR"/>
        </w:rPr>
      </w:pPr>
      <w:bookmarkStart w:id="38" w:name="_Toc445241799"/>
      <w:r w:rsidRPr="0046410C">
        <w:rPr>
          <w:rFonts w:ascii="Calibri" w:hAnsi="Calibri"/>
          <w:lang w:val="hr-HR"/>
        </w:rPr>
        <w:t>U 202</w:t>
      </w:r>
      <w:r w:rsidR="0046410C" w:rsidRPr="0046410C">
        <w:rPr>
          <w:rFonts w:ascii="Calibri" w:hAnsi="Calibri"/>
          <w:lang w:val="hr-HR"/>
        </w:rPr>
        <w:t>4</w:t>
      </w:r>
      <w:r w:rsidRPr="0046410C">
        <w:rPr>
          <w:rFonts w:ascii="Calibri" w:hAnsi="Calibri"/>
          <w:lang w:val="hr-HR"/>
        </w:rPr>
        <w:t xml:space="preserve">. godini manjak općeg proračuna prema nacionalnoj metodologiji projiciran je na razini od </w:t>
      </w:r>
      <w:r w:rsidR="0046410C" w:rsidRPr="0046410C">
        <w:rPr>
          <w:rFonts w:ascii="Calibri" w:hAnsi="Calibri"/>
          <w:lang w:val="hr-HR"/>
        </w:rPr>
        <w:t>3,8</w:t>
      </w:r>
      <w:r w:rsidRPr="0046410C">
        <w:rPr>
          <w:rFonts w:ascii="Calibri" w:hAnsi="Calibri"/>
          <w:lang w:val="hr-HR"/>
        </w:rPr>
        <w:t xml:space="preserve"> milijardi eura ili </w:t>
      </w:r>
      <w:r w:rsidR="0046410C" w:rsidRPr="0046410C">
        <w:rPr>
          <w:rFonts w:ascii="Calibri" w:hAnsi="Calibri"/>
          <w:lang w:val="hr-HR"/>
        </w:rPr>
        <w:t>4,6</w:t>
      </w:r>
      <w:r w:rsidRPr="0046410C">
        <w:rPr>
          <w:rFonts w:ascii="Calibri" w:hAnsi="Calibri"/>
          <w:lang w:val="hr-HR"/>
        </w:rPr>
        <w:t>% BDP-a. U 202</w:t>
      </w:r>
      <w:r w:rsidR="0046410C" w:rsidRPr="0046410C">
        <w:rPr>
          <w:rFonts w:ascii="Calibri" w:hAnsi="Calibri"/>
          <w:lang w:val="hr-HR"/>
        </w:rPr>
        <w:t>5</w:t>
      </w:r>
      <w:r w:rsidRPr="0046410C">
        <w:rPr>
          <w:rFonts w:ascii="Calibri" w:hAnsi="Calibri"/>
          <w:lang w:val="hr-HR"/>
        </w:rPr>
        <w:t xml:space="preserve">. isti se </w:t>
      </w:r>
      <w:r w:rsidRPr="002D1398">
        <w:rPr>
          <w:rFonts w:ascii="Calibri" w:hAnsi="Calibri"/>
          <w:lang w:val="hr-HR"/>
        </w:rPr>
        <w:t xml:space="preserve">projicira u iznosu od </w:t>
      </w:r>
      <w:r w:rsidR="0046410C" w:rsidRPr="002D1398">
        <w:rPr>
          <w:rFonts w:ascii="Calibri" w:hAnsi="Calibri"/>
          <w:lang w:val="hr-HR"/>
        </w:rPr>
        <w:t>2,9</w:t>
      </w:r>
      <w:r w:rsidRPr="002D1398">
        <w:rPr>
          <w:rFonts w:ascii="Calibri" w:hAnsi="Calibri"/>
          <w:lang w:val="hr-HR"/>
        </w:rPr>
        <w:t xml:space="preserve"> milij</w:t>
      </w:r>
      <w:r w:rsidR="0046410C" w:rsidRPr="002D1398">
        <w:rPr>
          <w:rFonts w:ascii="Calibri" w:hAnsi="Calibri"/>
          <w:lang w:val="hr-HR"/>
        </w:rPr>
        <w:t>ardi</w:t>
      </w:r>
      <w:r w:rsidRPr="002D1398">
        <w:rPr>
          <w:rFonts w:ascii="Calibri" w:hAnsi="Calibri"/>
          <w:lang w:val="hr-HR"/>
        </w:rPr>
        <w:t xml:space="preserve"> eura ili </w:t>
      </w:r>
      <w:r w:rsidR="0046410C" w:rsidRPr="002D1398">
        <w:rPr>
          <w:rFonts w:ascii="Calibri" w:hAnsi="Calibri"/>
          <w:lang w:val="hr-HR"/>
        </w:rPr>
        <w:t>3,4</w:t>
      </w:r>
      <w:r w:rsidRPr="002D1398">
        <w:rPr>
          <w:rFonts w:ascii="Calibri" w:hAnsi="Calibri"/>
          <w:lang w:val="hr-HR"/>
        </w:rPr>
        <w:t xml:space="preserve">% BDP-a, a u </w:t>
      </w:r>
      <w:r w:rsidRPr="004400AA">
        <w:rPr>
          <w:rFonts w:ascii="Calibri" w:hAnsi="Calibri"/>
          <w:lang w:val="hr-HR"/>
        </w:rPr>
        <w:t>202</w:t>
      </w:r>
      <w:r w:rsidR="0046410C" w:rsidRPr="004400AA">
        <w:rPr>
          <w:rFonts w:ascii="Calibri" w:hAnsi="Calibri"/>
          <w:lang w:val="hr-HR"/>
        </w:rPr>
        <w:t>6</w:t>
      </w:r>
      <w:r w:rsidRPr="004400AA">
        <w:rPr>
          <w:rFonts w:ascii="Calibri" w:hAnsi="Calibri"/>
          <w:lang w:val="hr-HR"/>
        </w:rPr>
        <w:t xml:space="preserve">. godini u iznosu od </w:t>
      </w:r>
      <w:r w:rsidR="0046410C" w:rsidRPr="004400AA">
        <w:rPr>
          <w:rFonts w:ascii="Calibri" w:hAnsi="Calibri"/>
          <w:lang w:val="hr-HR"/>
        </w:rPr>
        <w:t>2,1</w:t>
      </w:r>
      <w:r w:rsidRPr="004400AA">
        <w:rPr>
          <w:rFonts w:ascii="Calibri" w:hAnsi="Calibri"/>
          <w:lang w:val="hr-HR"/>
        </w:rPr>
        <w:t xml:space="preserve"> </w:t>
      </w:r>
      <w:r w:rsidR="0046410C" w:rsidRPr="004400AA">
        <w:rPr>
          <w:rFonts w:ascii="Calibri" w:hAnsi="Calibri"/>
          <w:lang w:val="hr-HR"/>
        </w:rPr>
        <w:t>milijardi eura ili 2</w:t>
      </w:r>
      <w:r w:rsidRPr="004400AA">
        <w:rPr>
          <w:rFonts w:ascii="Calibri" w:hAnsi="Calibri"/>
          <w:lang w:val="hr-HR"/>
        </w:rPr>
        <w:t>,3% BDP-a. Pritom je manjak državnog proračuna u 202</w:t>
      </w:r>
      <w:r w:rsidR="002D1398" w:rsidRPr="004400AA">
        <w:rPr>
          <w:rFonts w:ascii="Calibri" w:hAnsi="Calibri"/>
          <w:lang w:val="hr-HR"/>
        </w:rPr>
        <w:t>4</w:t>
      </w:r>
      <w:r w:rsidRPr="004400AA">
        <w:rPr>
          <w:rFonts w:ascii="Calibri" w:hAnsi="Calibri"/>
          <w:lang w:val="hr-HR"/>
        </w:rPr>
        <w:t xml:space="preserve">. planiran na razini od </w:t>
      </w:r>
      <w:r w:rsidR="002D1398" w:rsidRPr="004400AA">
        <w:rPr>
          <w:rFonts w:ascii="Calibri" w:hAnsi="Calibri"/>
          <w:lang w:val="hr-HR"/>
        </w:rPr>
        <w:t>5</w:t>
      </w:r>
      <w:r w:rsidRPr="004400AA">
        <w:rPr>
          <w:rFonts w:ascii="Calibri" w:hAnsi="Calibri"/>
          <w:lang w:val="hr-HR"/>
        </w:rPr>
        <w:t>% BDP-a, u 202</w:t>
      </w:r>
      <w:r w:rsidR="002D1398" w:rsidRPr="004400AA">
        <w:rPr>
          <w:rFonts w:ascii="Calibri" w:hAnsi="Calibri"/>
          <w:lang w:val="hr-HR"/>
        </w:rPr>
        <w:t>5</w:t>
      </w:r>
      <w:r w:rsidRPr="004400AA">
        <w:rPr>
          <w:rFonts w:ascii="Calibri" w:hAnsi="Calibri"/>
          <w:lang w:val="hr-HR"/>
        </w:rPr>
        <w:t>. i 202</w:t>
      </w:r>
      <w:r w:rsidR="002D1398" w:rsidRPr="004400AA">
        <w:rPr>
          <w:rFonts w:ascii="Calibri" w:hAnsi="Calibri"/>
          <w:lang w:val="hr-HR"/>
        </w:rPr>
        <w:t>6</w:t>
      </w:r>
      <w:r w:rsidRPr="004400AA">
        <w:rPr>
          <w:rFonts w:ascii="Calibri" w:hAnsi="Calibri"/>
          <w:lang w:val="hr-HR"/>
        </w:rPr>
        <w:t xml:space="preserve">. na razini od </w:t>
      </w:r>
      <w:r w:rsidR="002D1398" w:rsidRPr="004400AA">
        <w:rPr>
          <w:rFonts w:ascii="Calibri" w:hAnsi="Calibri"/>
          <w:lang w:val="hr-HR"/>
        </w:rPr>
        <w:t>3,7</w:t>
      </w:r>
      <w:r w:rsidRPr="004400AA">
        <w:rPr>
          <w:rFonts w:ascii="Calibri" w:hAnsi="Calibri"/>
          <w:lang w:val="hr-HR"/>
        </w:rPr>
        <w:t xml:space="preserve">% BDP-a odnosno </w:t>
      </w:r>
      <w:r w:rsidR="002D1398" w:rsidRPr="004400AA">
        <w:rPr>
          <w:rFonts w:ascii="Calibri" w:hAnsi="Calibri"/>
          <w:lang w:val="hr-HR"/>
        </w:rPr>
        <w:t>2,5</w:t>
      </w:r>
      <w:r w:rsidRPr="004400AA">
        <w:rPr>
          <w:rFonts w:ascii="Calibri" w:hAnsi="Calibri"/>
          <w:lang w:val="hr-HR"/>
        </w:rPr>
        <w:t>% BDP-a. Izvanproračunski korisnici će u promatranom razdoblju bilježiti višak i to od 0,</w:t>
      </w:r>
      <w:r w:rsidR="000273FD" w:rsidRPr="004400AA">
        <w:rPr>
          <w:rFonts w:ascii="Calibri" w:hAnsi="Calibri"/>
          <w:lang w:val="hr-HR"/>
        </w:rPr>
        <w:t>1</w:t>
      </w:r>
      <w:r w:rsidRPr="004400AA">
        <w:rPr>
          <w:rFonts w:ascii="Calibri" w:hAnsi="Calibri"/>
          <w:lang w:val="hr-HR"/>
        </w:rPr>
        <w:t>% BDP-a u 202</w:t>
      </w:r>
      <w:r w:rsidR="000273FD" w:rsidRPr="004400AA">
        <w:rPr>
          <w:rFonts w:ascii="Calibri" w:hAnsi="Calibri"/>
          <w:lang w:val="hr-HR"/>
        </w:rPr>
        <w:t>4</w:t>
      </w:r>
      <w:r w:rsidR="00834752">
        <w:rPr>
          <w:rFonts w:ascii="Calibri" w:hAnsi="Calibri"/>
          <w:lang w:val="hr-HR"/>
        </w:rPr>
        <w:t>.i</w:t>
      </w:r>
      <w:r w:rsidR="00723278" w:rsidRPr="004400AA">
        <w:rPr>
          <w:rFonts w:ascii="Calibri" w:hAnsi="Calibri"/>
          <w:lang w:val="hr-HR"/>
        </w:rPr>
        <w:t xml:space="preserve"> 202</w:t>
      </w:r>
      <w:r w:rsidR="000273FD" w:rsidRPr="004400AA">
        <w:rPr>
          <w:rFonts w:ascii="Calibri" w:hAnsi="Calibri"/>
          <w:lang w:val="hr-HR"/>
        </w:rPr>
        <w:t>5</w:t>
      </w:r>
      <w:r w:rsidR="00723278" w:rsidRPr="004400AA">
        <w:rPr>
          <w:rFonts w:ascii="Calibri" w:hAnsi="Calibri"/>
          <w:lang w:val="hr-HR"/>
        </w:rPr>
        <w:t xml:space="preserve">. </w:t>
      </w:r>
      <w:r w:rsidR="00834752">
        <w:rPr>
          <w:rFonts w:ascii="Calibri" w:hAnsi="Calibri"/>
          <w:lang w:val="hr-HR"/>
        </w:rPr>
        <w:t>te od</w:t>
      </w:r>
      <w:r w:rsidRPr="004400AA">
        <w:rPr>
          <w:rFonts w:ascii="Calibri" w:hAnsi="Calibri"/>
          <w:lang w:val="hr-HR"/>
        </w:rPr>
        <w:t xml:space="preserve"> 0,</w:t>
      </w:r>
      <w:r w:rsidR="000273FD" w:rsidRPr="004400AA">
        <w:rPr>
          <w:rFonts w:ascii="Calibri" w:hAnsi="Calibri"/>
          <w:lang w:val="hr-HR"/>
        </w:rPr>
        <w:t>0</w:t>
      </w:r>
      <w:r w:rsidR="00B72BBD">
        <w:rPr>
          <w:rFonts w:ascii="Calibri" w:hAnsi="Calibri"/>
          <w:lang w:val="hr-HR"/>
        </w:rPr>
        <w:t>4</w:t>
      </w:r>
      <w:r w:rsidRPr="004400AA">
        <w:rPr>
          <w:rFonts w:ascii="Calibri" w:hAnsi="Calibri"/>
          <w:lang w:val="hr-HR"/>
        </w:rPr>
        <w:t>% BDP-a u 202</w:t>
      </w:r>
      <w:r w:rsidR="000273FD" w:rsidRPr="004400AA">
        <w:rPr>
          <w:rFonts w:ascii="Calibri" w:hAnsi="Calibri"/>
          <w:lang w:val="hr-HR"/>
        </w:rPr>
        <w:t>6</w:t>
      </w:r>
      <w:r w:rsidRPr="004400AA">
        <w:rPr>
          <w:rFonts w:ascii="Calibri" w:hAnsi="Calibri"/>
          <w:lang w:val="hr-HR"/>
        </w:rPr>
        <w:t xml:space="preserve">. godini. </w:t>
      </w:r>
      <w:r w:rsidR="000273FD" w:rsidRPr="004400AA">
        <w:rPr>
          <w:rFonts w:ascii="Calibri" w:hAnsi="Calibri"/>
          <w:lang w:val="hr-HR"/>
        </w:rPr>
        <w:t>Višak</w:t>
      </w:r>
      <w:r w:rsidRPr="004400AA">
        <w:rPr>
          <w:rFonts w:ascii="Calibri" w:hAnsi="Calibri"/>
          <w:lang w:val="hr-HR"/>
        </w:rPr>
        <w:t xml:space="preserve"> jedinica lokalne i područne (regionalne) samouprave u 202</w:t>
      </w:r>
      <w:r w:rsidR="000273FD" w:rsidRPr="004400AA">
        <w:rPr>
          <w:rFonts w:ascii="Calibri" w:hAnsi="Calibri"/>
          <w:lang w:val="hr-HR"/>
        </w:rPr>
        <w:t>4</w:t>
      </w:r>
      <w:r w:rsidRPr="004400AA">
        <w:rPr>
          <w:rFonts w:ascii="Calibri" w:hAnsi="Calibri"/>
          <w:lang w:val="hr-HR"/>
        </w:rPr>
        <w:t>. projiciran je u iznosu od 0,</w:t>
      </w:r>
      <w:r w:rsidR="000273FD" w:rsidRPr="004400AA">
        <w:rPr>
          <w:rFonts w:ascii="Calibri" w:hAnsi="Calibri"/>
          <w:lang w:val="hr-HR"/>
        </w:rPr>
        <w:t>3</w:t>
      </w:r>
      <w:r w:rsidRPr="004400AA">
        <w:rPr>
          <w:rFonts w:ascii="Calibri" w:hAnsi="Calibri"/>
          <w:lang w:val="hr-HR"/>
        </w:rPr>
        <w:t>% BDP-a, a u 202</w:t>
      </w:r>
      <w:r w:rsidR="000273FD" w:rsidRPr="004400AA">
        <w:rPr>
          <w:rFonts w:ascii="Calibri" w:hAnsi="Calibri"/>
          <w:lang w:val="hr-HR"/>
        </w:rPr>
        <w:t>5</w:t>
      </w:r>
      <w:r w:rsidRPr="004400AA">
        <w:rPr>
          <w:rFonts w:ascii="Calibri" w:hAnsi="Calibri"/>
          <w:lang w:val="hr-HR"/>
        </w:rPr>
        <w:t>. i 202</w:t>
      </w:r>
      <w:r w:rsidR="000273FD" w:rsidRPr="004400AA">
        <w:rPr>
          <w:rFonts w:ascii="Calibri" w:hAnsi="Calibri"/>
          <w:lang w:val="hr-HR"/>
        </w:rPr>
        <w:t>6</w:t>
      </w:r>
      <w:r w:rsidRPr="004400AA">
        <w:rPr>
          <w:rFonts w:ascii="Calibri" w:hAnsi="Calibri"/>
          <w:lang w:val="hr-HR"/>
        </w:rPr>
        <w:t>. u iznosu od 0,2%</w:t>
      </w:r>
      <w:r w:rsidR="000273FD" w:rsidRPr="004400AA">
        <w:rPr>
          <w:rFonts w:ascii="Calibri" w:hAnsi="Calibri"/>
          <w:lang w:val="hr-HR"/>
        </w:rPr>
        <w:t xml:space="preserve"> odnosno 0,1%</w:t>
      </w:r>
      <w:r w:rsidRPr="004400AA">
        <w:rPr>
          <w:rFonts w:ascii="Calibri" w:hAnsi="Calibri"/>
          <w:lang w:val="hr-HR"/>
        </w:rPr>
        <w:t xml:space="preserve"> BDP-a.</w:t>
      </w:r>
    </w:p>
    <w:p w:rsidR="00695821" w:rsidRPr="00066FAC" w:rsidRDefault="00DB0827" w:rsidP="00533F79">
      <w:pPr>
        <w:spacing w:before="240" w:after="0" w:line="240" w:lineRule="auto"/>
        <w:contextualSpacing/>
        <w:rPr>
          <w:i/>
          <w:lang w:val="hr-HR"/>
        </w:rPr>
      </w:pPr>
      <w:r w:rsidRPr="00066FAC">
        <w:rPr>
          <w:i/>
          <w:lang w:val="hr-HR"/>
        </w:rPr>
        <w:t xml:space="preserve">Tablica </w:t>
      </w:r>
      <w:r w:rsidR="00533F79" w:rsidRPr="00066FAC">
        <w:rPr>
          <w:i/>
          <w:lang w:val="hr-HR"/>
        </w:rPr>
        <w:fldChar w:fldCharType="begin"/>
      </w:r>
      <w:r w:rsidR="00533F79" w:rsidRPr="00066FAC">
        <w:rPr>
          <w:i/>
          <w:lang w:val="hr-HR"/>
        </w:rPr>
        <w:instrText xml:space="preserve"> SEQ Tablica \* ARABIC </w:instrText>
      </w:r>
      <w:r w:rsidR="00533F79" w:rsidRPr="00066FAC">
        <w:rPr>
          <w:i/>
          <w:lang w:val="hr-HR"/>
        </w:rPr>
        <w:fldChar w:fldCharType="separate"/>
      </w:r>
      <w:r w:rsidR="006A0A56">
        <w:rPr>
          <w:i/>
          <w:noProof/>
          <w:lang w:val="hr-HR"/>
        </w:rPr>
        <w:t>10</w:t>
      </w:r>
      <w:r w:rsidR="00533F79" w:rsidRPr="00066FAC">
        <w:rPr>
          <w:i/>
          <w:lang w:val="hr-HR"/>
        </w:rPr>
        <w:fldChar w:fldCharType="end"/>
      </w:r>
      <w:r w:rsidR="00695821" w:rsidRPr="00066FAC">
        <w:rPr>
          <w:i/>
          <w:lang w:val="hr-HR"/>
        </w:rPr>
        <w:t xml:space="preserve">: </w:t>
      </w:r>
      <w:bookmarkEnd w:id="38"/>
      <w:r w:rsidR="000D0C63" w:rsidRPr="00066FAC">
        <w:rPr>
          <w:i/>
          <w:lang w:val="hr-HR"/>
        </w:rPr>
        <w:t>Opći proračun prema nacionalnoj metodologiji za razdoblje 202</w:t>
      </w:r>
      <w:r w:rsidR="00066FAC" w:rsidRPr="00066FAC">
        <w:rPr>
          <w:i/>
          <w:lang w:val="hr-HR"/>
        </w:rPr>
        <w:t>2</w:t>
      </w:r>
      <w:r w:rsidR="000D0C63" w:rsidRPr="00066FAC">
        <w:rPr>
          <w:i/>
          <w:lang w:val="hr-HR"/>
        </w:rPr>
        <w:t>.-202</w:t>
      </w:r>
      <w:r w:rsidR="00066FAC" w:rsidRPr="00066FAC">
        <w:rPr>
          <w:i/>
          <w:lang w:val="hr-HR"/>
        </w:rPr>
        <w:t>6</w:t>
      </w:r>
      <w:r w:rsidR="000D0C63" w:rsidRPr="00066FAC">
        <w:rPr>
          <w:i/>
          <w:lang w:val="hr-HR"/>
        </w:rPr>
        <w:t xml:space="preserve">. </w:t>
      </w:r>
    </w:p>
    <w:p w:rsidR="00E65518" w:rsidRPr="00066FAC" w:rsidRDefault="00B72BBD" w:rsidP="00E65518">
      <w:pPr>
        <w:spacing w:before="240" w:after="0"/>
        <w:jc w:val="both"/>
        <w:rPr>
          <w:i/>
          <w:sz w:val="20"/>
          <w:lang w:val="hr-HR"/>
        </w:rPr>
      </w:pPr>
      <w:r w:rsidRPr="00B72BBD">
        <w:rPr>
          <w:noProof/>
          <w:lang w:val="hr-HR" w:eastAsia="hr-HR"/>
        </w:rPr>
        <w:drawing>
          <wp:inline distT="0" distB="0" distL="0" distR="0">
            <wp:extent cx="5363924" cy="2800350"/>
            <wp:effectExtent l="0" t="0" r="8255" b="0"/>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1799" cy="2820123"/>
                    </a:xfrm>
                    <a:prstGeom prst="rect">
                      <a:avLst/>
                    </a:prstGeom>
                    <a:noFill/>
                    <a:ln>
                      <a:noFill/>
                    </a:ln>
                  </pic:spPr>
                </pic:pic>
              </a:graphicData>
            </a:graphic>
          </wp:inline>
        </w:drawing>
      </w:r>
    </w:p>
    <w:p w:rsidR="000D0C63" w:rsidRPr="00066FAC" w:rsidRDefault="00695821" w:rsidP="002A12E4">
      <w:pPr>
        <w:jc w:val="both"/>
        <w:rPr>
          <w:i/>
          <w:sz w:val="20"/>
          <w:lang w:val="hr-HR"/>
        </w:rPr>
      </w:pPr>
      <w:r w:rsidRPr="00066FAC">
        <w:rPr>
          <w:i/>
          <w:sz w:val="20"/>
          <w:lang w:val="hr-HR"/>
        </w:rPr>
        <w:t>Izvor: Ministarstvo financija</w:t>
      </w:r>
    </w:p>
    <w:p w:rsidR="000D0C63" w:rsidRDefault="000D0C63" w:rsidP="000D0C63">
      <w:pPr>
        <w:jc w:val="both"/>
        <w:rPr>
          <w:lang w:val="hr-HR"/>
        </w:rPr>
      </w:pPr>
      <w:r w:rsidRPr="00F10B03">
        <w:rPr>
          <w:lang w:val="hr-HR"/>
        </w:rPr>
        <w:t xml:space="preserve">Kada se ovim veličinama pridodaju prilagodbe nacionalne metodologije računskog plana metodologiji ESA 2010 te projekcije manjka/viška trgovačkih društava i ostalih pravnih osoba koje su statistički uključene u sektor opće države, očekuje se da će planirani manjak opće države iznositi </w:t>
      </w:r>
      <w:r w:rsidR="00F10B03" w:rsidRPr="00F10B03">
        <w:rPr>
          <w:lang w:val="hr-HR"/>
        </w:rPr>
        <w:t>1,9</w:t>
      </w:r>
      <w:r w:rsidRPr="00F10B03">
        <w:rPr>
          <w:lang w:val="hr-HR"/>
        </w:rPr>
        <w:t>% BDP-a u 202</w:t>
      </w:r>
      <w:r w:rsidR="00F10B03" w:rsidRPr="00F10B03">
        <w:rPr>
          <w:lang w:val="hr-HR"/>
        </w:rPr>
        <w:t>4</w:t>
      </w:r>
      <w:r w:rsidRPr="00F10B03">
        <w:rPr>
          <w:lang w:val="hr-HR"/>
        </w:rPr>
        <w:t>. godini. U 202</w:t>
      </w:r>
      <w:r w:rsidR="00F10B03" w:rsidRPr="00F10B03">
        <w:rPr>
          <w:lang w:val="hr-HR"/>
        </w:rPr>
        <w:t>5</w:t>
      </w:r>
      <w:r w:rsidRPr="00F10B03">
        <w:rPr>
          <w:lang w:val="hr-HR"/>
        </w:rPr>
        <w:t>. isti je projiciran na razini od 1,</w:t>
      </w:r>
      <w:r w:rsidR="00F10B03" w:rsidRPr="00F10B03">
        <w:rPr>
          <w:lang w:val="hr-HR"/>
        </w:rPr>
        <w:t>6</w:t>
      </w:r>
      <w:r w:rsidRPr="00F10B03">
        <w:rPr>
          <w:lang w:val="hr-HR"/>
        </w:rPr>
        <w:t>% BDP-a, a u 202</w:t>
      </w:r>
      <w:r w:rsidR="00F10B03" w:rsidRPr="00F10B03">
        <w:rPr>
          <w:lang w:val="hr-HR"/>
        </w:rPr>
        <w:t>6</w:t>
      </w:r>
      <w:r w:rsidRPr="00F10B03">
        <w:rPr>
          <w:lang w:val="hr-HR"/>
        </w:rPr>
        <w:t>. godini očekuje se manjak proračuna opće države od 1,</w:t>
      </w:r>
      <w:r w:rsidR="00F10B03" w:rsidRPr="00F10B03">
        <w:rPr>
          <w:lang w:val="hr-HR"/>
        </w:rPr>
        <w:t>5</w:t>
      </w:r>
      <w:r w:rsidRPr="00F10B03">
        <w:rPr>
          <w:lang w:val="hr-HR"/>
        </w:rPr>
        <w:t>% BDP-a.</w:t>
      </w:r>
    </w:p>
    <w:p w:rsidR="00757674" w:rsidRPr="002E0629" w:rsidRDefault="00757674" w:rsidP="00081BED">
      <w:pPr>
        <w:spacing w:before="240" w:after="0" w:line="240" w:lineRule="auto"/>
        <w:contextualSpacing/>
        <w:rPr>
          <w:i/>
          <w:lang w:val="hr-HR"/>
        </w:rPr>
      </w:pPr>
      <w:r w:rsidRPr="002E0629">
        <w:rPr>
          <w:i/>
          <w:lang w:val="hr-HR"/>
        </w:rPr>
        <w:t xml:space="preserve">Tablica </w:t>
      </w:r>
      <w:r w:rsidRPr="002E0629">
        <w:rPr>
          <w:i/>
          <w:lang w:val="hr-HR"/>
        </w:rPr>
        <w:fldChar w:fldCharType="begin"/>
      </w:r>
      <w:r w:rsidRPr="002E0629">
        <w:rPr>
          <w:i/>
          <w:lang w:val="hr-HR"/>
        </w:rPr>
        <w:instrText xml:space="preserve"> SEQ Tablica \* ARABIC </w:instrText>
      </w:r>
      <w:r w:rsidRPr="002E0629">
        <w:rPr>
          <w:i/>
          <w:lang w:val="hr-HR"/>
        </w:rPr>
        <w:fldChar w:fldCharType="separate"/>
      </w:r>
      <w:r w:rsidR="006A0A56">
        <w:rPr>
          <w:i/>
          <w:noProof/>
          <w:lang w:val="hr-HR"/>
        </w:rPr>
        <w:t>11</w:t>
      </w:r>
      <w:r w:rsidRPr="002E0629">
        <w:rPr>
          <w:i/>
          <w:lang w:val="hr-HR"/>
        </w:rPr>
        <w:fldChar w:fldCharType="end"/>
      </w:r>
      <w:r w:rsidRPr="002E0629">
        <w:rPr>
          <w:i/>
          <w:lang w:val="hr-HR"/>
        </w:rPr>
        <w:t>: Proračun opće države prema podsektorima 202</w:t>
      </w:r>
      <w:r w:rsidR="002E0629" w:rsidRPr="002E0629">
        <w:rPr>
          <w:i/>
          <w:lang w:val="hr-HR"/>
        </w:rPr>
        <w:t>3</w:t>
      </w:r>
      <w:r w:rsidRPr="002E0629">
        <w:rPr>
          <w:i/>
          <w:lang w:val="hr-HR"/>
        </w:rPr>
        <w:t>. – 202</w:t>
      </w:r>
      <w:r w:rsidR="002E0629" w:rsidRPr="002E0629">
        <w:rPr>
          <w:i/>
          <w:lang w:val="hr-HR"/>
        </w:rPr>
        <w:t>6</w:t>
      </w:r>
      <w:r w:rsidRPr="002E0629">
        <w:rPr>
          <w:i/>
          <w:lang w:val="hr-HR"/>
        </w:rPr>
        <w:t xml:space="preserve">. </w:t>
      </w:r>
    </w:p>
    <w:p w:rsidR="00E5381F" w:rsidRPr="002E0629" w:rsidRDefault="00773D73" w:rsidP="00081BED">
      <w:pPr>
        <w:spacing w:before="240" w:after="0" w:line="240" w:lineRule="auto"/>
        <w:rPr>
          <w:i/>
          <w:lang w:val="hr-HR"/>
        </w:rPr>
      </w:pPr>
      <w:r w:rsidRPr="00773D73">
        <w:rPr>
          <w:noProof/>
          <w:lang w:val="hr-HR" w:eastAsia="hr-HR"/>
        </w:rPr>
        <w:drawing>
          <wp:inline distT="0" distB="0" distL="0" distR="0">
            <wp:extent cx="5649439" cy="1752600"/>
            <wp:effectExtent l="0" t="0" r="889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98959" cy="1767962"/>
                    </a:xfrm>
                    <a:prstGeom prst="rect">
                      <a:avLst/>
                    </a:prstGeom>
                    <a:noFill/>
                    <a:ln>
                      <a:noFill/>
                    </a:ln>
                  </pic:spPr>
                </pic:pic>
              </a:graphicData>
            </a:graphic>
          </wp:inline>
        </w:drawing>
      </w:r>
    </w:p>
    <w:p w:rsidR="00E5381F" w:rsidRPr="00EE3826" w:rsidRDefault="00E5381F" w:rsidP="00081BED">
      <w:pPr>
        <w:spacing w:line="240" w:lineRule="auto"/>
        <w:jc w:val="both"/>
        <w:rPr>
          <w:i/>
          <w:sz w:val="20"/>
          <w:lang w:val="hr-HR"/>
        </w:rPr>
      </w:pPr>
      <w:r w:rsidRPr="002E0629">
        <w:rPr>
          <w:i/>
          <w:sz w:val="20"/>
          <w:lang w:val="hr-HR"/>
        </w:rPr>
        <w:t>Izvor: Ministarstvo financija</w:t>
      </w:r>
    </w:p>
    <w:p w:rsidR="004A1742" w:rsidRPr="006B0F2A" w:rsidRDefault="005569FD" w:rsidP="002A12E4">
      <w:pPr>
        <w:jc w:val="both"/>
        <w:rPr>
          <w:i/>
          <w:sz w:val="20"/>
          <w:lang w:val="hr-HR"/>
        </w:rPr>
      </w:pPr>
      <w:r w:rsidRPr="006B0F2A">
        <w:rPr>
          <w:lang w:val="hr-HR"/>
        </w:rPr>
        <w:lastRenderedPageBreak/>
        <w:t>U</w:t>
      </w:r>
      <w:r w:rsidR="0034496D" w:rsidRPr="006B0F2A">
        <w:rPr>
          <w:lang w:val="hr-HR"/>
        </w:rPr>
        <w:t xml:space="preserve"> skladu s kretanjem </w:t>
      </w:r>
      <w:r w:rsidR="00B35390" w:rsidRPr="006B0F2A">
        <w:rPr>
          <w:lang w:val="hr-HR"/>
        </w:rPr>
        <w:t>salda proračuna opće države</w:t>
      </w:r>
      <w:r w:rsidR="003C4490" w:rsidRPr="006B0F2A">
        <w:rPr>
          <w:lang w:val="hr-HR"/>
        </w:rPr>
        <w:t xml:space="preserve"> očekuje se </w:t>
      </w:r>
      <w:r w:rsidR="0034496D" w:rsidRPr="006B0F2A">
        <w:rPr>
          <w:lang w:val="hr-HR"/>
        </w:rPr>
        <w:t>smanjenje udjela javnog duga u BDP-u</w:t>
      </w:r>
      <w:r w:rsidR="003C4490" w:rsidRPr="006B0F2A">
        <w:rPr>
          <w:lang w:val="hr-HR"/>
        </w:rPr>
        <w:t xml:space="preserve"> po prosječnoj stopi od </w:t>
      </w:r>
      <w:r w:rsidR="00646284">
        <w:rPr>
          <w:lang w:val="hr-HR"/>
        </w:rPr>
        <w:t>1,7</w:t>
      </w:r>
      <w:r w:rsidR="003C4490" w:rsidRPr="006B0F2A">
        <w:rPr>
          <w:lang w:val="hr-HR"/>
        </w:rPr>
        <w:t xml:space="preserve"> postotn</w:t>
      </w:r>
      <w:r w:rsidR="00646284">
        <w:rPr>
          <w:lang w:val="hr-HR"/>
        </w:rPr>
        <w:t>ih</w:t>
      </w:r>
      <w:r w:rsidR="003C4490" w:rsidRPr="006B0F2A">
        <w:rPr>
          <w:lang w:val="hr-HR"/>
        </w:rPr>
        <w:t xml:space="preserve"> bod</w:t>
      </w:r>
      <w:r w:rsidR="00646284">
        <w:rPr>
          <w:lang w:val="hr-HR"/>
        </w:rPr>
        <w:t>ova</w:t>
      </w:r>
      <w:r w:rsidR="003C4490" w:rsidRPr="006B0F2A">
        <w:rPr>
          <w:lang w:val="hr-HR"/>
        </w:rPr>
        <w:t xml:space="preserve"> u nadolazećem trogodišnjem razdoblju, odnosno </w:t>
      </w:r>
      <w:r w:rsidR="00F77610" w:rsidRPr="00344576">
        <w:rPr>
          <w:lang w:val="hr-HR"/>
        </w:rPr>
        <w:t>s</w:t>
      </w:r>
      <w:r w:rsidR="00B9094E" w:rsidRPr="00344576">
        <w:rPr>
          <w:lang w:val="hr-HR"/>
        </w:rPr>
        <w:t xml:space="preserve"> </w:t>
      </w:r>
      <w:r w:rsidR="00646284">
        <w:rPr>
          <w:lang w:val="hr-HR"/>
        </w:rPr>
        <w:t>58</w:t>
      </w:r>
      <w:r w:rsidR="00663D69" w:rsidRPr="00344576">
        <w:rPr>
          <w:lang w:val="hr-HR"/>
        </w:rPr>
        <w:t>%</w:t>
      </w:r>
      <w:r w:rsidR="00B9094E" w:rsidRPr="006B0F2A">
        <w:rPr>
          <w:lang w:val="hr-HR"/>
        </w:rPr>
        <w:t xml:space="preserve"> BDP-a u 20</w:t>
      </w:r>
      <w:r w:rsidR="00870D4F" w:rsidRPr="006B0F2A">
        <w:rPr>
          <w:lang w:val="hr-HR"/>
        </w:rPr>
        <w:t>2</w:t>
      </w:r>
      <w:r w:rsidR="00646284">
        <w:rPr>
          <w:lang w:val="hr-HR"/>
        </w:rPr>
        <w:t>4</w:t>
      </w:r>
      <w:r w:rsidR="00F77610" w:rsidRPr="006B0F2A">
        <w:rPr>
          <w:lang w:val="hr-HR"/>
        </w:rPr>
        <w:t xml:space="preserve">. na </w:t>
      </w:r>
      <w:r w:rsidR="00646284">
        <w:rPr>
          <w:lang w:val="hr-HR"/>
        </w:rPr>
        <w:t>56,6</w:t>
      </w:r>
      <w:r w:rsidR="00663D69" w:rsidRPr="006B0F2A">
        <w:rPr>
          <w:lang w:val="hr-HR"/>
        </w:rPr>
        <w:t>%</w:t>
      </w:r>
      <w:r w:rsidR="00A618FA" w:rsidRPr="006B0F2A">
        <w:rPr>
          <w:lang w:val="hr-HR"/>
        </w:rPr>
        <w:t xml:space="preserve"> </w:t>
      </w:r>
      <w:r w:rsidR="0034496D" w:rsidRPr="006B0F2A">
        <w:rPr>
          <w:lang w:val="hr-HR"/>
        </w:rPr>
        <w:t>BDP-a u 20</w:t>
      </w:r>
      <w:r w:rsidR="00B9094E" w:rsidRPr="006B0F2A">
        <w:rPr>
          <w:lang w:val="hr-HR"/>
        </w:rPr>
        <w:t>2</w:t>
      </w:r>
      <w:r w:rsidR="00646284">
        <w:rPr>
          <w:lang w:val="hr-HR"/>
        </w:rPr>
        <w:t>5</w:t>
      </w:r>
      <w:r w:rsidR="0034496D" w:rsidRPr="006B0F2A">
        <w:rPr>
          <w:lang w:val="hr-HR"/>
        </w:rPr>
        <w:t xml:space="preserve">. te </w:t>
      </w:r>
      <w:r w:rsidR="00646284">
        <w:rPr>
          <w:lang w:val="hr-HR"/>
        </w:rPr>
        <w:t>55,5</w:t>
      </w:r>
      <w:r w:rsidR="00663D69" w:rsidRPr="006B0F2A">
        <w:rPr>
          <w:lang w:val="hr-HR"/>
        </w:rPr>
        <w:t>%</w:t>
      </w:r>
      <w:r w:rsidR="00A618FA" w:rsidRPr="006B0F2A">
        <w:rPr>
          <w:lang w:val="hr-HR"/>
        </w:rPr>
        <w:t xml:space="preserve"> </w:t>
      </w:r>
      <w:r w:rsidR="0034496D" w:rsidRPr="006B0F2A">
        <w:rPr>
          <w:lang w:val="hr-HR"/>
        </w:rPr>
        <w:t>BDP-a u 202</w:t>
      </w:r>
      <w:r w:rsidR="00646284">
        <w:rPr>
          <w:lang w:val="hr-HR"/>
        </w:rPr>
        <w:t>6</w:t>
      </w:r>
      <w:r w:rsidR="0034496D" w:rsidRPr="006B0F2A">
        <w:rPr>
          <w:lang w:val="hr-HR"/>
        </w:rPr>
        <w:t xml:space="preserve">. godini. </w:t>
      </w:r>
    </w:p>
    <w:p w:rsidR="0034496D" w:rsidRPr="006B0F2A" w:rsidRDefault="0034496D" w:rsidP="0034496D">
      <w:pPr>
        <w:spacing w:after="120"/>
        <w:jc w:val="both"/>
        <w:rPr>
          <w:i/>
          <w:lang w:val="hr-HR"/>
        </w:rPr>
      </w:pPr>
      <w:r w:rsidRPr="006B0F2A">
        <w:rPr>
          <w:i/>
          <w:lang w:val="hr-HR"/>
        </w:rPr>
        <w:t xml:space="preserve">Grafikon </w:t>
      </w:r>
      <w:r w:rsidRPr="006B0F2A">
        <w:rPr>
          <w:i/>
          <w:lang w:val="hr-HR"/>
        </w:rPr>
        <w:fldChar w:fldCharType="begin"/>
      </w:r>
      <w:r w:rsidRPr="006B0F2A">
        <w:rPr>
          <w:i/>
          <w:lang w:val="hr-HR"/>
        </w:rPr>
        <w:instrText xml:space="preserve"> SEQ Grafikon \* ARABIC </w:instrText>
      </w:r>
      <w:r w:rsidRPr="006B0F2A">
        <w:rPr>
          <w:i/>
          <w:lang w:val="hr-HR"/>
        </w:rPr>
        <w:fldChar w:fldCharType="separate"/>
      </w:r>
      <w:r w:rsidR="006A0A56">
        <w:rPr>
          <w:i/>
          <w:noProof/>
          <w:lang w:val="hr-HR"/>
        </w:rPr>
        <w:t>1</w:t>
      </w:r>
      <w:r w:rsidRPr="006B0F2A">
        <w:rPr>
          <w:i/>
          <w:lang w:val="hr-HR"/>
        </w:rPr>
        <w:fldChar w:fldCharType="end"/>
      </w:r>
      <w:r w:rsidRPr="006B0F2A">
        <w:rPr>
          <w:i/>
          <w:lang w:val="hr-HR"/>
        </w:rPr>
        <w:t>: Javni dug u razdoblju 201</w:t>
      </w:r>
      <w:r w:rsidR="00244782" w:rsidRPr="006B0F2A">
        <w:rPr>
          <w:i/>
          <w:lang w:val="hr-HR"/>
        </w:rPr>
        <w:t>6</w:t>
      </w:r>
      <w:r w:rsidRPr="006B0F2A">
        <w:rPr>
          <w:i/>
          <w:lang w:val="hr-HR"/>
        </w:rPr>
        <w:t>. – 202</w:t>
      </w:r>
      <w:r w:rsidR="00244782" w:rsidRPr="006B0F2A">
        <w:rPr>
          <w:i/>
          <w:lang w:val="hr-HR"/>
        </w:rPr>
        <w:t>5</w:t>
      </w:r>
      <w:r w:rsidRPr="006B0F2A">
        <w:rPr>
          <w:i/>
          <w:lang w:val="hr-HR"/>
        </w:rPr>
        <w:t>.</w:t>
      </w:r>
    </w:p>
    <w:p w:rsidR="0034496D" w:rsidRPr="006B0F2A" w:rsidRDefault="007A235C" w:rsidP="004A1742">
      <w:pPr>
        <w:spacing w:after="0"/>
        <w:jc w:val="both"/>
        <w:rPr>
          <w:lang w:val="hr-HR"/>
        </w:rPr>
      </w:pPr>
      <w:r>
        <w:rPr>
          <w:noProof/>
          <w:lang w:val="hr-HR" w:eastAsia="hr-HR"/>
        </w:rPr>
        <w:drawing>
          <wp:inline distT="0" distB="0" distL="0" distR="0" wp14:anchorId="7074A9A2">
            <wp:extent cx="6056561" cy="2813175"/>
            <wp:effectExtent l="0" t="0" r="1905" b="6350"/>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089798" cy="2828613"/>
                    </a:xfrm>
                    <a:prstGeom prst="rect">
                      <a:avLst/>
                    </a:prstGeom>
                    <a:noFill/>
                  </pic:spPr>
                </pic:pic>
              </a:graphicData>
            </a:graphic>
          </wp:inline>
        </w:drawing>
      </w:r>
    </w:p>
    <w:p w:rsidR="0034496D" w:rsidRPr="006B0F2A" w:rsidRDefault="0034496D" w:rsidP="0034496D">
      <w:pPr>
        <w:spacing w:after="120"/>
        <w:rPr>
          <w:rFonts w:ascii="Calibri" w:hAnsi="Calibri"/>
          <w:i/>
          <w:sz w:val="20"/>
          <w:szCs w:val="20"/>
          <w:lang w:val="hr-HR"/>
        </w:rPr>
      </w:pPr>
      <w:r w:rsidRPr="006B0F2A">
        <w:rPr>
          <w:rFonts w:ascii="Calibri" w:hAnsi="Calibri"/>
          <w:i/>
          <w:sz w:val="20"/>
          <w:szCs w:val="20"/>
          <w:lang w:val="hr-HR"/>
        </w:rPr>
        <w:t>Izvor: DZS, HNB, Ministarstvo financija</w:t>
      </w:r>
    </w:p>
    <w:p w:rsidR="005E3D94" w:rsidRPr="006B0F2A" w:rsidRDefault="005E3D94" w:rsidP="00B6639E">
      <w:pPr>
        <w:spacing w:after="120"/>
        <w:jc w:val="both"/>
        <w:rPr>
          <w:i/>
          <w:lang w:val="hr-HR"/>
        </w:rPr>
      </w:pPr>
    </w:p>
    <w:p w:rsidR="00B6639E" w:rsidRPr="00A84C4B" w:rsidRDefault="003A2DF6" w:rsidP="00B6639E">
      <w:pPr>
        <w:spacing w:after="120"/>
        <w:jc w:val="both"/>
        <w:rPr>
          <w:i/>
          <w:lang w:val="hr-HR"/>
        </w:rPr>
      </w:pPr>
      <w:r w:rsidRPr="00A84C4B">
        <w:rPr>
          <w:i/>
          <w:lang w:val="hr-HR"/>
        </w:rPr>
        <w:t xml:space="preserve">Tablica </w:t>
      </w:r>
      <w:r w:rsidRPr="00A84C4B">
        <w:rPr>
          <w:i/>
          <w:lang w:val="hr-HR"/>
        </w:rPr>
        <w:fldChar w:fldCharType="begin"/>
      </w:r>
      <w:r w:rsidRPr="00A84C4B">
        <w:rPr>
          <w:i/>
          <w:lang w:val="hr-HR"/>
        </w:rPr>
        <w:instrText xml:space="preserve"> SEQ Tablica \* ARABIC </w:instrText>
      </w:r>
      <w:r w:rsidRPr="00A84C4B">
        <w:rPr>
          <w:i/>
          <w:lang w:val="hr-HR"/>
        </w:rPr>
        <w:fldChar w:fldCharType="separate"/>
      </w:r>
      <w:r w:rsidR="006A0A56">
        <w:rPr>
          <w:i/>
          <w:noProof/>
          <w:lang w:val="hr-HR"/>
        </w:rPr>
        <w:t>12</w:t>
      </w:r>
      <w:r w:rsidRPr="00A84C4B">
        <w:rPr>
          <w:i/>
          <w:lang w:val="hr-HR"/>
        </w:rPr>
        <w:fldChar w:fldCharType="end"/>
      </w:r>
      <w:r w:rsidR="00B6639E" w:rsidRPr="00A84C4B">
        <w:rPr>
          <w:i/>
          <w:lang w:val="hr-HR"/>
        </w:rPr>
        <w:t>: Javni dug po podsektorima opće države u razdoblju 20</w:t>
      </w:r>
      <w:r w:rsidR="005E3D94" w:rsidRPr="00A84C4B">
        <w:rPr>
          <w:i/>
          <w:lang w:val="hr-HR"/>
        </w:rPr>
        <w:t>2</w:t>
      </w:r>
      <w:r w:rsidR="00A84C4B" w:rsidRPr="00A84C4B">
        <w:rPr>
          <w:i/>
          <w:lang w:val="hr-HR"/>
        </w:rPr>
        <w:t>2</w:t>
      </w:r>
      <w:r w:rsidR="00B6639E" w:rsidRPr="00A84C4B">
        <w:rPr>
          <w:i/>
          <w:lang w:val="hr-HR"/>
        </w:rPr>
        <w:t>. – 202</w:t>
      </w:r>
      <w:r w:rsidR="00A84C4B" w:rsidRPr="00A84C4B">
        <w:rPr>
          <w:i/>
          <w:lang w:val="hr-HR"/>
        </w:rPr>
        <w:t>6</w:t>
      </w:r>
      <w:r w:rsidR="00B6639E" w:rsidRPr="00A84C4B">
        <w:rPr>
          <w:i/>
          <w:lang w:val="hr-HR"/>
        </w:rPr>
        <w:t>.</w:t>
      </w:r>
    </w:p>
    <w:p w:rsidR="00B6639E" w:rsidRPr="00A84C4B" w:rsidRDefault="00EE3826" w:rsidP="00834752">
      <w:pPr>
        <w:spacing w:after="120"/>
        <w:jc w:val="both"/>
        <w:rPr>
          <w:i/>
          <w:lang w:val="hr-HR"/>
        </w:rPr>
      </w:pPr>
      <w:r w:rsidRPr="00EE3826">
        <w:rPr>
          <w:noProof/>
          <w:lang w:val="hr-HR" w:eastAsia="hr-HR"/>
        </w:rPr>
        <w:drawing>
          <wp:inline distT="0" distB="0" distL="0" distR="0">
            <wp:extent cx="5760720" cy="2493085"/>
            <wp:effectExtent l="0" t="0" r="0" b="2540"/>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760720" cy="2493085"/>
                    </a:xfrm>
                    <a:prstGeom prst="rect">
                      <a:avLst/>
                    </a:prstGeom>
                    <a:noFill/>
                    <a:ln>
                      <a:noFill/>
                    </a:ln>
                  </pic:spPr>
                </pic:pic>
              </a:graphicData>
            </a:graphic>
          </wp:inline>
        </w:drawing>
      </w:r>
    </w:p>
    <w:p w:rsidR="005E3D94" w:rsidRPr="00A84C4B" w:rsidRDefault="005E3D94" w:rsidP="005E3D94">
      <w:pPr>
        <w:spacing w:after="120"/>
        <w:rPr>
          <w:rFonts w:ascii="Calibri" w:hAnsi="Calibri"/>
          <w:i/>
          <w:sz w:val="20"/>
          <w:szCs w:val="20"/>
          <w:lang w:val="hr-HR"/>
        </w:rPr>
      </w:pPr>
      <w:r w:rsidRPr="00A84C4B">
        <w:rPr>
          <w:rFonts w:ascii="Calibri" w:hAnsi="Calibri"/>
          <w:i/>
          <w:sz w:val="20"/>
          <w:szCs w:val="20"/>
          <w:lang w:val="hr-HR"/>
        </w:rPr>
        <w:t>Izvor: Ministarstvo financija</w:t>
      </w:r>
    </w:p>
    <w:p w:rsidR="00FB09C3" w:rsidRDefault="00FB09C3" w:rsidP="0041034D">
      <w:pPr>
        <w:jc w:val="both"/>
        <w:rPr>
          <w:lang w:val="hr-HR"/>
        </w:rPr>
      </w:pPr>
    </w:p>
    <w:p w:rsidR="006B29CF" w:rsidRPr="006B29CF" w:rsidRDefault="006B29CF" w:rsidP="006B29CF">
      <w:pPr>
        <w:pStyle w:val="ListParagraph"/>
        <w:numPr>
          <w:ilvl w:val="1"/>
          <w:numId w:val="17"/>
        </w:numPr>
        <w:rPr>
          <w:rFonts w:asciiTheme="majorHAnsi" w:eastAsiaTheme="majorEastAsia" w:hAnsiTheme="majorHAnsi" w:cstheme="majorBidi"/>
          <w:b/>
          <w:bCs/>
          <w:color w:val="4F81BD" w:themeColor="accent1"/>
          <w:sz w:val="26"/>
          <w:szCs w:val="26"/>
          <w:lang w:val="hr-HR"/>
        </w:rPr>
      </w:pPr>
      <w:r w:rsidRPr="006B29CF">
        <w:rPr>
          <w:rFonts w:asciiTheme="majorHAnsi" w:eastAsiaTheme="majorEastAsia" w:hAnsiTheme="majorHAnsi" w:cstheme="majorBidi"/>
          <w:b/>
          <w:bCs/>
          <w:color w:val="4F81BD" w:themeColor="accent1"/>
          <w:sz w:val="26"/>
          <w:szCs w:val="26"/>
          <w:lang w:val="hr-HR"/>
        </w:rPr>
        <w:t>Fiskalni rizici i analiza osjetljivosti kretanja javnog duga</w:t>
      </w:r>
    </w:p>
    <w:p w:rsidR="006B29CF" w:rsidRPr="00A673A8" w:rsidRDefault="006B29CF" w:rsidP="006B29CF">
      <w:pPr>
        <w:jc w:val="both"/>
        <w:rPr>
          <w:highlight w:val="yellow"/>
          <w:lang w:val="hr-HR"/>
        </w:rPr>
      </w:pPr>
      <w:r w:rsidRPr="00A26609">
        <w:rPr>
          <w:lang w:val="hr-HR"/>
        </w:rPr>
        <w:t xml:space="preserve">Udio javnog duga u BDP-u je u razdoblju 2014. </w:t>
      </w:r>
      <w:r w:rsidR="00647F51">
        <w:rPr>
          <w:lang w:val="hr-HR"/>
        </w:rPr>
        <w:t>-</w:t>
      </w:r>
      <w:r w:rsidRPr="00A26609">
        <w:rPr>
          <w:lang w:val="hr-HR"/>
        </w:rPr>
        <w:t xml:space="preserve"> 2019. smanjen za 12,7 postotnih bodova, no zbog krize uzrokovane pandemijom koronavirusa, koja je dovela do velikih potreba za zaduživanjem, javni dug je u 2020. narastao za visokih 15,9 postotnih bodova u odnosu na godinu ranije. Snažan oporavak </w:t>
      </w:r>
      <w:r w:rsidRPr="00A26609">
        <w:rPr>
          <w:lang w:val="hr-HR"/>
        </w:rPr>
        <w:lastRenderedPageBreak/>
        <w:t xml:space="preserve">gospodarske aktivnosti </w:t>
      </w:r>
      <w:r w:rsidR="00805828">
        <w:rPr>
          <w:lang w:val="hr-HR"/>
        </w:rPr>
        <w:t xml:space="preserve">u razdoblju </w:t>
      </w:r>
      <w:r w:rsidR="00A26609" w:rsidRPr="00A26609">
        <w:rPr>
          <w:lang w:val="hr-HR"/>
        </w:rPr>
        <w:t>2</w:t>
      </w:r>
      <w:r w:rsidR="00564795">
        <w:rPr>
          <w:lang w:val="hr-HR"/>
        </w:rPr>
        <w:t xml:space="preserve">021. </w:t>
      </w:r>
      <w:r w:rsidR="00647F51">
        <w:rPr>
          <w:lang w:val="hr-HR"/>
        </w:rPr>
        <w:t>-</w:t>
      </w:r>
      <w:r w:rsidR="00564795">
        <w:rPr>
          <w:lang w:val="hr-HR"/>
        </w:rPr>
        <w:t xml:space="preserve"> </w:t>
      </w:r>
      <w:r w:rsidR="00A26609" w:rsidRPr="00A26609">
        <w:rPr>
          <w:lang w:val="hr-HR"/>
        </w:rPr>
        <w:t>202</w:t>
      </w:r>
      <w:r w:rsidR="00805828">
        <w:rPr>
          <w:lang w:val="hr-HR"/>
        </w:rPr>
        <w:t>3</w:t>
      </w:r>
      <w:r w:rsidR="00A26609" w:rsidRPr="00A26609">
        <w:rPr>
          <w:lang w:val="hr-HR"/>
        </w:rPr>
        <w:t xml:space="preserve">. </w:t>
      </w:r>
      <w:r w:rsidRPr="00A26609">
        <w:rPr>
          <w:lang w:val="hr-HR"/>
        </w:rPr>
        <w:t>ponovno dovodi do smanjenja javnog duga i to za</w:t>
      </w:r>
      <w:r w:rsidR="009A6E84">
        <w:rPr>
          <w:lang w:val="hr-HR"/>
        </w:rPr>
        <w:t xml:space="preserve"> ukupno </w:t>
      </w:r>
      <w:r w:rsidR="00805828">
        <w:rPr>
          <w:lang w:val="hr-HR"/>
        </w:rPr>
        <w:t>26,1</w:t>
      </w:r>
      <w:r w:rsidR="00A26609" w:rsidRPr="00A26609">
        <w:rPr>
          <w:lang w:val="hr-HR"/>
        </w:rPr>
        <w:t xml:space="preserve"> </w:t>
      </w:r>
      <w:r w:rsidRPr="00A26609">
        <w:rPr>
          <w:lang w:val="hr-HR"/>
        </w:rPr>
        <w:t xml:space="preserve">postotnih bodova, čime su fiskalni rizici osjetno smanjeni. </w:t>
      </w:r>
    </w:p>
    <w:p w:rsidR="006B29CF" w:rsidRPr="007F59E7" w:rsidRDefault="006B29CF" w:rsidP="006B29CF">
      <w:pPr>
        <w:jc w:val="both"/>
        <w:rPr>
          <w:lang w:val="hr-HR"/>
        </w:rPr>
      </w:pPr>
      <w:r w:rsidRPr="00A26609">
        <w:rPr>
          <w:lang w:val="hr-HR"/>
        </w:rPr>
        <w:t xml:space="preserve">Unatoč tome, i nadalje je prisutna visoka razina javnog duga koja predstavlja izvor ranjivosti za hrvatsko gospodarstvo. Naime, s obzirom na visinu duga, povećanje referentnih tržišnih kamatnih stopa dovelo </w:t>
      </w:r>
      <w:r w:rsidRPr="00CA2A8F">
        <w:rPr>
          <w:lang w:val="hr-HR"/>
        </w:rPr>
        <w:t xml:space="preserve">bi do viših troškova </w:t>
      </w:r>
      <w:r w:rsidR="00A26609" w:rsidRPr="00CA2A8F">
        <w:rPr>
          <w:lang w:val="hr-HR"/>
        </w:rPr>
        <w:t>refinanciranja</w:t>
      </w:r>
      <w:r w:rsidRPr="00CA2A8F">
        <w:rPr>
          <w:lang w:val="hr-HR"/>
        </w:rPr>
        <w:t xml:space="preserve"> duga, što bi potencijalno moglo stvoriti pritisak na financiranje ostalih potreba države. U scenariju porasta EURIBOR-a</w:t>
      </w:r>
      <w:r w:rsidRPr="00CA2A8F">
        <w:rPr>
          <w:rStyle w:val="FootnoteReference"/>
          <w:lang w:val="hr-HR"/>
        </w:rPr>
        <w:footnoteReference w:id="5"/>
      </w:r>
      <w:r w:rsidRPr="00CA2A8F">
        <w:rPr>
          <w:lang w:val="hr-HR"/>
        </w:rPr>
        <w:t xml:space="preserve"> za 100 baznih bodova iznad osnovnog scenarija </w:t>
      </w:r>
      <w:r w:rsidRPr="007F59E7">
        <w:rPr>
          <w:lang w:val="hr-HR"/>
        </w:rPr>
        <w:t>u čitavom razdoblju 202</w:t>
      </w:r>
      <w:r w:rsidR="00A26609" w:rsidRPr="007F59E7">
        <w:rPr>
          <w:lang w:val="hr-HR"/>
        </w:rPr>
        <w:t>4</w:t>
      </w:r>
      <w:r w:rsidRPr="007F59E7">
        <w:rPr>
          <w:lang w:val="hr-HR"/>
        </w:rPr>
        <w:t>. - 202</w:t>
      </w:r>
      <w:r w:rsidR="00A26609" w:rsidRPr="007F59E7">
        <w:rPr>
          <w:lang w:val="hr-HR"/>
        </w:rPr>
        <w:t>6</w:t>
      </w:r>
      <w:r w:rsidRPr="007F59E7">
        <w:rPr>
          <w:lang w:val="hr-HR"/>
        </w:rPr>
        <w:t>., udio javnog duga u BDP-u krajem projekcijskog razdoblja bio bi za 0,2 postotn</w:t>
      </w:r>
      <w:r w:rsidR="00647F51">
        <w:rPr>
          <w:lang w:val="hr-HR"/>
        </w:rPr>
        <w:t>a</w:t>
      </w:r>
      <w:r w:rsidRPr="007F59E7">
        <w:rPr>
          <w:lang w:val="hr-HR"/>
        </w:rPr>
        <w:t xml:space="preserve"> bodova veći nego u osnovnom scenariju.</w:t>
      </w:r>
    </w:p>
    <w:p w:rsidR="006B29CF" w:rsidRPr="007F59E7" w:rsidRDefault="006B29CF" w:rsidP="006B29CF">
      <w:pPr>
        <w:jc w:val="both"/>
        <w:rPr>
          <w:lang w:val="hr-HR"/>
        </w:rPr>
      </w:pPr>
      <w:r w:rsidRPr="007F59E7">
        <w:rPr>
          <w:lang w:val="hr-HR"/>
        </w:rPr>
        <w:t>Fiskalne projekcije u srednjoročnom razdoblju temelje se na makroekonomskim pretpostavkama predstavljenim u ovom dokumentu. Rizici povezani s nižom razinom gospodarske aktivnosti u odnosu na predstavljeni makroekonomski scenarij imali bi implikacije na očekivano kretanje fiskalnih veličina, posebice prihoda od poreza i socijalnih doprinosa u nadolazećem razdoblju, što bi dovelo do izravnog utjecaja na visinu salda proračuna opće države. Jedan od trenutno najizraženijih negativnih rizika odnosi se na moguća nepovoljnija kretanja inozemne potražnje, izraženo kroz smanjenje BDP-a u EU. Uz pretpostavku da je u 202</w:t>
      </w:r>
      <w:r w:rsidR="007F59E7" w:rsidRPr="007F59E7">
        <w:rPr>
          <w:lang w:val="hr-HR"/>
        </w:rPr>
        <w:t>4</w:t>
      </w:r>
      <w:r w:rsidRPr="007F59E7">
        <w:rPr>
          <w:lang w:val="hr-HR"/>
        </w:rPr>
        <w:t xml:space="preserve">. godini realni BDP u članicama EU smanjen za 1 postotni bod (trajno) u odnosu na osnovni scenarij, udio javnog duga u BDP-u </w:t>
      </w:r>
      <w:r w:rsidR="00647F51">
        <w:rPr>
          <w:lang w:val="hr-HR"/>
        </w:rPr>
        <w:t xml:space="preserve">u </w:t>
      </w:r>
      <w:r w:rsidRPr="007F59E7">
        <w:rPr>
          <w:lang w:val="hr-HR"/>
        </w:rPr>
        <w:t>202</w:t>
      </w:r>
      <w:r w:rsidR="00F560D7">
        <w:rPr>
          <w:lang w:val="hr-HR"/>
        </w:rPr>
        <w:t>6</w:t>
      </w:r>
      <w:r w:rsidRPr="007F59E7">
        <w:rPr>
          <w:lang w:val="hr-HR"/>
        </w:rPr>
        <w:t>. godini bio bi 0,3 postotn</w:t>
      </w:r>
      <w:r w:rsidR="00647F51">
        <w:rPr>
          <w:lang w:val="hr-HR"/>
        </w:rPr>
        <w:t>a</w:t>
      </w:r>
      <w:r w:rsidRPr="007F59E7">
        <w:rPr>
          <w:lang w:val="hr-HR"/>
        </w:rPr>
        <w:t xml:space="preserve"> boda viši. </w:t>
      </w:r>
    </w:p>
    <w:p w:rsidR="00BF6A2B" w:rsidRDefault="006B29CF" w:rsidP="0041034D">
      <w:pPr>
        <w:jc w:val="both"/>
        <w:rPr>
          <w:lang w:val="hr-HR"/>
        </w:rPr>
      </w:pPr>
      <w:r w:rsidRPr="007F59E7">
        <w:rPr>
          <w:lang w:val="hr-HR"/>
        </w:rPr>
        <w:t xml:space="preserve">Hrvatsko gospodarstvo suočava se i s brojnim drugim fiskalnim rizicima. </w:t>
      </w:r>
      <w:r w:rsidR="00647F51">
        <w:rPr>
          <w:lang w:val="hr-HR"/>
        </w:rPr>
        <w:t>Primjerice, mirovinski sustav RH pod utjecajem je</w:t>
      </w:r>
      <w:r w:rsidRPr="007F59E7">
        <w:rPr>
          <w:lang w:val="hr-HR"/>
        </w:rPr>
        <w:t xml:space="preserve"> nepovoljni</w:t>
      </w:r>
      <w:r w:rsidR="00647F51">
        <w:rPr>
          <w:lang w:val="hr-HR"/>
        </w:rPr>
        <w:t>h</w:t>
      </w:r>
      <w:r w:rsidRPr="007F59E7">
        <w:rPr>
          <w:lang w:val="hr-HR"/>
        </w:rPr>
        <w:t xml:space="preserve"> demografski</w:t>
      </w:r>
      <w:r w:rsidR="00647F51">
        <w:rPr>
          <w:lang w:val="hr-HR"/>
        </w:rPr>
        <w:t>h</w:t>
      </w:r>
      <w:r w:rsidRPr="007F59E7">
        <w:rPr>
          <w:lang w:val="hr-HR"/>
        </w:rPr>
        <w:t xml:space="preserve"> trendova </w:t>
      </w:r>
      <w:r w:rsidR="00647F51">
        <w:rPr>
          <w:lang w:val="hr-HR"/>
        </w:rPr>
        <w:t xml:space="preserve">vezano uz </w:t>
      </w:r>
      <w:r w:rsidRPr="007F59E7">
        <w:rPr>
          <w:lang w:val="hr-HR"/>
        </w:rPr>
        <w:t>starenje stanovništva, odnosno smanjenje broja radno-aktivnog stanovništva, uz istodobno povećanje stanovništva starijeg od 65 godina. Jačanje takvih trendova stvori</w:t>
      </w:r>
      <w:r w:rsidR="00647F51">
        <w:rPr>
          <w:lang w:val="hr-HR"/>
        </w:rPr>
        <w:t>l</w:t>
      </w:r>
      <w:r w:rsidRPr="007F59E7">
        <w:rPr>
          <w:lang w:val="hr-HR"/>
        </w:rPr>
        <w:t>o bi dodatan pritisak na sustav generacijske solidarnosti, a što bi moglo imati negativan učinak na održivost javnih financija u dugom roku. Osim toga, stanje nepodmirenih obveza u zdravstvenom sustavu predstavlja dodatni fiskalni rizik koji je potrebno adresirati provedbom strukturnih mjera usmjerenih ka financijskoj održivosti cjelokupnog zdravstvenog sustava. Iako se RH nalazi pri dnu po visini potencijalnih obveza u usporedbi s ostalim zemljama članicama EU, pri čemu je njihov udio u BDP-u u RH krajem 202</w:t>
      </w:r>
      <w:r w:rsidR="007F59E7" w:rsidRPr="007F59E7">
        <w:rPr>
          <w:lang w:val="hr-HR"/>
        </w:rPr>
        <w:t>2</w:t>
      </w:r>
      <w:r w:rsidRPr="007F59E7">
        <w:rPr>
          <w:lang w:val="hr-HR"/>
        </w:rPr>
        <w:t xml:space="preserve">. iznosio </w:t>
      </w:r>
      <w:r w:rsidR="007F59E7" w:rsidRPr="007F59E7">
        <w:rPr>
          <w:lang w:val="hr-HR"/>
        </w:rPr>
        <w:t>2,3</w:t>
      </w:r>
      <w:r w:rsidRPr="007F59E7">
        <w:rPr>
          <w:lang w:val="hr-HR"/>
        </w:rPr>
        <w:t>% BDP-a, takve obveze i dalje predstavljaju rizik za javne financije.</w:t>
      </w:r>
    </w:p>
    <w:p w:rsidR="00BF6A2B" w:rsidRDefault="00BF6A2B">
      <w:pPr>
        <w:rPr>
          <w:lang w:val="hr-HR"/>
        </w:rPr>
      </w:pPr>
      <w:r>
        <w:rPr>
          <w:lang w:val="hr-HR"/>
        </w:rPr>
        <w:br w:type="page"/>
      </w:r>
    </w:p>
    <w:p w:rsidR="00BF6A2B" w:rsidRPr="006B0F2A" w:rsidRDefault="00BF6A2B" w:rsidP="00BF6A2B">
      <w:pPr>
        <w:pStyle w:val="Heading1"/>
        <w:numPr>
          <w:ilvl w:val="0"/>
          <w:numId w:val="17"/>
        </w:numPr>
        <w:rPr>
          <w:lang w:val="hr-HR"/>
        </w:rPr>
      </w:pPr>
      <w:bookmarkStart w:id="39" w:name="_Toc150380906"/>
      <w:r>
        <w:rPr>
          <w:lang w:val="hr-HR"/>
        </w:rPr>
        <w:lastRenderedPageBreak/>
        <w:t>OSVRT NA FISKALNA PRAVILA</w:t>
      </w:r>
      <w:r w:rsidR="00FC1B65">
        <w:rPr>
          <w:lang w:val="hr-HR"/>
        </w:rPr>
        <w:t xml:space="preserve"> 2024. - 2026.</w:t>
      </w:r>
      <w:bookmarkEnd w:id="39"/>
    </w:p>
    <w:p w:rsidR="006B29CF" w:rsidRDefault="006B29CF" w:rsidP="0041034D">
      <w:pPr>
        <w:jc w:val="both"/>
        <w:rPr>
          <w:lang w:val="hr-HR"/>
        </w:rPr>
      </w:pPr>
    </w:p>
    <w:p w:rsidR="00BF6A2B" w:rsidRPr="00BF6A2B" w:rsidRDefault="00BF6A2B" w:rsidP="00BF6A2B">
      <w:pPr>
        <w:widowControl w:val="0"/>
        <w:jc w:val="both"/>
        <w:rPr>
          <w:rFonts w:ascii="Calibri" w:eastAsia="Calibri" w:hAnsi="Calibri" w:cs="Times New Roman"/>
          <w:lang w:val="hr-HR"/>
        </w:rPr>
      </w:pPr>
      <w:r w:rsidRPr="00BF6A2B">
        <w:rPr>
          <w:rFonts w:ascii="Calibri" w:eastAsia="Calibri" w:hAnsi="Calibri" w:cs="Times New Roman"/>
          <w:lang w:val="hr-HR"/>
        </w:rPr>
        <w:t>Nakon izbijanja COVID-19 pandemije, Vijeće EU je u ožujku 2020. odobrilo punu fleksibilnost Pakta o stabilnosti i rastu, odnosno primjenu opće klauzule o odstupanju (</w:t>
      </w:r>
      <w:r w:rsidRPr="00BF6A2B">
        <w:rPr>
          <w:rFonts w:ascii="Calibri" w:eastAsia="Calibri" w:hAnsi="Calibri" w:cs="Times New Roman"/>
          <w:i/>
          <w:lang w:val="hr-HR"/>
        </w:rPr>
        <w:t>general escape clause</w:t>
      </w:r>
      <w:r w:rsidRPr="00BF6A2B">
        <w:rPr>
          <w:rFonts w:ascii="Calibri" w:eastAsia="Calibri" w:hAnsi="Calibri" w:cs="Times New Roman"/>
          <w:lang w:val="hr-HR"/>
        </w:rPr>
        <w:t xml:space="preserve">) od proračunskih pravila definiranih Paktom o stabilnosti i rastu, čime je državama članicama dana mogućnost da pruže fiskalne poticaje svojim gospodarstvima kako bi se ublažili negativni utjecaji epidemije. Na nacionalnoj razini, Zakon o fiskalnoj odgovornosti također omogućuje privremeno odgađanje primjene fiskalnih pravila u slučaju izvanrednih okolnosti te je Vlada RH, u skladu s preporukom Povjerenstva za fiskalnu politiku, u travnju 2020. donijela Odluku o privremenom odgađanju primjene fiskalnih pravila iz članaka 6., 7. i 8. Zakona o fiskalnoj odgovornosti. </w:t>
      </w:r>
    </w:p>
    <w:p w:rsidR="00BF6A2B" w:rsidRPr="00BF6A2B" w:rsidRDefault="00BF6A2B" w:rsidP="00BF6A2B">
      <w:pPr>
        <w:widowControl w:val="0"/>
        <w:jc w:val="both"/>
        <w:rPr>
          <w:rFonts w:ascii="Calibri" w:eastAsia="Calibri" w:hAnsi="Calibri" w:cstheme="minorHAnsi"/>
          <w:lang w:val="hr-HR"/>
        </w:rPr>
      </w:pPr>
      <w:r w:rsidRPr="00BF6A2B">
        <w:rPr>
          <w:rFonts w:ascii="Calibri" w:eastAsia="Calibri" w:hAnsi="Calibri" w:cs="Times New Roman"/>
          <w:lang w:val="hr-HR"/>
        </w:rPr>
        <w:t xml:space="preserve">U ožujku 2023. EK je u Smjernicama fiskalne politike za 2024. u zemljama EU </w:t>
      </w:r>
      <w:r w:rsidRPr="00BF6A2B">
        <w:rPr>
          <w:rFonts w:ascii="Calibri" w:eastAsia="Calibri" w:hAnsi="Calibri" w:cstheme="minorHAnsi"/>
          <w:lang w:val="hr-HR"/>
        </w:rPr>
        <w:t xml:space="preserve">podsjetila na planirano ukidanje primjene opće klauzule o odstupanju od proračunskih pravila definiranih Paktom o stabilnosti i rastu iz 2020. godine. Tako bi se spomenuta klauzula trebala deaktivirati krajem 2023. godine jer je prema procjenama EK odnosno Vijeća EU, gospodarstvo EU izašlo iz razdoblja snažne ekonomske krize, ostvarivši razine ekonomske aktivnosti iz razdoblja prije pandemije. U RH je i dalje na snazi Odluka o privremenom odgađanju primjene nacionalnih fiskalnih pravila koju je Vlada RH donijela 2020. godine slijedom izvanrednih okolnosti, u skladu s preporukom Povjerenstva za fiskalnu politiku, a temeljem odredbi Zakona o fiskalnoj odgovornosti. </w:t>
      </w:r>
    </w:p>
    <w:p w:rsidR="00BF6A2B" w:rsidRPr="00BF6A2B" w:rsidRDefault="00BF6A2B" w:rsidP="00BF6A2B">
      <w:pPr>
        <w:widowControl w:val="0"/>
        <w:jc w:val="both"/>
        <w:rPr>
          <w:rFonts w:ascii="Calibri" w:eastAsia="Calibri" w:hAnsi="Calibri" w:cs="Times New Roman"/>
          <w:lang w:val="hr-HR"/>
        </w:rPr>
      </w:pPr>
      <w:r w:rsidRPr="00BF6A2B">
        <w:rPr>
          <w:rFonts w:ascii="Calibri" w:eastAsia="Calibri" w:hAnsi="Calibri" w:cs="Times New Roman"/>
          <w:lang w:val="hr-HR"/>
        </w:rPr>
        <w:t xml:space="preserve">U ovom kontekstu, valja naglasiti kako su na razini EU trenutno u tijeku intenzivne rasprave o reformama ekonomskog upravljanja, uključujući i fiskalna pravila. Tako je u svojim Smjernicama fiskalne politike za 2024. EK navijestila kako će ovogodišnje fiskalne preporuke za države članice biti oblikovane temeljem neto primarnih rashoda, kao što je EK prethodno i navela u svom Priopćenju o reformi ekonomskog upravljanja u EU iz studenog 2022. godine. </w:t>
      </w:r>
    </w:p>
    <w:p w:rsidR="00BF6A2B" w:rsidRPr="00BF6A2B" w:rsidRDefault="00BF6A2B" w:rsidP="00BF6A2B">
      <w:pPr>
        <w:widowControl w:val="0"/>
        <w:jc w:val="both"/>
        <w:rPr>
          <w:rFonts w:ascii="Calibri" w:eastAsia="Calibri" w:hAnsi="Calibri" w:cs="Times New Roman"/>
          <w:lang w:val="hr-HR"/>
        </w:rPr>
      </w:pPr>
      <w:r w:rsidRPr="00BF6A2B">
        <w:rPr>
          <w:rFonts w:ascii="Calibri" w:eastAsia="Calibri" w:hAnsi="Calibri" w:cs="Times New Roman"/>
          <w:lang w:val="hr-HR"/>
        </w:rPr>
        <w:t>Slijedom navedenog, krajem lipnja 2023. godine, Vijeće je usvojilo Specifične preporuke za RH sukladno kojima je RH dužna osigurati razboritu fiskalnu politiku, posebice ograničavanjem nominalnog rasta nacionalno financiranih neto primarnih rashoda u 2024. godini na najviše 5,1%. Od RH se također traži očuvanje nacionalno financiranih javnih ulaganja, učinkovita apsorpcija bespovratnih sredstava iz Mehanizma za oporavak i otpornost te ostalih EU fondova, osobito u svrhu promicanja zelene i digitalne tranzicije. U razdoblju nakon 2024. potrebno je nastaviti provoditi srednjoročnu fiskalnu strategiju postupne i održive fiskalne konsolidacije u suglasju s ulaganjima i reformama koje potiču veći održiv rast, s ciljem osiguranja razborite srednjoročne fiskalne pozicije. Također je potrebno nastaviti stabilnu provedbu Nacionalnog plana oporavka i otpornosti (NPOO) te čim prije završiti REPower EU poglavlje u svrhu njegove što skorije provedbe. Važno je nastaviti i ubrzanu provedbu programa Kohezijske politike u sinergiji s NPOO-m. Također je potrebno smanjiti ukupnu ovisnost o fosilnim gorivima, ubrzati provedbu mjera energetske učinkovitosti te promicati prometnu održivost.</w:t>
      </w:r>
    </w:p>
    <w:p w:rsidR="00BF6A2B" w:rsidRPr="00BF6A2B" w:rsidRDefault="00BF6A2B" w:rsidP="00BF6A2B">
      <w:pPr>
        <w:widowControl w:val="0"/>
        <w:jc w:val="both"/>
        <w:rPr>
          <w:rFonts w:ascii="Calibri" w:eastAsia="Calibri" w:hAnsi="Calibri" w:cs="Times New Roman"/>
          <w:lang w:val="hr-HR"/>
        </w:rPr>
      </w:pPr>
      <w:r w:rsidRPr="00BF6A2B">
        <w:rPr>
          <w:rFonts w:ascii="Calibri" w:eastAsia="Calibri" w:hAnsi="Calibri" w:cs="Times New Roman"/>
          <w:lang w:val="hr-HR"/>
        </w:rPr>
        <w:t>Planirani okvir ekonomske pa tako i fiskalne politike za nadolazeće razdoblje vidljiv je u Nacrtu proračunskog plana RH za 2024. godinu dostavljenom EK te usvojenom od strane Vlade RH u listopadu 2023. kao i ovom Prijedlogu državnog proračuna i financijskih planova izvanproračunskih korisnika za 2024. te projekcija za 2025. i 2026. godinu. U nastavku se ukratko daje osvrt na planirane makroekonomske te posebice fiskalne trendove u srednjoročnom razdoblju.</w:t>
      </w:r>
    </w:p>
    <w:p w:rsidR="00BF6A2B" w:rsidRPr="00BF6A2B" w:rsidRDefault="00BF6A2B" w:rsidP="00BF6A2B">
      <w:pPr>
        <w:widowControl w:val="0"/>
        <w:jc w:val="both"/>
        <w:rPr>
          <w:rFonts w:ascii="Calibri" w:eastAsia="Calibri" w:hAnsi="Calibri" w:cs="Times New Roman"/>
          <w:lang w:val="hr-HR"/>
        </w:rPr>
      </w:pPr>
      <w:r w:rsidRPr="00BF6A2B">
        <w:rPr>
          <w:rFonts w:ascii="Calibri" w:eastAsia="Calibri" w:hAnsi="Calibri" w:cs="Times New Roman"/>
          <w:lang w:val="hr-HR"/>
        </w:rPr>
        <w:t xml:space="preserve">Nadolazeće razdoblje karakterizira nastavak razmjerno pozitivnih gospodarskih kretanja, ali i visok </w:t>
      </w:r>
      <w:r w:rsidRPr="00BF6A2B">
        <w:rPr>
          <w:rFonts w:ascii="Calibri" w:eastAsia="Calibri" w:hAnsi="Calibri" w:cs="Times New Roman"/>
          <w:lang w:val="hr-HR"/>
        </w:rPr>
        <w:lastRenderedPageBreak/>
        <w:t>stupanj neizvjesnosti i dominantni negativni rizici, što predstavlja izazove za ekonomsku politiku u cjelini te posebice fiskalnu politiku u RH. U ovako izazovnim okolnostima, očekuje se pogoršanje fiskalne pozicije u RH (povećanje manjka opće države kao i nominalno povećanje nacionalno financiranih neto primarnih rashoda), koje je dijelom rezultat potrebe usklađivanja rasta plaća s inflatornim pritiscima, posljedičnog usklađivanja mirovina s rastom plaća i potrošačkih cijena, ali i potrebe zaštite ranjivih skupina društva. U ovakvim okolnostima izuzetno je važno očuvati odgovarajuću razinu investicija i provedbu reformi u svrhu jačanja potencijalnog rasta i otpornosti hrvatskog gospodarstva.</w:t>
      </w:r>
    </w:p>
    <w:p w:rsidR="00BF6A2B" w:rsidRPr="00BF6A2B" w:rsidRDefault="00BF6A2B" w:rsidP="00BF6A2B">
      <w:pPr>
        <w:widowControl w:val="0"/>
        <w:jc w:val="both"/>
        <w:rPr>
          <w:rFonts w:ascii="Calibri" w:eastAsia="Calibri" w:hAnsi="Calibri" w:cs="Times New Roman"/>
          <w:lang w:val="hr-HR"/>
        </w:rPr>
      </w:pPr>
      <w:r w:rsidRPr="00BF6A2B">
        <w:rPr>
          <w:rFonts w:ascii="Calibri" w:eastAsia="Calibri" w:hAnsi="Calibri" w:cs="Times New Roman"/>
          <w:lang w:val="hr-HR"/>
        </w:rPr>
        <w:t xml:space="preserve">Promotrivši dinamiku fiskalnih pokazatelja u ovom razdoblju, moguće je uočiti nekoliko ključnih, međusobno povezanih uzročnika ovakvih kretanja. </w:t>
      </w:r>
    </w:p>
    <w:p w:rsidR="00BF6A2B" w:rsidRPr="00BF6A2B" w:rsidRDefault="00BF6A2B" w:rsidP="00BF6A2B">
      <w:pPr>
        <w:widowControl w:val="0"/>
        <w:jc w:val="both"/>
        <w:rPr>
          <w:rFonts w:ascii="Calibri" w:eastAsia="Calibri" w:hAnsi="Calibri" w:cs="Times New Roman"/>
          <w:lang w:val="hr-HR"/>
        </w:rPr>
      </w:pPr>
      <w:r w:rsidRPr="00BF6A2B">
        <w:rPr>
          <w:rFonts w:ascii="Calibri" w:eastAsia="Calibri" w:hAnsi="Calibri" w:cs="Times New Roman"/>
          <w:lang w:val="hr-HR"/>
        </w:rPr>
        <w:t>Putanja socijalnih naknada i naknada za zaposlene prvenstveno je uvjetovana potrebom usklađivanja dohodaka kućanstava, posebice onih najranjivijih, s rastućim troškovima života. Prema analizama EK iz listopada 2023. godine, došlo je do rekordnog rasta cijena hrane tijekom 2022. i 2023. godine. To je od ključnog značaja za potrošače jer hrana predstavlja važnu stavku u potrošačkoj košarici kućanstava, posebice onih najsiromašnijih, koja su snažno pogođena i rastom cijena energenata. U ovom smislu, najsnažnije su pogođene baltičke države, Slovačka i RH, gdje je kumulativna stopa rasta cijena hrane dosegnula 32%-42% u posljednje dvije i pol godine. Ovakve okolnosti potaknule su Vladu RH na donošenje mjera u smislu porasta socijalnih naknada te naknada za zaposlene. Tijekom 2022. i 2023. godine Vlada je također usvojila i 4. te 5. paket mjera za zaštitu kućanstava i gospodarstva od rasta cijena.</w:t>
      </w:r>
    </w:p>
    <w:p w:rsidR="00BF6A2B" w:rsidRPr="00BF6A2B" w:rsidRDefault="00BF6A2B" w:rsidP="00BF6A2B">
      <w:pPr>
        <w:widowControl w:val="0"/>
        <w:jc w:val="both"/>
        <w:rPr>
          <w:rFonts w:ascii="Calibri" w:eastAsia="Calibri" w:hAnsi="Calibri" w:cs="Times New Roman"/>
          <w:lang w:val="hr-HR"/>
        </w:rPr>
      </w:pPr>
      <w:r w:rsidRPr="00BF6A2B">
        <w:rPr>
          <w:rFonts w:ascii="Calibri" w:eastAsia="Calibri" w:hAnsi="Calibri" w:cs="Times New Roman"/>
          <w:lang w:val="hr-HR"/>
        </w:rPr>
        <w:t>Slijedom navedenog, kretanje socijalnih naknada  u najvećoj je mjeri određeno dinamikom rashoda  za mirovine, što je rezultat usklađivanja mirovina ostvarenih prema općim i posebnim propisima, prenesenog kumuliranog učinka promjene broja i strukture korisnika mirovina te usklađivanja mirovina iz 2023. godine (prema tzv. švicarskoj formuli), kao i učinka novog modela obiteljskih mirovina. Nadalje, predviđen je i učinak Izmjena i dopuna Zakona o dodatku na mirovine, kojim se omogućuje korisnicima mirovina iz oba mirovinska stupa koji ostvaruju pravo na osnovnu mirovinu iz prvog stupa, jedinstvena stopa dodatka od 27% umjesto prethodnog od 20,25%. Ovdje valja spomenuti i planirane porodiljne naknade, izdvajanja za doplatak za djecu odnosno naknade za nezaposlene sukladno pravima definiranim važećim zakonodavstvom. U obzir je uzet i fiskalni učinak Zakona o socijalnoj skrbi iz 2022. godine vezano uz planiranje naknada za socijalnu skrb, kao i novi Zakon o osobnoj asistenciji koji je na snazi od 1. srpnja 2023. godine, ali i Zakon o inkluzivnom dodatku koji će stupiti na snagu od početka 2024. godine. Ovakvi napori sastavni su dio planiranih mjera NPOO-a u svrhu jačanja adekvatnosti mirovina i socijalnih naknada.</w:t>
      </w:r>
    </w:p>
    <w:p w:rsidR="00BF6A2B" w:rsidRPr="00BF6A2B" w:rsidRDefault="00BF6A2B" w:rsidP="00BF6A2B">
      <w:pPr>
        <w:widowControl w:val="0"/>
        <w:jc w:val="both"/>
        <w:rPr>
          <w:rFonts w:ascii="Calibri" w:eastAsia="Calibri" w:hAnsi="Calibri" w:cs="Times New Roman"/>
          <w:lang w:val="hr-HR"/>
        </w:rPr>
      </w:pPr>
      <w:r w:rsidRPr="00BF6A2B">
        <w:rPr>
          <w:rFonts w:ascii="Calibri" w:eastAsia="Calibri" w:hAnsi="Calibri" w:cs="Times New Roman"/>
          <w:lang w:val="hr-HR"/>
        </w:rPr>
        <w:t>U Prijedlog proračuna za sljedeću godinu uključena su izdvajanja za zaposlenike i namještenike u državnoj i javnoj upravi s najnižim platnim koeficijentima (219 000 od sveukupno 250 000), za koje su osigurani privremeni dodaci na plaću, kao i povećanje osnovice za izračun plaća temeljem kolektivnih ugovora za zaposlene u državnoj i javnoj upravi, povećanje koeficijenata u zdravstvu i sudstvu te korekcija za minuli rad. Navedena povećanja postat će sastavni dio i novog Zakona o plaćama, koji bi trebao stupiti na snagu tijekom sljedeće godine.</w:t>
      </w:r>
    </w:p>
    <w:p w:rsidR="00BF6A2B" w:rsidRPr="00BF6A2B" w:rsidRDefault="00BF6A2B" w:rsidP="00BF6A2B">
      <w:pPr>
        <w:widowControl w:val="0"/>
        <w:jc w:val="both"/>
        <w:rPr>
          <w:rFonts w:ascii="Calibri" w:eastAsia="Calibri" w:hAnsi="Calibri" w:cs="Times New Roman"/>
          <w:lang w:val="hr-HR"/>
        </w:rPr>
      </w:pPr>
      <w:r w:rsidRPr="00BF6A2B">
        <w:rPr>
          <w:rFonts w:ascii="Calibri" w:eastAsia="Calibri" w:hAnsi="Calibri" w:cs="Times New Roman"/>
          <w:lang w:val="hr-HR"/>
        </w:rPr>
        <w:t xml:space="preserve">Sljedeće dvije važne kategorije rashoda u ovom kontekstu su bruto investicije u fiksni kapital te tekući i kapitalni transferi. Dio ovih ulaganja odnosi se na  nacionalno financiranje preugovorenih EU projekata tj. projekata ugovorenih iznad iznosa dodijeljenih EU sredstava, a što je uobičajena praksa </w:t>
      </w:r>
      <w:r w:rsidRPr="00BF6A2B">
        <w:rPr>
          <w:rFonts w:ascii="Calibri" w:eastAsia="Calibri" w:hAnsi="Calibri" w:cs="Times New Roman"/>
          <w:lang w:val="hr-HR"/>
        </w:rPr>
        <w:lastRenderedPageBreak/>
        <w:t xml:space="preserve">svih država članica u svrhu ostvarenja maksimalne apsorpcije EU fondova. Većinom se radi o projektima iz sektora okoliša i vodnog gospodarstva u svrhu ispunjavanja obveza RH temeljem pravne stečevine EU. Općenito uzevši, dinamika ulaganja te kapitalnih transfera odražava napore Vlade RH u cilju očuvanja nacionalno financiranih javnih investicija te ostvarenja učinkovite apsorpcije sredstava iz Mehanizma za oporavak i otpornost (s naglaskom na REPowerEU poglavlje) te ostalih europskih strukturnih i investicijskih fondova, u skladu sa Specifičnim preporukama Vijeća za RH iz lipnja 2023. </w:t>
      </w:r>
    </w:p>
    <w:p w:rsidR="00BF6A2B" w:rsidRPr="00BF6A2B" w:rsidRDefault="00BF6A2B" w:rsidP="00BF6A2B">
      <w:pPr>
        <w:widowControl w:val="0"/>
        <w:jc w:val="both"/>
        <w:rPr>
          <w:rFonts w:ascii="Calibri" w:eastAsia="Calibri" w:hAnsi="Calibri" w:cs="Times New Roman"/>
          <w:lang w:val="hr-HR"/>
        </w:rPr>
      </w:pPr>
      <w:r w:rsidRPr="00BF6A2B">
        <w:rPr>
          <w:rFonts w:ascii="Calibri" w:eastAsia="Calibri" w:hAnsi="Calibri" w:cs="Times New Roman"/>
          <w:lang w:val="hr-HR"/>
        </w:rPr>
        <w:t xml:space="preserve">Tako se bruto investicije u fiksni kapital najvećim dijelom  prisutne u sektorima obrazovne, prometne te komunalne infrastrukture. Ovdje valja spomenuti i isporuku 6 novih vlakova prema HŽ Putničkom prijevozu te borbenih zrakoplova u svrhu jačanja geo-političke sigurnosti i položaja RH. Nastavit će se i s obnovom javne infrastrukture u područjima oštećenim potresom, financiranom isključivo nacionalnim sredstvima te novim zajmovima iz Mehanizma za oporavak i otpornost. Energetska obnova javne infrastrukture mahom će se financirati iz spomenutog Mehanizma (zajmovi temeljem REPower poglavlja) kao i ulaganja u jačanje kapaciteta LNG terminala te unapređenje plinske infrastrukture. Za energetsku obnovu kuća i stambenih jedinica na područjima pogođenim potresom  osigurat će se sredstva iz nacionalnih izvora. </w:t>
      </w:r>
    </w:p>
    <w:p w:rsidR="00BF6A2B" w:rsidRPr="00BF6A2B" w:rsidRDefault="00BF6A2B" w:rsidP="00BF6A2B">
      <w:pPr>
        <w:widowControl w:val="0"/>
        <w:jc w:val="both"/>
        <w:rPr>
          <w:rFonts w:ascii="Calibri" w:eastAsia="Calibri" w:hAnsi="Calibri" w:cs="Times New Roman"/>
          <w:lang w:val="hr-HR"/>
        </w:rPr>
      </w:pPr>
      <w:r w:rsidRPr="00BF6A2B">
        <w:rPr>
          <w:rFonts w:ascii="Calibri" w:eastAsia="Calibri" w:hAnsi="Calibri" w:cs="Times New Roman"/>
          <w:lang w:val="hr-HR"/>
        </w:rPr>
        <w:t>Slijedom kretanja svih navedenih čimbenika, prema ESA 2010 metodologiji, očekuje se pogoršanje fiskalne pozicije u RH s obzirom da će manjak opće države u 2024. iznositi 1,9% BDP-a u usporedbi s 0,3% BDP-a iz 2023. godine. Uz to, nominalni rast nacionalno financiranih neto primarnih rashoda od 10,3% u 2024. godini značajno premašuje preporučenu maksimalnu stopu rasta nacionalno financiranih neto primarnih rashoda u iznosu od 5,1% iz fiskalnog dijela Specifičnih preporuka Vijeća za RH iz lipnja 2023. Usprkos tome, udio javnog duga u bruto domaćem proizvodu nastavlja se smanjivati pa će tako u 2023. doseći razinu od 60,7% odnosno 58% u 2024. godini.</w:t>
      </w:r>
    </w:p>
    <w:p w:rsidR="00BF6A2B" w:rsidRPr="00BF6A2B" w:rsidRDefault="00BF6A2B" w:rsidP="00BF6A2B">
      <w:pPr>
        <w:widowControl w:val="0"/>
        <w:jc w:val="both"/>
        <w:rPr>
          <w:rFonts w:ascii="Calibri" w:eastAsia="Calibri" w:hAnsi="Calibri" w:cs="Times New Roman"/>
          <w:lang w:val="hr-HR"/>
        </w:rPr>
      </w:pPr>
      <w:r w:rsidRPr="00BF6A2B">
        <w:rPr>
          <w:rFonts w:ascii="Calibri" w:eastAsia="Calibri" w:hAnsi="Calibri" w:cs="Times New Roman"/>
          <w:lang w:val="hr-HR"/>
        </w:rPr>
        <w:t>No, u srednjem roku planirana je postupna fiskalna konsolidacija, u suglasju s ulaganjima i reformama poticajnim za ekonomski rast, a u svrhu ostvarenja razborite srednjoročne fiskalne pozicije, sukladno Specifičnim preporukama Vijeća iz lipnja 2023. godine. Tako će proračunski manjak u 2025. dosegnuti 1,6% BDP-a, odnosno 1,5% BDP-a u 2026. godini, dok će u promatranom razdoblju rast nacionalno financiranih neto primarnih rashoda biti niži od nominalnog desetogodišnjeg rasta potencijalnog BDP-a prema izračunima Ministarstva financija. U istom razdoblju udio duga u nominalnom bruto domaćem proizvodu iznositi 56,6% odnosno 55,5%. Iz svega navedenog, vidljivo je da će u srednjem roku proračunski manjak biti značajno ispod 3% BDP-a, dok će se udio javnog duga u bruto domaćem proizvodu smanjiti ispod 60%, sukladno odredbama Pakta o stabilnosti i rastu.</w:t>
      </w:r>
    </w:p>
    <w:p w:rsidR="00BF6A2B" w:rsidRPr="006B0F2A" w:rsidRDefault="00BF6A2B" w:rsidP="0041034D">
      <w:pPr>
        <w:jc w:val="both"/>
        <w:rPr>
          <w:lang w:val="hr-HR"/>
        </w:rPr>
      </w:pPr>
    </w:p>
    <w:sectPr w:rsidR="00BF6A2B" w:rsidRPr="006B0F2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3F4" w:rsidRDefault="002F53F4" w:rsidP="007E7900">
      <w:pPr>
        <w:spacing w:after="0" w:line="240" w:lineRule="auto"/>
      </w:pPr>
      <w:r>
        <w:separator/>
      </w:r>
    </w:p>
  </w:endnote>
  <w:endnote w:type="continuationSeparator" w:id="0">
    <w:p w:rsidR="002F53F4" w:rsidRDefault="002F53F4" w:rsidP="007E79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70035"/>
      <w:docPartObj>
        <w:docPartGallery w:val="Page Numbers (Bottom of Page)"/>
        <w:docPartUnique/>
      </w:docPartObj>
    </w:sdtPr>
    <w:sdtEndPr>
      <w:rPr>
        <w:noProof/>
        <w:sz w:val="20"/>
        <w:szCs w:val="20"/>
      </w:rPr>
    </w:sdtEndPr>
    <w:sdtContent>
      <w:p w:rsidR="00005670" w:rsidRPr="00927736" w:rsidRDefault="00005670">
        <w:pPr>
          <w:pStyle w:val="Footer"/>
          <w:jc w:val="right"/>
          <w:rPr>
            <w:sz w:val="20"/>
            <w:szCs w:val="20"/>
          </w:rPr>
        </w:pPr>
        <w:r w:rsidRPr="00927736">
          <w:rPr>
            <w:sz w:val="20"/>
            <w:szCs w:val="20"/>
          </w:rPr>
          <w:fldChar w:fldCharType="begin"/>
        </w:r>
        <w:r w:rsidRPr="00927736">
          <w:rPr>
            <w:sz w:val="20"/>
            <w:szCs w:val="20"/>
          </w:rPr>
          <w:instrText xml:space="preserve"> PAGE   \* MERGEFORMAT </w:instrText>
        </w:r>
        <w:r w:rsidRPr="00927736">
          <w:rPr>
            <w:sz w:val="20"/>
            <w:szCs w:val="20"/>
          </w:rPr>
          <w:fldChar w:fldCharType="separate"/>
        </w:r>
        <w:r w:rsidR="006A0A56">
          <w:rPr>
            <w:noProof/>
            <w:sz w:val="20"/>
            <w:szCs w:val="20"/>
          </w:rPr>
          <w:t>2</w:t>
        </w:r>
        <w:r w:rsidRPr="00927736">
          <w:rPr>
            <w:noProof/>
            <w:sz w:val="20"/>
            <w:szCs w:val="20"/>
          </w:rPr>
          <w:fldChar w:fldCharType="end"/>
        </w:r>
      </w:p>
    </w:sdtContent>
  </w:sdt>
  <w:p w:rsidR="00005670" w:rsidRDefault="000056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3F4" w:rsidRDefault="002F53F4" w:rsidP="007E7900">
      <w:pPr>
        <w:spacing w:after="0" w:line="240" w:lineRule="auto"/>
      </w:pPr>
      <w:r>
        <w:separator/>
      </w:r>
    </w:p>
  </w:footnote>
  <w:footnote w:type="continuationSeparator" w:id="0">
    <w:p w:rsidR="002F53F4" w:rsidRDefault="002F53F4" w:rsidP="007E7900">
      <w:pPr>
        <w:spacing w:after="0" w:line="240" w:lineRule="auto"/>
      </w:pPr>
      <w:r>
        <w:continuationSeparator/>
      </w:r>
    </w:p>
  </w:footnote>
  <w:footnote w:id="1">
    <w:p w:rsidR="0089013D" w:rsidRPr="00E31389" w:rsidRDefault="0089013D" w:rsidP="0089013D">
      <w:pPr>
        <w:pStyle w:val="FootnoteText"/>
        <w:jc w:val="both"/>
        <w:rPr>
          <w:rFonts w:asciiTheme="minorHAnsi" w:hAnsiTheme="minorHAnsi" w:cstheme="minorHAnsi"/>
          <w:sz w:val="16"/>
          <w:szCs w:val="16"/>
        </w:rPr>
      </w:pPr>
      <w:r w:rsidRPr="00E31389">
        <w:rPr>
          <w:rStyle w:val="FootnoteReference"/>
          <w:rFonts w:asciiTheme="minorHAnsi" w:eastAsiaTheme="majorEastAsia" w:hAnsiTheme="minorHAnsi" w:cstheme="minorHAnsi"/>
          <w:sz w:val="16"/>
          <w:szCs w:val="16"/>
        </w:rPr>
        <w:footnoteRef/>
      </w:r>
      <w:r w:rsidRPr="00E31389">
        <w:rPr>
          <w:rFonts w:asciiTheme="minorHAnsi" w:hAnsiTheme="minorHAnsi" w:cstheme="minorHAnsi"/>
          <w:sz w:val="16"/>
          <w:szCs w:val="16"/>
        </w:rPr>
        <w:t xml:space="preserve"> Budući da je u međuvremenu došlo do značajne revizije cjelokupne vremenske serije BDP-a od strane Državnog zavoda za statistiku, uz znatne izmjene u 2022. godini, usklađenost ova dva okvira ostvarena je na način da su zadržane istovjetne realne stope rasta BDP-a te komponenti s rashodne strane obračuna BDP-a (izuzev kategorije promjena zaliha).</w:t>
      </w:r>
    </w:p>
  </w:footnote>
  <w:footnote w:id="2">
    <w:p w:rsidR="0089013D" w:rsidRPr="00E31389" w:rsidRDefault="0089013D" w:rsidP="0089013D">
      <w:pPr>
        <w:pStyle w:val="FootnoteText"/>
        <w:rPr>
          <w:rFonts w:asciiTheme="minorHAnsi" w:hAnsiTheme="minorHAnsi" w:cstheme="minorHAnsi"/>
          <w:i/>
          <w:sz w:val="16"/>
          <w:szCs w:val="16"/>
        </w:rPr>
      </w:pPr>
      <w:r w:rsidRPr="00E31389">
        <w:rPr>
          <w:rStyle w:val="FootnoteReference"/>
          <w:rFonts w:asciiTheme="minorHAnsi" w:eastAsiaTheme="majorEastAsia" w:hAnsiTheme="minorHAnsi" w:cstheme="minorHAnsi"/>
          <w:i/>
          <w:sz w:val="16"/>
          <w:szCs w:val="16"/>
        </w:rPr>
        <w:footnoteRef/>
      </w:r>
      <w:r w:rsidRPr="00E31389">
        <w:rPr>
          <w:rFonts w:asciiTheme="minorHAnsi" w:hAnsiTheme="minorHAnsi" w:cstheme="minorHAnsi"/>
          <w:i/>
          <w:sz w:val="16"/>
          <w:szCs w:val="16"/>
        </w:rPr>
        <w:t xml:space="preserve"> ECB staff macroeconomic projections for the euro area, September 2023</w:t>
      </w:r>
    </w:p>
  </w:footnote>
  <w:footnote w:id="3">
    <w:p w:rsidR="0089013D" w:rsidRPr="00E31389" w:rsidRDefault="0089013D" w:rsidP="0089013D">
      <w:pPr>
        <w:pStyle w:val="FootnoteText"/>
        <w:rPr>
          <w:rFonts w:asciiTheme="minorHAnsi" w:hAnsiTheme="minorHAnsi" w:cstheme="minorHAnsi"/>
          <w:i/>
          <w:sz w:val="16"/>
          <w:szCs w:val="16"/>
        </w:rPr>
      </w:pPr>
      <w:r w:rsidRPr="00E31389">
        <w:rPr>
          <w:rStyle w:val="FootnoteReference"/>
          <w:rFonts w:asciiTheme="minorHAnsi" w:eastAsiaTheme="majorEastAsia" w:hAnsiTheme="minorHAnsi" w:cstheme="minorHAnsi"/>
          <w:i/>
          <w:sz w:val="16"/>
          <w:szCs w:val="16"/>
        </w:rPr>
        <w:footnoteRef/>
      </w:r>
      <w:r w:rsidRPr="00E31389">
        <w:rPr>
          <w:rFonts w:asciiTheme="minorHAnsi" w:hAnsiTheme="minorHAnsi" w:cstheme="minorHAnsi"/>
          <w:i/>
          <w:sz w:val="16"/>
          <w:szCs w:val="16"/>
        </w:rPr>
        <w:t xml:space="preserve"> Summer 2023 European Economic Forecast, September 2023</w:t>
      </w:r>
    </w:p>
  </w:footnote>
  <w:footnote w:id="4">
    <w:p w:rsidR="0089013D" w:rsidRPr="00E31389" w:rsidRDefault="0089013D" w:rsidP="0089013D">
      <w:pPr>
        <w:pStyle w:val="FootnoteText"/>
        <w:rPr>
          <w:rFonts w:asciiTheme="minorHAnsi" w:hAnsiTheme="minorHAnsi" w:cstheme="minorHAnsi"/>
          <w:i/>
          <w:sz w:val="16"/>
          <w:szCs w:val="16"/>
          <w:highlight w:val="yellow"/>
        </w:rPr>
      </w:pPr>
      <w:r w:rsidRPr="00E31389">
        <w:rPr>
          <w:rStyle w:val="FootnoteReference"/>
          <w:rFonts w:asciiTheme="minorHAnsi" w:eastAsiaTheme="majorEastAsia" w:hAnsiTheme="minorHAnsi" w:cstheme="minorHAnsi"/>
          <w:i/>
          <w:sz w:val="16"/>
          <w:szCs w:val="16"/>
        </w:rPr>
        <w:footnoteRef/>
      </w:r>
      <w:r w:rsidRPr="00E31389">
        <w:rPr>
          <w:rFonts w:asciiTheme="minorHAnsi" w:hAnsiTheme="minorHAnsi" w:cstheme="minorHAnsi"/>
          <w:i/>
          <w:sz w:val="16"/>
          <w:szCs w:val="16"/>
        </w:rPr>
        <w:t xml:space="preserve"> Consensus Forecasts – Eastern Europe i G-7 &amp; Western Europe</w:t>
      </w:r>
    </w:p>
  </w:footnote>
  <w:footnote w:id="5">
    <w:p w:rsidR="006B29CF" w:rsidRPr="006B29CF" w:rsidRDefault="006B29CF" w:rsidP="006B29CF">
      <w:pPr>
        <w:pStyle w:val="FootnoteText"/>
        <w:jc w:val="both"/>
        <w:rPr>
          <w:rFonts w:asciiTheme="minorHAnsi" w:hAnsiTheme="minorHAnsi" w:cstheme="minorHAnsi"/>
          <w:i/>
        </w:rPr>
      </w:pPr>
      <w:r w:rsidRPr="006B29CF">
        <w:rPr>
          <w:rStyle w:val="FootnoteReference"/>
          <w:rFonts w:asciiTheme="minorHAnsi" w:hAnsiTheme="minorHAnsi" w:cstheme="minorHAnsi"/>
          <w:i/>
        </w:rPr>
        <w:footnoteRef/>
      </w:r>
      <w:r w:rsidRPr="006B29CF">
        <w:rPr>
          <w:rFonts w:asciiTheme="minorHAnsi" w:hAnsiTheme="minorHAnsi" w:cstheme="minorHAnsi"/>
          <w:i/>
        </w:rPr>
        <w:t xml:space="preserve"> Analiza osjetljivosti javnog duga na porast EURIBOR-a, kao i šok inozemne potražnje, izrađena je korištenjem strukturnog makroekonometrijskog modela hrvatskog gospodarstva razvijenog za Ministarstvo financija u suradnji sa stručnjacima iz Svjetske banke u okviru EU projekta „Razvoj strukturnog makroekonomskog modela hrvatskog gospodarstva“.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E52DE"/>
    <w:multiLevelType w:val="multilevel"/>
    <w:tmpl w:val="A4A8459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1A89209D"/>
    <w:multiLevelType w:val="hybridMultilevel"/>
    <w:tmpl w:val="AF8E659C"/>
    <w:lvl w:ilvl="0" w:tplc="133ADB78">
      <w:numFmt w:val="bullet"/>
      <w:lvlText w:val="•"/>
      <w:lvlJc w:val="left"/>
      <w:pPr>
        <w:ind w:left="1554" w:hanging="420"/>
      </w:pPr>
      <w:rPr>
        <w:rFonts w:ascii="Calibri" w:eastAsiaTheme="minorHAnsi" w:hAnsi="Calibri" w:cs="Calibri" w:hint="default"/>
      </w:rPr>
    </w:lvl>
    <w:lvl w:ilvl="1" w:tplc="041A0003">
      <w:start w:val="1"/>
      <w:numFmt w:val="bullet"/>
      <w:lvlText w:val="o"/>
      <w:lvlJc w:val="left"/>
      <w:pPr>
        <w:ind w:left="2214" w:hanging="360"/>
      </w:pPr>
      <w:rPr>
        <w:rFonts w:ascii="Courier New" w:hAnsi="Courier New" w:cs="Courier New" w:hint="default"/>
      </w:rPr>
    </w:lvl>
    <w:lvl w:ilvl="2" w:tplc="041A0005">
      <w:start w:val="1"/>
      <w:numFmt w:val="bullet"/>
      <w:lvlText w:val=""/>
      <w:lvlJc w:val="left"/>
      <w:pPr>
        <w:ind w:left="2934" w:hanging="360"/>
      </w:pPr>
      <w:rPr>
        <w:rFonts w:ascii="Wingdings" w:hAnsi="Wingdings" w:hint="default"/>
      </w:rPr>
    </w:lvl>
    <w:lvl w:ilvl="3" w:tplc="041A0001" w:tentative="1">
      <w:start w:val="1"/>
      <w:numFmt w:val="bullet"/>
      <w:lvlText w:val=""/>
      <w:lvlJc w:val="left"/>
      <w:pPr>
        <w:ind w:left="3654" w:hanging="360"/>
      </w:pPr>
      <w:rPr>
        <w:rFonts w:ascii="Symbol" w:hAnsi="Symbol" w:hint="default"/>
      </w:rPr>
    </w:lvl>
    <w:lvl w:ilvl="4" w:tplc="041A0003" w:tentative="1">
      <w:start w:val="1"/>
      <w:numFmt w:val="bullet"/>
      <w:lvlText w:val="o"/>
      <w:lvlJc w:val="left"/>
      <w:pPr>
        <w:ind w:left="4374" w:hanging="360"/>
      </w:pPr>
      <w:rPr>
        <w:rFonts w:ascii="Courier New" w:hAnsi="Courier New" w:cs="Courier New" w:hint="default"/>
      </w:rPr>
    </w:lvl>
    <w:lvl w:ilvl="5" w:tplc="041A0005" w:tentative="1">
      <w:start w:val="1"/>
      <w:numFmt w:val="bullet"/>
      <w:lvlText w:val=""/>
      <w:lvlJc w:val="left"/>
      <w:pPr>
        <w:ind w:left="5094" w:hanging="360"/>
      </w:pPr>
      <w:rPr>
        <w:rFonts w:ascii="Wingdings" w:hAnsi="Wingdings" w:hint="default"/>
      </w:rPr>
    </w:lvl>
    <w:lvl w:ilvl="6" w:tplc="041A0001" w:tentative="1">
      <w:start w:val="1"/>
      <w:numFmt w:val="bullet"/>
      <w:lvlText w:val=""/>
      <w:lvlJc w:val="left"/>
      <w:pPr>
        <w:ind w:left="5814" w:hanging="360"/>
      </w:pPr>
      <w:rPr>
        <w:rFonts w:ascii="Symbol" w:hAnsi="Symbol" w:hint="default"/>
      </w:rPr>
    </w:lvl>
    <w:lvl w:ilvl="7" w:tplc="041A0003" w:tentative="1">
      <w:start w:val="1"/>
      <w:numFmt w:val="bullet"/>
      <w:lvlText w:val="o"/>
      <w:lvlJc w:val="left"/>
      <w:pPr>
        <w:ind w:left="6534" w:hanging="360"/>
      </w:pPr>
      <w:rPr>
        <w:rFonts w:ascii="Courier New" w:hAnsi="Courier New" w:cs="Courier New" w:hint="default"/>
      </w:rPr>
    </w:lvl>
    <w:lvl w:ilvl="8" w:tplc="041A0005" w:tentative="1">
      <w:start w:val="1"/>
      <w:numFmt w:val="bullet"/>
      <w:lvlText w:val=""/>
      <w:lvlJc w:val="left"/>
      <w:pPr>
        <w:ind w:left="7254" w:hanging="360"/>
      </w:pPr>
      <w:rPr>
        <w:rFonts w:ascii="Wingdings" w:hAnsi="Wingdings" w:hint="default"/>
      </w:rPr>
    </w:lvl>
  </w:abstractNum>
  <w:abstractNum w:abstractNumId="2" w15:restartNumberingAfterBreak="0">
    <w:nsid w:val="1D933535"/>
    <w:multiLevelType w:val="hybridMultilevel"/>
    <w:tmpl w:val="BFB069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2E677D3"/>
    <w:multiLevelType w:val="hybridMultilevel"/>
    <w:tmpl w:val="4DAE892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25990F61"/>
    <w:multiLevelType w:val="hybridMultilevel"/>
    <w:tmpl w:val="9334B9C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6B93B4E"/>
    <w:multiLevelType w:val="multilevel"/>
    <w:tmpl w:val="9F0E7832"/>
    <w:lvl w:ilvl="0">
      <w:start w:val="4"/>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9282EAE"/>
    <w:multiLevelType w:val="hybridMultilevel"/>
    <w:tmpl w:val="7744F2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98759DF"/>
    <w:multiLevelType w:val="hybridMultilevel"/>
    <w:tmpl w:val="4468C38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AEB3AE5"/>
    <w:multiLevelType w:val="hybridMultilevel"/>
    <w:tmpl w:val="1256E414"/>
    <w:lvl w:ilvl="0" w:tplc="041A0019">
      <w:start w:val="1"/>
      <w:numFmt w:val="lowerLetter"/>
      <w:lvlText w:val="%1."/>
      <w:lvlJc w:val="left"/>
      <w:pPr>
        <w:ind w:left="720" w:hanging="360"/>
      </w:pPr>
      <w:rPr>
        <w:b w:val="0"/>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348A4F02"/>
    <w:multiLevelType w:val="multilevel"/>
    <w:tmpl w:val="0CDA6A26"/>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37E76567"/>
    <w:multiLevelType w:val="hybridMultilevel"/>
    <w:tmpl w:val="8E34CA02"/>
    <w:lvl w:ilvl="0" w:tplc="D5FCB39C">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62076D"/>
    <w:multiLevelType w:val="hybridMultilevel"/>
    <w:tmpl w:val="DE9800DC"/>
    <w:lvl w:ilvl="0" w:tplc="133ADB78">
      <w:numFmt w:val="bullet"/>
      <w:lvlText w:val="•"/>
      <w:lvlJc w:val="left"/>
      <w:pPr>
        <w:ind w:left="780" w:hanging="420"/>
      </w:pPr>
      <w:rPr>
        <w:rFonts w:ascii="Calibri" w:eastAsiaTheme="minorHAnsi" w:hAnsi="Calibri" w:cs="Calibri" w:hint="default"/>
      </w:rPr>
    </w:lvl>
    <w:lvl w:ilvl="1" w:tplc="61BE3BF6">
      <w:start w:val="1"/>
      <w:numFmt w:val="bullet"/>
      <w:lvlText w:val="ͦ"/>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1482162"/>
    <w:multiLevelType w:val="multilevel"/>
    <w:tmpl w:val="D5F472EA"/>
    <w:lvl w:ilvl="0">
      <w:start w:val="4"/>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50423EA3"/>
    <w:multiLevelType w:val="hybridMultilevel"/>
    <w:tmpl w:val="68DE9F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5289111D"/>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45764BC"/>
    <w:multiLevelType w:val="multilevel"/>
    <w:tmpl w:val="0CDA6A26"/>
    <w:lvl w:ilvl="0">
      <w:start w:val="4"/>
      <w:numFmt w:val="decimal"/>
      <w:lvlText w:val="%1."/>
      <w:lvlJc w:val="left"/>
      <w:pPr>
        <w:ind w:left="420" w:hanging="42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55F847B1"/>
    <w:multiLevelType w:val="hybridMultilevel"/>
    <w:tmpl w:val="0FF6C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8186BC7"/>
    <w:multiLevelType w:val="hybridMultilevel"/>
    <w:tmpl w:val="E7E4B900"/>
    <w:lvl w:ilvl="0" w:tplc="08090001">
      <w:start w:val="1"/>
      <w:numFmt w:val="bullet"/>
      <w:lvlText w:val=""/>
      <w:lvlJc w:val="left"/>
      <w:pPr>
        <w:ind w:left="644"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A4C615E"/>
    <w:multiLevelType w:val="hybridMultilevel"/>
    <w:tmpl w:val="1D3A94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66454F7"/>
    <w:multiLevelType w:val="hybridMultilevel"/>
    <w:tmpl w:val="7FB48A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F63371"/>
    <w:multiLevelType w:val="multilevel"/>
    <w:tmpl w:val="0CDA6A26"/>
    <w:lvl w:ilvl="0">
      <w:start w:val="4"/>
      <w:numFmt w:val="decimal"/>
      <w:lvlText w:val="%1."/>
      <w:lvlJc w:val="left"/>
      <w:pPr>
        <w:ind w:left="420" w:hanging="42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D826C4A"/>
    <w:multiLevelType w:val="hybridMultilevel"/>
    <w:tmpl w:val="BBC617BC"/>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2" w15:restartNumberingAfterBreak="0">
    <w:nsid w:val="751D23DE"/>
    <w:multiLevelType w:val="multilevel"/>
    <w:tmpl w:val="C2C6C18C"/>
    <w:lvl w:ilvl="0">
      <w:start w:val="1"/>
      <w:numFmt w:val="decimal"/>
      <w:lvlText w:val="%1."/>
      <w:lvlJc w:val="left"/>
      <w:pPr>
        <w:ind w:left="1080" w:hanging="72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800" w:hanging="144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3" w15:restartNumberingAfterBreak="0">
    <w:nsid w:val="75AE6E86"/>
    <w:multiLevelType w:val="hybridMultilevel"/>
    <w:tmpl w:val="4AC6DF76"/>
    <w:lvl w:ilvl="0" w:tplc="309881A6">
      <w:numFmt w:val="bullet"/>
      <w:lvlText w:val="•"/>
      <w:lvlJc w:val="left"/>
      <w:pPr>
        <w:ind w:left="1080" w:hanging="72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762D5F00"/>
    <w:multiLevelType w:val="hybridMultilevel"/>
    <w:tmpl w:val="1262BCE4"/>
    <w:lvl w:ilvl="0" w:tplc="133ADB78">
      <w:numFmt w:val="bullet"/>
      <w:lvlText w:val="•"/>
      <w:lvlJc w:val="left"/>
      <w:pPr>
        <w:ind w:left="780" w:hanging="42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9003C21"/>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6" w15:restartNumberingAfterBreak="0">
    <w:nsid w:val="7A4A346C"/>
    <w:multiLevelType w:val="hybridMultilevel"/>
    <w:tmpl w:val="C71631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C982F60"/>
    <w:multiLevelType w:val="hybridMultilevel"/>
    <w:tmpl w:val="44F6E8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7CB27D00"/>
    <w:multiLevelType w:val="multilevel"/>
    <w:tmpl w:val="5C46834A"/>
    <w:lvl w:ilvl="0">
      <w:start w:val="5"/>
      <w:numFmt w:val="decimal"/>
      <w:lvlText w:val="%1."/>
      <w:lvlJc w:val="left"/>
      <w:pPr>
        <w:ind w:left="420" w:hanging="42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num w:numId="1">
    <w:abstractNumId w:val="6"/>
  </w:num>
  <w:num w:numId="2">
    <w:abstractNumId w:val="25"/>
  </w:num>
  <w:num w:numId="3">
    <w:abstractNumId w:val="12"/>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num>
  <w:num w:numId="6">
    <w:abstractNumId w:val="16"/>
  </w:num>
  <w:num w:numId="7">
    <w:abstractNumId w:val="10"/>
  </w:num>
  <w:num w:numId="8">
    <w:abstractNumId w:val="8"/>
    <w:lvlOverride w:ilvl="0">
      <w:startOverride w:val="1"/>
    </w:lvlOverride>
    <w:lvlOverride w:ilvl="1"/>
    <w:lvlOverride w:ilvl="2"/>
    <w:lvlOverride w:ilvl="3"/>
    <w:lvlOverride w:ilvl="4"/>
    <w:lvlOverride w:ilvl="5"/>
    <w:lvlOverride w:ilvl="6"/>
    <w:lvlOverride w:ilvl="7"/>
    <w:lvlOverride w:ilvl="8"/>
  </w:num>
  <w:num w:numId="9">
    <w:abstractNumId w:val="8"/>
  </w:num>
  <w:num w:numId="10">
    <w:abstractNumId w:val="5"/>
  </w:num>
  <w:num w:numId="11">
    <w:abstractNumId w:val="7"/>
  </w:num>
  <w:num w:numId="12">
    <w:abstractNumId w:val="26"/>
  </w:num>
  <w:num w:numId="13">
    <w:abstractNumId w:val="14"/>
  </w:num>
  <w:num w:numId="14">
    <w:abstractNumId w:val="4"/>
  </w:num>
  <w:num w:numId="15">
    <w:abstractNumId w:val="0"/>
  </w:num>
  <w:num w:numId="16">
    <w:abstractNumId w:val="20"/>
  </w:num>
  <w:num w:numId="17">
    <w:abstractNumId w:val="9"/>
  </w:num>
  <w:num w:numId="18">
    <w:abstractNumId w:val="3"/>
  </w:num>
  <w:num w:numId="19">
    <w:abstractNumId w:val="19"/>
  </w:num>
  <w:num w:numId="20">
    <w:abstractNumId w:val="21"/>
  </w:num>
  <w:num w:numId="21">
    <w:abstractNumId w:val="27"/>
  </w:num>
  <w:num w:numId="22">
    <w:abstractNumId w:val="18"/>
  </w:num>
  <w:num w:numId="23">
    <w:abstractNumId w:val="2"/>
  </w:num>
  <w:num w:numId="24">
    <w:abstractNumId w:val="23"/>
  </w:num>
  <w:num w:numId="25">
    <w:abstractNumId w:val="13"/>
  </w:num>
  <w:num w:numId="26">
    <w:abstractNumId w:val="11"/>
  </w:num>
  <w:num w:numId="27">
    <w:abstractNumId w:val="24"/>
  </w:num>
  <w:num w:numId="28">
    <w:abstractNumId w:val="1"/>
  </w:num>
  <w:num w:numId="29">
    <w:abstractNumId w:val="17"/>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5821"/>
    <w:rsid w:val="00001797"/>
    <w:rsid w:val="00003BE9"/>
    <w:rsid w:val="000041F9"/>
    <w:rsid w:val="00005670"/>
    <w:rsid w:val="00007108"/>
    <w:rsid w:val="00010B99"/>
    <w:rsid w:val="000146B7"/>
    <w:rsid w:val="00020250"/>
    <w:rsid w:val="00023F21"/>
    <w:rsid w:val="00025DEB"/>
    <w:rsid w:val="000273FD"/>
    <w:rsid w:val="000324BA"/>
    <w:rsid w:val="00032F6C"/>
    <w:rsid w:val="00033315"/>
    <w:rsid w:val="00033D9E"/>
    <w:rsid w:val="0003434E"/>
    <w:rsid w:val="00034668"/>
    <w:rsid w:val="00035036"/>
    <w:rsid w:val="0004017D"/>
    <w:rsid w:val="00041743"/>
    <w:rsid w:val="00041CE7"/>
    <w:rsid w:val="000445B7"/>
    <w:rsid w:val="00044842"/>
    <w:rsid w:val="0004782B"/>
    <w:rsid w:val="00055948"/>
    <w:rsid w:val="00057575"/>
    <w:rsid w:val="00060EE2"/>
    <w:rsid w:val="000618B5"/>
    <w:rsid w:val="000621DF"/>
    <w:rsid w:val="000628CD"/>
    <w:rsid w:val="00066FAC"/>
    <w:rsid w:val="00072B87"/>
    <w:rsid w:val="000738DE"/>
    <w:rsid w:val="00080B42"/>
    <w:rsid w:val="00080E35"/>
    <w:rsid w:val="00081BED"/>
    <w:rsid w:val="000821C5"/>
    <w:rsid w:val="00082B28"/>
    <w:rsid w:val="000855AC"/>
    <w:rsid w:val="000857E3"/>
    <w:rsid w:val="00086BAF"/>
    <w:rsid w:val="00086C72"/>
    <w:rsid w:val="000871CD"/>
    <w:rsid w:val="0009051B"/>
    <w:rsid w:val="00095377"/>
    <w:rsid w:val="00096060"/>
    <w:rsid w:val="000979A6"/>
    <w:rsid w:val="000A3D36"/>
    <w:rsid w:val="000A418E"/>
    <w:rsid w:val="000A5722"/>
    <w:rsid w:val="000B1E98"/>
    <w:rsid w:val="000B2784"/>
    <w:rsid w:val="000B2DA9"/>
    <w:rsid w:val="000B2F21"/>
    <w:rsid w:val="000B67B5"/>
    <w:rsid w:val="000C08C9"/>
    <w:rsid w:val="000D050A"/>
    <w:rsid w:val="000D0C63"/>
    <w:rsid w:val="000D27C1"/>
    <w:rsid w:val="000D3692"/>
    <w:rsid w:val="000D50A8"/>
    <w:rsid w:val="000E090A"/>
    <w:rsid w:val="000E2E51"/>
    <w:rsid w:val="000E5C14"/>
    <w:rsid w:val="000E707F"/>
    <w:rsid w:val="000E73C3"/>
    <w:rsid w:val="000F1DDD"/>
    <w:rsid w:val="000F3D4F"/>
    <w:rsid w:val="000F6871"/>
    <w:rsid w:val="000F7890"/>
    <w:rsid w:val="00100006"/>
    <w:rsid w:val="0010391E"/>
    <w:rsid w:val="00105DF3"/>
    <w:rsid w:val="00111DAD"/>
    <w:rsid w:val="00113CB3"/>
    <w:rsid w:val="001217A8"/>
    <w:rsid w:val="001241B8"/>
    <w:rsid w:val="00125FFF"/>
    <w:rsid w:val="00127676"/>
    <w:rsid w:val="001314C4"/>
    <w:rsid w:val="001331A6"/>
    <w:rsid w:val="00134BF2"/>
    <w:rsid w:val="00145C68"/>
    <w:rsid w:val="00145D0C"/>
    <w:rsid w:val="001470C9"/>
    <w:rsid w:val="0015106F"/>
    <w:rsid w:val="001515B2"/>
    <w:rsid w:val="00153C78"/>
    <w:rsid w:val="00155A78"/>
    <w:rsid w:val="00155FA2"/>
    <w:rsid w:val="00156F45"/>
    <w:rsid w:val="00161922"/>
    <w:rsid w:val="00161F2C"/>
    <w:rsid w:val="00162BCE"/>
    <w:rsid w:val="00163A00"/>
    <w:rsid w:val="001675A4"/>
    <w:rsid w:val="001700DD"/>
    <w:rsid w:val="00174F1F"/>
    <w:rsid w:val="0017582C"/>
    <w:rsid w:val="001806A2"/>
    <w:rsid w:val="00181D76"/>
    <w:rsid w:val="0018432E"/>
    <w:rsid w:val="00185784"/>
    <w:rsid w:val="00186684"/>
    <w:rsid w:val="00186D57"/>
    <w:rsid w:val="001909CF"/>
    <w:rsid w:val="00190D86"/>
    <w:rsid w:val="00190F82"/>
    <w:rsid w:val="00191121"/>
    <w:rsid w:val="001943D2"/>
    <w:rsid w:val="001971CF"/>
    <w:rsid w:val="001A1C5C"/>
    <w:rsid w:val="001A595D"/>
    <w:rsid w:val="001A77A4"/>
    <w:rsid w:val="001B0D04"/>
    <w:rsid w:val="001B5E11"/>
    <w:rsid w:val="001B797D"/>
    <w:rsid w:val="001C074C"/>
    <w:rsid w:val="001C244E"/>
    <w:rsid w:val="001C4ED7"/>
    <w:rsid w:val="001C63C2"/>
    <w:rsid w:val="001D0189"/>
    <w:rsid w:val="001D2009"/>
    <w:rsid w:val="001D4565"/>
    <w:rsid w:val="001D5C86"/>
    <w:rsid w:val="001E7956"/>
    <w:rsid w:val="001F1EBE"/>
    <w:rsid w:val="001F3879"/>
    <w:rsid w:val="001F3B06"/>
    <w:rsid w:val="001F4192"/>
    <w:rsid w:val="001F479B"/>
    <w:rsid w:val="001F744E"/>
    <w:rsid w:val="00205AC5"/>
    <w:rsid w:val="00213AAF"/>
    <w:rsid w:val="00215B63"/>
    <w:rsid w:val="00217287"/>
    <w:rsid w:val="00217E6B"/>
    <w:rsid w:val="0022189C"/>
    <w:rsid w:val="00223521"/>
    <w:rsid w:val="00223C14"/>
    <w:rsid w:val="002253A4"/>
    <w:rsid w:val="00226667"/>
    <w:rsid w:val="00227EB9"/>
    <w:rsid w:val="002317F7"/>
    <w:rsid w:val="002323A5"/>
    <w:rsid w:val="00232F1E"/>
    <w:rsid w:val="00235EF2"/>
    <w:rsid w:val="00237852"/>
    <w:rsid w:val="00240C30"/>
    <w:rsid w:val="00240FBD"/>
    <w:rsid w:val="00241723"/>
    <w:rsid w:val="00244529"/>
    <w:rsid w:val="00244782"/>
    <w:rsid w:val="00245DC2"/>
    <w:rsid w:val="00247865"/>
    <w:rsid w:val="002505F3"/>
    <w:rsid w:val="002514EE"/>
    <w:rsid w:val="002517CB"/>
    <w:rsid w:val="00256EE8"/>
    <w:rsid w:val="002577F6"/>
    <w:rsid w:val="00263DC3"/>
    <w:rsid w:val="00263F53"/>
    <w:rsid w:val="00270A1B"/>
    <w:rsid w:val="0027489A"/>
    <w:rsid w:val="00277901"/>
    <w:rsid w:val="0028075D"/>
    <w:rsid w:val="002838D9"/>
    <w:rsid w:val="00283E07"/>
    <w:rsid w:val="002868AC"/>
    <w:rsid w:val="00287D24"/>
    <w:rsid w:val="00293FCC"/>
    <w:rsid w:val="0029489C"/>
    <w:rsid w:val="00295713"/>
    <w:rsid w:val="00296958"/>
    <w:rsid w:val="00296BC3"/>
    <w:rsid w:val="002A12E4"/>
    <w:rsid w:val="002A2EFA"/>
    <w:rsid w:val="002A4AF3"/>
    <w:rsid w:val="002A72F0"/>
    <w:rsid w:val="002B0FC8"/>
    <w:rsid w:val="002B2860"/>
    <w:rsid w:val="002B2F1A"/>
    <w:rsid w:val="002B2F7D"/>
    <w:rsid w:val="002B4FEB"/>
    <w:rsid w:val="002C3027"/>
    <w:rsid w:val="002D1398"/>
    <w:rsid w:val="002D2C06"/>
    <w:rsid w:val="002D2F82"/>
    <w:rsid w:val="002D673F"/>
    <w:rsid w:val="002D77A8"/>
    <w:rsid w:val="002E0629"/>
    <w:rsid w:val="002E3DD9"/>
    <w:rsid w:val="002E4523"/>
    <w:rsid w:val="002F4321"/>
    <w:rsid w:val="002F53F4"/>
    <w:rsid w:val="003047CE"/>
    <w:rsid w:val="003052F1"/>
    <w:rsid w:val="00306074"/>
    <w:rsid w:val="00306477"/>
    <w:rsid w:val="00306964"/>
    <w:rsid w:val="00307E3F"/>
    <w:rsid w:val="003144CB"/>
    <w:rsid w:val="00316215"/>
    <w:rsid w:val="00317D04"/>
    <w:rsid w:val="00321961"/>
    <w:rsid w:val="003244E2"/>
    <w:rsid w:val="00325CA4"/>
    <w:rsid w:val="003272C9"/>
    <w:rsid w:val="00332395"/>
    <w:rsid w:val="00333255"/>
    <w:rsid w:val="00344576"/>
    <w:rsid w:val="00344969"/>
    <w:rsid w:val="0034496D"/>
    <w:rsid w:val="00345B49"/>
    <w:rsid w:val="00346B54"/>
    <w:rsid w:val="00350BC6"/>
    <w:rsid w:val="00350C50"/>
    <w:rsid w:val="00351916"/>
    <w:rsid w:val="00355F14"/>
    <w:rsid w:val="00356D4C"/>
    <w:rsid w:val="0036088A"/>
    <w:rsid w:val="003626ED"/>
    <w:rsid w:val="00362A8C"/>
    <w:rsid w:val="00365C64"/>
    <w:rsid w:val="00370B8D"/>
    <w:rsid w:val="00372BCF"/>
    <w:rsid w:val="003745E9"/>
    <w:rsid w:val="003750F6"/>
    <w:rsid w:val="0037517B"/>
    <w:rsid w:val="0037667D"/>
    <w:rsid w:val="00392828"/>
    <w:rsid w:val="0039786A"/>
    <w:rsid w:val="003A2DF6"/>
    <w:rsid w:val="003A3AA0"/>
    <w:rsid w:val="003B1211"/>
    <w:rsid w:val="003B354B"/>
    <w:rsid w:val="003B4EA0"/>
    <w:rsid w:val="003B7428"/>
    <w:rsid w:val="003B7547"/>
    <w:rsid w:val="003B7D7B"/>
    <w:rsid w:val="003C2DF6"/>
    <w:rsid w:val="003C4490"/>
    <w:rsid w:val="003C5C33"/>
    <w:rsid w:val="003C78F6"/>
    <w:rsid w:val="003C7F5A"/>
    <w:rsid w:val="003D6B72"/>
    <w:rsid w:val="003E0702"/>
    <w:rsid w:val="003E1965"/>
    <w:rsid w:val="003E398D"/>
    <w:rsid w:val="003E49B5"/>
    <w:rsid w:val="003E52BF"/>
    <w:rsid w:val="003E7003"/>
    <w:rsid w:val="003F48B4"/>
    <w:rsid w:val="003F5895"/>
    <w:rsid w:val="00404E56"/>
    <w:rsid w:val="0041034D"/>
    <w:rsid w:val="004104F8"/>
    <w:rsid w:val="00415704"/>
    <w:rsid w:val="00420F2E"/>
    <w:rsid w:val="004213AD"/>
    <w:rsid w:val="00421F2A"/>
    <w:rsid w:val="00423C96"/>
    <w:rsid w:val="004247D0"/>
    <w:rsid w:val="00426220"/>
    <w:rsid w:val="004345FE"/>
    <w:rsid w:val="00436F2D"/>
    <w:rsid w:val="004400AA"/>
    <w:rsid w:val="004430BD"/>
    <w:rsid w:val="004446C2"/>
    <w:rsid w:val="00456F59"/>
    <w:rsid w:val="004604FB"/>
    <w:rsid w:val="00461775"/>
    <w:rsid w:val="0046251A"/>
    <w:rsid w:val="00463C1F"/>
    <w:rsid w:val="0046410C"/>
    <w:rsid w:val="00464AA7"/>
    <w:rsid w:val="004662A4"/>
    <w:rsid w:val="0046714A"/>
    <w:rsid w:val="00467E50"/>
    <w:rsid w:val="00470259"/>
    <w:rsid w:val="00473B4F"/>
    <w:rsid w:val="00475096"/>
    <w:rsid w:val="00483F6A"/>
    <w:rsid w:val="0048513D"/>
    <w:rsid w:val="00486340"/>
    <w:rsid w:val="00491633"/>
    <w:rsid w:val="00491E72"/>
    <w:rsid w:val="00492EFE"/>
    <w:rsid w:val="004940AE"/>
    <w:rsid w:val="0049466E"/>
    <w:rsid w:val="00497B53"/>
    <w:rsid w:val="004A0346"/>
    <w:rsid w:val="004A0776"/>
    <w:rsid w:val="004A1742"/>
    <w:rsid w:val="004A5652"/>
    <w:rsid w:val="004A6E60"/>
    <w:rsid w:val="004A74FE"/>
    <w:rsid w:val="004B0910"/>
    <w:rsid w:val="004B2E80"/>
    <w:rsid w:val="004B307D"/>
    <w:rsid w:val="004B797C"/>
    <w:rsid w:val="004C0641"/>
    <w:rsid w:val="004C0CFF"/>
    <w:rsid w:val="004C14D4"/>
    <w:rsid w:val="004C15BC"/>
    <w:rsid w:val="004C47A2"/>
    <w:rsid w:val="004C7845"/>
    <w:rsid w:val="004D4824"/>
    <w:rsid w:val="004D6494"/>
    <w:rsid w:val="004E07B4"/>
    <w:rsid w:val="004E0BEF"/>
    <w:rsid w:val="004E2179"/>
    <w:rsid w:val="004E4030"/>
    <w:rsid w:val="004F4BD2"/>
    <w:rsid w:val="004F4EEE"/>
    <w:rsid w:val="004F6174"/>
    <w:rsid w:val="0050234D"/>
    <w:rsid w:val="005037B7"/>
    <w:rsid w:val="00503BC8"/>
    <w:rsid w:val="005062F8"/>
    <w:rsid w:val="00506C0E"/>
    <w:rsid w:val="0051136B"/>
    <w:rsid w:val="00511A03"/>
    <w:rsid w:val="00513906"/>
    <w:rsid w:val="00514BCC"/>
    <w:rsid w:val="00516520"/>
    <w:rsid w:val="005169D7"/>
    <w:rsid w:val="0052645B"/>
    <w:rsid w:val="00527791"/>
    <w:rsid w:val="00533F79"/>
    <w:rsid w:val="005353E3"/>
    <w:rsid w:val="00535FAF"/>
    <w:rsid w:val="005375F4"/>
    <w:rsid w:val="0053782E"/>
    <w:rsid w:val="0054237C"/>
    <w:rsid w:val="00554A96"/>
    <w:rsid w:val="005569FD"/>
    <w:rsid w:val="005576AE"/>
    <w:rsid w:val="00561A2E"/>
    <w:rsid w:val="00564795"/>
    <w:rsid w:val="00565590"/>
    <w:rsid w:val="005704FB"/>
    <w:rsid w:val="00570A93"/>
    <w:rsid w:val="00572F2A"/>
    <w:rsid w:val="005803D3"/>
    <w:rsid w:val="00582827"/>
    <w:rsid w:val="00583572"/>
    <w:rsid w:val="0058494D"/>
    <w:rsid w:val="00591803"/>
    <w:rsid w:val="005931F9"/>
    <w:rsid w:val="00595741"/>
    <w:rsid w:val="005973BB"/>
    <w:rsid w:val="00597DE2"/>
    <w:rsid w:val="005A1E29"/>
    <w:rsid w:val="005A20A6"/>
    <w:rsid w:val="005A3522"/>
    <w:rsid w:val="005A5EA7"/>
    <w:rsid w:val="005A7184"/>
    <w:rsid w:val="005B307D"/>
    <w:rsid w:val="005B6209"/>
    <w:rsid w:val="005C0F44"/>
    <w:rsid w:val="005C3813"/>
    <w:rsid w:val="005C5CE5"/>
    <w:rsid w:val="005D1929"/>
    <w:rsid w:val="005D267C"/>
    <w:rsid w:val="005D36F0"/>
    <w:rsid w:val="005D68AA"/>
    <w:rsid w:val="005D77E8"/>
    <w:rsid w:val="005E3D94"/>
    <w:rsid w:val="005E5519"/>
    <w:rsid w:val="005F2220"/>
    <w:rsid w:val="006000C7"/>
    <w:rsid w:val="0060160F"/>
    <w:rsid w:val="00605437"/>
    <w:rsid w:val="006070D6"/>
    <w:rsid w:val="00607EA1"/>
    <w:rsid w:val="00611181"/>
    <w:rsid w:val="00612F18"/>
    <w:rsid w:val="00621186"/>
    <w:rsid w:val="00621F36"/>
    <w:rsid w:val="00623DF6"/>
    <w:rsid w:val="00627110"/>
    <w:rsid w:val="006342F7"/>
    <w:rsid w:val="00642901"/>
    <w:rsid w:val="00642DCD"/>
    <w:rsid w:val="00646284"/>
    <w:rsid w:val="006465A2"/>
    <w:rsid w:val="00647F51"/>
    <w:rsid w:val="00650D35"/>
    <w:rsid w:val="00655AD4"/>
    <w:rsid w:val="00656368"/>
    <w:rsid w:val="00657072"/>
    <w:rsid w:val="00661178"/>
    <w:rsid w:val="0066118E"/>
    <w:rsid w:val="006626F8"/>
    <w:rsid w:val="00662B50"/>
    <w:rsid w:val="00663D69"/>
    <w:rsid w:val="00663FB6"/>
    <w:rsid w:val="00664729"/>
    <w:rsid w:val="00670082"/>
    <w:rsid w:val="0067027B"/>
    <w:rsid w:val="006705CC"/>
    <w:rsid w:val="00670EA7"/>
    <w:rsid w:val="006730D1"/>
    <w:rsid w:val="00673CCE"/>
    <w:rsid w:val="00674659"/>
    <w:rsid w:val="00675955"/>
    <w:rsid w:val="00676DEE"/>
    <w:rsid w:val="00677FAF"/>
    <w:rsid w:val="00680042"/>
    <w:rsid w:val="0068027D"/>
    <w:rsid w:val="00680C66"/>
    <w:rsid w:val="0069403F"/>
    <w:rsid w:val="00695821"/>
    <w:rsid w:val="006963BF"/>
    <w:rsid w:val="006A0A56"/>
    <w:rsid w:val="006A0FFD"/>
    <w:rsid w:val="006A24E7"/>
    <w:rsid w:val="006A37BE"/>
    <w:rsid w:val="006A3AB7"/>
    <w:rsid w:val="006A5CEF"/>
    <w:rsid w:val="006B0F2A"/>
    <w:rsid w:val="006B29CF"/>
    <w:rsid w:val="006B3A5F"/>
    <w:rsid w:val="006B3BE0"/>
    <w:rsid w:val="006B74C9"/>
    <w:rsid w:val="006C1D10"/>
    <w:rsid w:val="006C2AD7"/>
    <w:rsid w:val="006C3F62"/>
    <w:rsid w:val="006C4EB5"/>
    <w:rsid w:val="006C6F34"/>
    <w:rsid w:val="006C6F8C"/>
    <w:rsid w:val="006D060B"/>
    <w:rsid w:val="006D1634"/>
    <w:rsid w:val="006D17FA"/>
    <w:rsid w:val="006D6C8D"/>
    <w:rsid w:val="006E03B6"/>
    <w:rsid w:val="006E12D8"/>
    <w:rsid w:val="006E4108"/>
    <w:rsid w:val="006E649F"/>
    <w:rsid w:val="006F296F"/>
    <w:rsid w:val="006F3A28"/>
    <w:rsid w:val="006F55F3"/>
    <w:rsid w:val="006F5837"/>
    <w:rsid w:val="006F6873"/>
    <w:rsid w:val="006F7F46"/>
    <w:rsid w:val="00701186"/>
    <w:rsid w:val="00702218"/>
    <w:rsid w:val="00704634"/>
    <w:rsid w:val="00705F5F"/>
    <w:rsid w:val="00706027"/>
    <w:rsid w:val="00706E70"/>
    <w:rsid w:val="00711D81"/>
    <w:rsid w:val="00712A6E"/>
    <w:rsid w:val="0071764A"/>
    <w:rsid w:val="00720D44"/>
    <w:rsid w:val="00722FD0"/>
    <w:rsid w:val="00723278"/>
    <w:rsid w:val="00725EFC"/>
    <w:rsid w:val="00727048"/>
    <w:rsid w:val="007337A0"/>
    <w:rsid w:val="00735E85"/>
    <w:rsid w:val="0074524D"/>
    <w:rsid w:val="00745C27"/>
    <w:rsid w:val="00747B62"/>
    <w:rsid w:val="00747F9D"/>
    <w:rsid w:val="007507B8"/>
    <w:rsid w:val="00757674"/>
    <w:rsid w:val="00761075"/>
    <w:rsid w:val="0076199B"/>
    <w:rsid w:val="00763999"/>
    <w:rsid w:val="0076453D"/>
    <w:rsid w:val="00766FDC"/>
    <w:rsid w:val="007674A5"/>
    <w:rsid w:val="00767D15"/>
    <w:rsid w:val="00767EB5"/>
    <w:rsid w:val="00773754"/>
    <w:rsid w:val="00773D73"/>
    <w:rsid w:val="00775CFB"/>
    <w:rsid w:val="00776184"/>
    <w:rsid w:val="007820AE"/>
    <w:rsid w:val="00785FEF"/>
    <w:rsid w:val="00787E2C"/>
    <w:rsid w:val="00792B4A"/>
    <w:rsid w:val="00794614"/>
    <w:rsid w:val="00795733"/>
    <w:rsid w:val="00796FAA"/>
    <w:rsid w:val="007A235C"/>
    <w:rsid w:val="007A2F8F"/>
    <w:rsid w:val="007A364C"/>
    <w:rsid w:val="007A7AC2"/>
    <w:rsid w:val="007B0E66"/>
    <w:rsid w:val="007B175F"/>
    <w:rsid w:val="007B57C6"/>
    <w:rsid w:val="007B64D4"/>
    <w:rsid w:val="007B7DD4"/>
    <w:rsid w:val="007C04C1"/>
    <w:rsid w:val="007C0F11"/>
    <w:rsid w:val="007C3CA9"/>
    <w:rsid w:val="007C5C31"/>
    <w:rsid w:val="007C6AE0"/>
    <w:rsid w:val="007D02D7"/>
    <w:rsid w:val="007D06F5"/>
    <w:rsid w:val="007D0BF8"/>
    <w:rsid w:val="007D26CA"/>
    <w:rsid w:val="007D58CD"/>
    <w:rsid w:val="007D7A1E"/>
    <w:rsid w:val="007E0034"/>
    <w:rsid w:val="007E2A5D"/>
    <w:rsid w:val="007E4D7B"/>
    <w:rsid w:val="007E4ED4"/>
    <w:rsid w:val="007E5DA9"/>
    <w:rsid w:val="007E7900"/>
    <w:rsid w:val="007E79EE"/>
    <w:rsid w:val="007E7CF4"/>
    <w:rsid w:val="007F332C"/>
    <w:rsid w:val="007F59E7"/>
    <w:rsid w:val="007F5D03"/>
    <w:rsid w:val="007F7A61"/>
    <w:rsid w:val="00802DC9"/>
    <w:rsid w:val="0080436E"/>
    <w:rsid w:val="00804AE5"/>
    <w:rsid w:val="00805828"/>
    <w:rsid w:val="008106FE"/>
    <w:rsid w:val="00814A34"/>
    <w:rsid w:val="00815360"/>
    <w:rsid w:val="008241B6"/>
    <w:rsid w:val="0082524C"/>
    <w:rsid w:val="0082741A"/>
    <w:rsid w:val="008279B3"/>
    <w:rsid w:val="00827DAE"/>
    <w:rsid w:val="00827FD5"/>
    <w:rsid w:val="00832BCD"/>
    <w:rsid w:val="00834752"/>
    <w:rsid w:val="00844866"/>
    <w:rsid w:val="00850685"/>
    <w:rsid w:val="0085173D"/>
    <w:rsid w:val="008519D5"/>
    <w:rsid w:val="00851F78"/>
    <w:rsid w:val="008536D4"/>
    <w:rsid w:val="00860093"/>
    <w:rsid w:val="0086398C"/>
    <w:rsid w:val="0087014B"/>
    <w:rsid w:val="00870D4F"/>
    <w:rsid w:val="00870F3E"/>
    <w:rsid w:val="00875F18"/>
    <w:rsid w:val="00883F56"/>
    <w:rsid w:val="00884A66"/>
    <w:rsid w:val="008858CD"/>
    <w:rsid w:val="00886098"/>
    <w:rsid w:val="0088615F"/>
    <w:rsid w:val="0089013D"/>
    <w:rsid w:val="0089450C"/>
    <w:rsid w:val="00896FF0"/>
    <w:rsid w:val="008A38AC"/>
    <w:rsid w:val="008A3AFC"/>
    <w:rsid w:val="008A4124"/>
    <w:rsid w:val="008A4CB3"/>
    <w:rsid w:val="008A5BF8"/>
    <w:rsid w:val="008B2AD0"/>
    <w:rsid w:val="008B60D2"/>
    <w:rsid w:val="008C1447"/>
    <w:rsid w:val="008C41C8"/>
    <w:rsid w:val="008C454C"/>
    <w:rsid w:val="008C4672"/>
    <w:rsid w:val="008C46DE"/>
    <w:rsid w:val="008E0275"/>
    <w:rsid w:val="008E2918"/>
    <w:rsid w:val="008E3B41"/>
    <w:rsid w:val="008E51EB"/>
    <w:rsid w:val="008E6034"/>
    <w:rsid w:val="008F25B6"/>
    <w:rsid w:val="008F3FC3"/>
    <w:rsid w:val="00903C01"/>
    <w:rsid w:val="00904773"/>
    <w:rsid w:val="0090728A"/>
    <w:rsid w:val="00910DFE"/>
    <w:rsid w:val="00913535"/>
    <w:rsid w:val="0091736E"/>
    <w:rsid w:val="0092126E"/>
    <w:rsid w:val="00924747"/>
    <w:rsid w:val="00926FAA"/>
    <w:rsid w:val="00927736"/>
    <w:rsid w:val="009301F8"/>
    <w:rsid w:val="00931E44"/>
    <w:rsid w:val="00933AA1"/>
    <w:rsid w:val="0093452D"/>
    <w:rsid w:val="00934B66"/>
    <w:rsid w:val="00934D4D"/>
    <w:rsid w:val="00936C84"/>
    <w:rsid w:val="00937528"/>
    <w:rsid w:val="00937BB3"/>
    <w:rsid w:val="00940152"/>
    <w:rsid w:val="00942D33"/>
    <w:rsid w:val="00943562"/>
    <w:rsid w:val="009439B2"/>
    <w:rsid w:val="0094437D"/>
    <w:rsid w:val="00945A9C"/>
    <w:rsid w:val="009477DB"/>
    <w:rsid w:val="00947B0E"/>
    <w:rsid w:val="009500A2"/>
    <w:rsid w:val="00954027"/>
    <w:rsid w:val="009563CD"/>
    <w:rsid w:val="00956657"/>
    <w:rsid w:val="00956C2E"/>
    <w:rsid w:val="009609F4"/>
    <w:rsid w:val="00960F86"/>
    <w:rsid w:val="00963171"/>
    <w:rsid w:val="00963C87"/>
    <w:rsid w:val="00973B23"/>
    <w:rsid w:val="00977ECA"/>
    <w:rsid w:val="00980744"/>
    <w:rsid w:val="00984E44"/>
    <w:rsid w:val="00987C47"/>
    <w:rsid w:val="00991929"/>
    <w:rsid w:val="00996D08"/>
    <w:rsid w:val="009A2729"/>
    <w:rsid w:val="009A3862"/>
    <w:rsid w:val="009A490C"/>
    <w:rsid w:val="009A5C5A"/>
    <w:rsid w:val="009A67BD"/>
    <w:rsid w:val="009A6E84"/>
    <w:rsid w:val="009B6802"/>
    <w:rsid w:val="009B6E7D"/>
    <w:rsid w:val="009B7078"/>
    <w:rsid w:val="009C0CE9"/>
    <w:rsid w:val="009C40B5"/>
    <w:rsid w:val="009C4B11"/>
    <w:rsid w:val="009C4FA6"/>
    <w:rsid w:val="009C54BD"/>
    <w:rsid w:val="009C5E29"/>
    <w:rsid w:val="009C753C"/>
    <w:rsid w:val="009D3EF9"/>
    <w:rsid w:val="009E31F9"/>
    <w:rsid w:val="009E4DB7"/>
    <w:rsid w:val="009E5B79"/>
    <w:rsid w:val="009F444C"/>
    <w:rsid w:val="009F7B1B"/>
    <w:rsid w:val="00A01DAF"/>
    <w:rsid w:val="00A02087"/>
    <w:rsid w:val="00A055CB"/>
    <w:rsid w:val="00A061E8"/>
    <w:rsid w:val="00A071E2"/>
    <w:rsid w:val="00A101E4"/>
    <w:rsid w:val="00A10B3D"/>
    <w:rsid w:val="00A122E9"/>
    <w:rsid w:val="00A1483C"/>
    <w:rsid w:val="00A243C2"/>
    <w:rsid w:val="00A25BDD"/>
    <w:rsid w:val="00A26609"/>
    <w:rsid w:val="00A27BB3"/>
    <w:rsid w:val="00A31CDA"/>
    <w:rsid w:val="00A32203"/>
    <w:rsid w:val="00A3381B"/>
    <w:rsid w:val="00A33D06"/>
    <w:rsid w:val="00A348C0"/>
    <w:rsid w:val="00A363F4"/>
    <w:rsid w:val="00A42363"/>
    <w:rsid w:val="00A45293"/>
    <w:rsid w:val="00A460F6"/>
    <w:rsid w:val="00A52889"/>
    <w:rsid w:val="00A53AE7"/>
    <w:rsid w:val="00A53CE8"/>
    <w:rsid w:val="00A5515B"/>
    <w:rsid w:val="00A554AD"/>
    <w:rsid w:val="00A56F40"/>
    <w:rsid w:val="00A57597"/>
    <w:rsid w:val="00A606B1"/>
    <w:rsid w:val="00A618FA"/>
    <w:rsid w:val="00A6473F"/>
    <w:rsid w:val="00A65DDC"/>
    <w:rsid w:val="00A673A8"/>
    <w:rsid w:val="00A6760D"/>
    <w:rsid w:val="00A70D26"/>
    <w:rsid w:val="00A7297B"/>
    <w:rsid w:val="00A729FD"/>
    <w:rsid w:val="00A81C09"/>
    <w:rsid w:val="00A825D0"/>
    <w:rsid w:val="00A82A30"/>
    <w:rsid w:val="00A831A9"/>
    <w:rsid w:val="00A84C4B"/>
    <w:rsid w:val="00A87002"/>
    <w:rsid w:val="00A930B1"/>
    <w:rsid w:val="00AA2DA8"/>
    <w:rsid w:val="00AA5838"/>
    <w:rsid w:val="00AA59BB"/>
    <w:rsid w:val="00AA6062"/>
    <w:rsid w:val="00AA6B2D"/>
    <w:rsid w:val="00AB0A6A"/>
    <w:rsid w:val="00AB0E22"/>
    <w:rsid w:val="00AB178F"/>
    <w:rsid w:val="00AB5918"/>
    <w:rsid w:val="00AB7B0C"/>
    <w:rsid w:val="00AD04AC"/>
    <w:rsid w:val="00AD17D4"/>
    <w:rsid w:val="00AD4B36"/>
    <w:rsid w:val="00AD5140"/>
    <w:rsid w:val="00AE54C5"/>
    <w:rsid w:val="00AE7E2E"/>
    <w:rsid w:val="00AF062D"/>
    <w:rsid w:val="00AF7684"/>
    <w:rsid w:val="00B0054F"/>
    <w:rsid w:val="00B11AB8"/>
    <w:rsid w:val="00B13AFA"/>
    <w:rsid w:val="00B15C4E"/>
    <w:rsid w:val="00B17512"/>
    <w:rsid w:val="00B20ADA"/>
    <w:rsid w:val="00B23699"/>
    <w:rsid w:val="00B24D50"/>
    <w:rsid w:val="00B251FD"/>
    <w:rsid w:val="00B331E6"/>
    <w:rsid w:val="00B337AF"/>
    <w:rsid w:val="00B35390"/>
    <w:rsid w:val="00B3639A"/>
    <w:rsid w:val="00B438A8"/>
    <w:rsid w:val="00B55E95"/>
    <w:rsid w:val="00B60323"/>
    <w:rsid w:val="00B60575"/>
    <w:rsid w:val="00B6639E"/>
    <w:rsid w:val="00B67A38"/>
    <w:rsid w:val="00B71F5D"/>
    <w:rsid w:val="00B72BBD"/>
    <w:rsid w:val="00B76713"/>
    <w:rsid w:val="00B81487"/>
    <w:rsid w:val="00B84292"/>
    <w:rsid w:val="00B849B2"/>
    <w:rsid w:val="00B8554E"/>
    <w:rsid w:val="00B85F1C"/>
    <w:rsid w:val="00B861CC"/>
    <w:rsid w:val="00B9094E"/>
    <w:rsid w:val="00B92FB1"/>
    <w:rsid w:val="00B94391"/>
    <w:rsid w:val="00B95D57"/>
    <w:rsid w:val="00BA026E"/>
    <w:rsid w:val="00BA2A6E"/>
    <w:rsid w:val="00BA2D11"/>
    <w:rsid w:val="00BA380F"/>
    <w:rsid w:val="00BA4A10"/>
    <w:rsid w:val="00BA521C"/>
    <w:rsid w:val="00BA550E"/>
    <w:rsid w:val="00BB14EA"/>
    <w:rsid w:val="00BB1630"/>
    <w:rsid w:val="00BB1B39"/>
    <w:rsid w:val="00BB1C6B"/>
    <w:rsid w:val="00BC0F8E"/>
    <w:rsid w:val="00BC27DE"/>
    <w:rsid w:val="00BC3B17"/>
    <w:rsid w:val="00BC421B"/>
    <w:rsid w:val="00BC4C46"/>
    <w:rsid w:val="00BD2CF7"/>
    <w:rsid w:val="00BD3399"/>
    <w:rsid w:val="00BD3F20"/>
    <w:rsid w:val="00BD4FC5"/>
    <w:rsid w:val="00BD554A"/>
    <w:rsid w:val="00BD69DE"/>
    <w:rsid w:val="00BE094B"/>
    <w:rsid w:val="00BE33D2"/>
    <w:rsid w:val="00BF15C5"/>
    <w:rsid w:val="00BF185E"/>
    <w:rsid w:val="00BF2FAD"/>
    <w:rsid w:val="00BF66B5"/>
    <w:rsid w:val="00BF6A2B"/>
    <w:rsid w:val="00C03196"/>
    <w:rsid w:val="00C03AD9"/>
    <w:rsid w:val="00C05702"/>
    <w:rsid w:val="00C057B7"/>
    <w:rsid w:val="00C1023C"/>
    <w:rsid w:val="00C167BD"/>
    <w:rsid w:val="00C2042C"/>
    <w:rsid w:val="00C20518"/>
    <w:rsid w:val="00C22394"/>
    <w:rsid w:val="00C22D93"/>
    <w:rsid w:val="00C253F2"/>
    <w:rsid w:val="00C26DFB"/>
    <w:rsid w:val="00C27606"/>
    <w:rsid w:val="00C27A3C"/>
    <w:rsid w:val="00C3020A"/>
    <w:rsid w:val="00C30921"/>
    <w:rsid w:val="00C31259"/>
    <w:rsid w:val="00C31867"/>
    <w:rsid w:val="00C34BB3"/>
    <w:rsid w:val="00C377CC"/>
    <w:rsid w:val="00C422F0"/>
    <w:rsid w:val="00C42CDA"/>
    <w:rsid w:val="00C43515"/>
    <w:rsid w:val="00C445A7"/>
    <w:rsid w:val="00C526F6"/>
    <w:rsid w:val="00C55597"/>
    <w:rsid w:val="00C6059C"/>
    <w:rsid w:val="00C60AD6"/>
    <w:rsid w:val="00C62408"/>
    <w:rsid w:val="00C62B21"/>
    <w:rsid w:val="00C63A59"/>
    <w:rsid w:val="00C64161"/>
    <w:rsid w:val="00C65206"/>
    <w:rsid w:val="00C6642B"/>
    <w:rsid w:val="00C70F87"/>
    <w:rsid w:val="00C72229"/>
    <w:rsid w:val="00C74CFB"/>
    <w:rsid w:val="00C77366"/>
    <w:rsid w:val="00C80B9F"/>
    <w:rsid w:val="00C8194C"/>
    <w:rsid w:val="00C82CC1"/>
    <w:rsid w:val="00C83B8B"/>
    <w:rsid w:val="00C850A8"/>
    <w:rsid w:val="00C86AF6"/>
    <w:rsid w:val="00C8734B"/>
    <w:rsid w:val="00C92213"/>
    <w:rsid w:val="00C92CD3"/>
    <w:rsid w:val="00C93283"/>
    <w:rsid w:val="00CA044B"/>
    <w:rsid w:val="00CA2A8F"/>
    <w:rsid w:val="00CA5E85"/>
    <w:rsid w:val="00CA7456"/>
    <w:rsid w:val="00CA7E34"/>
    <w:rsid w:val="00CA7F88"/>
    <w:rsid w:val="00CB0E01"/>
    <w:rsid w:val="00CB135A"/>
    <w:rsid w:val="00CB4F1B"/>
    <w:rsid w:val="00CB627C"/>
    <w:rsid w:val="00CB69D0"/>
    <w:rsid w:val="00CC3536"/>
    <w:rsid w:val="00CC3BB8"/>
    <w:rsid w:val="00CC5C79"/>
    <w:rsid w:val="00CD3DAF"/>
    <w:rsid w:val="00CD4802"/>
    <w:rsid w:val="00CD7BA1"/>
    <w:rsid w:val="00CE101E"/>
    <w:rsid w:val="00CE274D"/>
    <w:rsid w:val="00CE39D3"/>
    <w:rsid w:val="00CE460A"/>
    <w:rsid w:val="00CE473C"/>
    <w:rsid w:val="00CE47C9"/>
    <w:rsid w:val="00CE4D54"/>
    <w:rsid w:val="00CE7102"/>
    <w:rsid w:val="00CF0919"/>
    <w:rsid w:val="00CF31A3"/>
    <w:rsid w:val="00CF446F"/>
    <w:rsid w:val="00CF44FB"/>
    <w:rsid w:val="00CF499C"/>
    <w:rsid w:val="00CF6945"/>
    <w:rsid w:val="00CF6DEB"/>
    <w:rsid w:val="00D01BA1"/>
    <w:rsid w:val="00D10D64"/>
    <w:rsid w:val="00D124DE"/>
    <w:rsid w:val="00D16A82"/>
    <w:rsid w:val="00D1736C"/>
    <w:rsid w:val="00D23004"/>
    <w:rsid w:val="00D27552"/>
    <w:rsid w:val="00D278F1"/>
    <w:rsid w:val="00D3397B"/>
    <w:rsid w:val="00D339E0"/>
    <w:rsid w:val="00D41E40"/>
    <w:rsid w:val="00D43123"/>
    <w:rsid w:val="00D44064"/>
    <w:rsid w:val="00D46426"/>
    <w:rsid w:val="00D46473"/>
    <w:rsid w:val="00D466BA"/>
    <w:rsid w:val="00D50460"/>
    <w:rsid w:val="00D52232"/>
    <w:rsid w:val="00D53B9D"/>
    <w:rsid w:val="00D56335"/>
    <w:rsid w:val="00D564EB"/>
    <w:rsid w:val="00D56C87"/>
    <w:rsid w:val="00D61087"/>
    <w:rsid w:val="00D64605"/>
    <w:rsid w:val="00D647CD"/>
    <w:rsid w:val="00D64D62"/>
    <w:rsid w:val="00D661FE"/>
    <w:rsid w:val="00D668A6"/>
    <w:rsid w:val="00D67826"/>
    <w:rsid w:val="00D67EBF"/>
    <w:rsid w:val="00D72B0A"/>
    <w:rsid w:val="00D75FB7"/>
    <w:rsid w:val="00D80132"/>
    <w:rsid w:val="00D827FE"/>
    <w:rsid w:val="00D917AF"/>
    <w:rsid w:val="00D9334D"/>
    <w:rsid w:val="00D9400A"/>
    <w:rsid w:val="00D94B64"/>
    <w:rsid w:val="00D966EC"/>
    <w:rsid w:val="00DA08CD"/>
    <w:rsid w:val="00DA30C8"/>
    <w:rsid w:val="00DA3324"/>
    <w:rsid w:val="00DA5FAB"/>
    <w:rsid w:val="00DB05E0"/>
    <w:rsid w:val="00DB0827"/>
    <w:rsid w:val="00DC0710"/>
    <w:rsid w:val="00DC0C97"/>
    <w:rsid w:val="00DC144E"/>
    <w:rsid w:val="00DC21E9"/>
    <w:rsid w:val="00DC514D"/>
    <w:rsid w:val="00DC70BA"/>
    <w:rsid w:val="00DD2A64"/>
    <w:rsid w:val="00DD2B44"/>
    <w:rsid w:val="00DD59A5"/>
    <w:rsid w:val="00DD59D1"/>
    <w:rsid w:val="00DD6B0E"/>
    <w:rsid w:val="00DE05DF"/>
    <w:rsid w:val="00DE0D4C"/>
    <w:rsid w:val="00DF07D3"/>
    <w:rsid w:val="00DF2D33"/>
    <w:rsid w:val="00DF71B9"/>
    <w:rsid w:val="00DF75EC"/>
    <w:rsid w:val="00DF7C34"/>
    <w:rsid w:val="00DF7D2A"/>
    <w:rsid w:val="00E00A8A"/>
    <w:rsid w:val="00E026DF"/>
    <w:rsid w:val="00E060DD"/>
    <w:rsid w:val="00E06390"/>
    <w:rsid w:val="00E11D36"/>
    <w:rsid w:val="00E14613"/>
    <w:rsid w:val="00E151BD"/>
    <w:rsid w:val="00E1655F"/>
    <w:rsid w:val="00E167A9"/>
    <w:rsid w:val="00E20006"/>
    <w:rsid w:val="00E22265"/>
    <w:rsid w:val="00E22A7E"/>
    <w:rsid w:val="00E24D6D"/>
    <w:rsid w:val="00E26EC0"/>
    <w:rsid w:val="00E30E0F"/>
    <w:rsid w:val="00E31389"/>
    <w:rsid w:val="00E348C9"/>
    <w:rsid w:val="00E44079"/>
    <w:rsid w:val="00E45A6D"/>
    <w:rsid w:val="00E5160F"/>
    <w:rsid w:val="00E519B3"/>
    <w:rsid w:val="00E51B05"/>
    <w:rsid w:val="00E5381F"/>
    <w:rsid w:val="00E54152"/>
    <w:rsid w:val="00E6186A"/>
    <w:rsid w:val="00E6246C"/>
    <w:rsid w:val="00E65518"/>
    <w:rsid w:val="00E66D53"/>
    <w:rsid w:val="00E71D53"/>
    <w:rsid w:val="00E75075"/>
    <w:rsid w:val="00E75497"/>
    <w:rsid w:val="00E77049"/>
    <w:rsid w:val="00E823F5"/>
    <w:rsid w:val="00E84063"/>
    <w:rsid w:val="00E843E2"/>
    <w:rsid w:val="00E844E2"/>
    <w:rsid w:val="00E860F7"/>
    <w:rsid w:val="00E922AE"/>
    <w:rsid w:val="00E95575"/>
    <w:rsid w:val="00EA050D"/>
    <w:rsid w:val="00EA0966"/>
    <w:rsid w:val="00EA473B"/>
    <w:rsid w:val="00EA47B0"/>
    <w:rsid w:val="00EA49B9"/>
    <w:rsid w:val="00EA546D"/>
    <w:rsid w:val="00EA5868"/>
    <w:rsid w:val="00EA688E"/>
    <w:rsid w:val="00EA7362"/>
    <w:rsid w:val="00EA7C55"/>
    <w:rsid w:val="00EB46D2"/>
    <w:rsid w:val="00EB6D5B"/>
    <w:rsid w:val="00EC16C9"/>
    <w:rsid w:val="00EC2DE1"/>
    <w:rsid w:val="00EC4EE9"/>
    <w:rsid w:val="00EC4F2C"/>
    <w:rsid w:val="00EC75FE"/>
    <w:rsid w:val="00ED192B"/>
    <w:rsid w:val="00ED33C4"/>
    <w:rsid w:val="00ED3BE2"/>
    <w:rsid w:val="00ED455E"/>
    <w:rsid w:val="00ED4A6C"/>
    <w:rsid w:val="00ED54FC"/>
    <w:rsid w:val="00EE258E"/>
    <w:rsid w:val="00EE36D9"/>
    <w:rsid w:val="00EE3826"/>
    <w:rsid w:val="00EE4E69"/>
    <w:rsid w:val="00EE61B9"/>
    <w:rsid w:val="00EF2FF4"/>
    <w:rsid w:val="00EF4C37"/>
    <w:rsid w:val="00EF4E64"/>
    <w:rsid w:val="00EF641B"/>
    <w:rsid w:val="00F015CC"/>
    <w:rsid w:val="00F022F8"/>
    <w:rsid w:val="00F038F2"/>
    <w:rsid w:val="00F03B6C"/>
    <w:rsid w:val="00F048AB"/>
    <w:rsid w:val="00F051D6"/>
    <w:rsid w:val="00F0596B"/>
    <w:rsid w:val="00F10B03"/>
    <w:rsid w:val="00F10F58"/>
    <w:rsid w:val="00F13202"/>
    <w:rsid w:val="00F13A6D"/>
    <w:rsid w:val="00F13D08"/>
    <w:rsid w:val="00F16145"/>
    <w:rsid w:val="00F162F2"/>
    <w:rsid w:val="00F20C0B"/>
    <w:rsid w:val="00F2632C"/>
    <w:rsid w:val="00F32092"/>
    <w:rsid w:val="00F34646"/>
    <w:rsid w:val="00F35F16"/>
    <w:rsid w:val="00F41038"/>
    <w:rsid w:val="00F423A3"/>
    <w:rsid w:val="00F476F4"/>
    <w:rsid w:val="00F53A30"/>
    <w:rsid w:val="00F560D7"/>
    <w:rsid w:val="00F56A62"/>
    <w:rsid w:val="00F60595"/>
    <w:rsid w:val="00F61501"/>
    <w:rsid w:val="00F66A5D"/>
    <w:rsid w:val="00F7022C"/>
    <w:rsid w:val="00F70B2A"/>
    <w:rsid w:val="00F71BF5"/>
    <w:rsid w:val="00F76F25"/>
    <w:rsid w:val="00F77610"/>
    <w:rsid w:val="00F82FC8"/>
    <w:rsid w:val="00F84395"/>
    <w:rsid w:val="00F9105A"/>
    <w:rsid w:val="00F9133A"/>
    <w:rsid w:val="00F949E5"/>
    <w:rsid w:val="00F97A9B"/>
    <w:rsid w:val="00FA15E4"/>
    <w:rsid w:val="00FA279A"/>
    <w:rsid w:val="00FA59A2"/>
    <w:rsid w:val="00FA64D7"/>
    <w:rsid w:val="00FA6C9B"/>
    <w:rsid w:val="00FA7C96"/>
    <w:rsid w:val="00FB06A4"/>
    <w:rsid w:val="00FB09C3"/>
    <w:rsid w:val="00FB3975"/>
    <w:rsid w:val="00FB5422"/>
    <w:rsid w:val="00FB5931"/>
    <w:rsid w:val="00FC0142"/>
    <w:rsid w:val="00FC0EA7"/>
    <w:rsid w:val="00FC12AB"/>
    <w:rsid w:val="00FC1B65"/>
    <w:rsid w:val="00FC3590"/>
    <w:rsid w:val="00FC3A7B"/>
    <w:rsid w:val="00FC5167"/>
    <w:rsid w:val="00FC5C72"/>
    <w:rsid w:val="00FD27F9"/>
    <w:rsid w:val="00FD54C6"/>
    <w:rsid w:val="00FD72DB"/>
    <w:rsid w:val="00FE3889"/>
    <w:rsid w:val="00FE3E0D"/>
    <w:rsid w:val="00FF2E42"/>
    <w:rsid w:val="00FF426B"/>
    <w:rsid w:val="00FF5BE2"/>
    <w:rsid w:val="00FF77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B9EA8"/>
  <w15:docId w15:val="{D49A26FB-2E63-4B13-9522-2B91ABDBE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9582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37667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9582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95821"/>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695821"/>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unhideWhenUsed/>
    <w:qFormat/>
    <w:rsid w:val="00695821"/>
    <w:pPr>
      <w:spacing w:line="240" w:lineRule="auto"/>
    </w:pPr>
    <w:rPr>
      <w:b/>
      <w:bCs/>
      <w:color w:val="4F81BD" w:themeColor="accent1"/>
      <w:sz w:val="18"/>
      <w:szCs w:val="18"/>
    </w:rPr>
  </w:style>
  <w:style w:type="paragraph" w:styleId="BodyText">
    <w:name w:val="Body Text"/>
    <w:basedOn w:val="Normal"/>
    <w:link w:val="BodyTextChar"/>
    <w:rsid w:val="00695821"/>
    <w:pPr>
      <w:spacing w:after="120" w:line="240" w:lineRule="auto"/>
    </w:pPr>
    <w:rPr>
      <w:rFonts w:ascii="Times New Roman" w:eastAsia="Times New Roman" w:hAnsi="Times New Roman" w:cs="Times New Roman"/>
      <w:sz w:val="24"/>
      <w:szCs w:val="20"/>
      <w:lang w:val="hr-HR"/>
    </w:rPr>
  </w:style>
  <w:style w:type="character" w:customStyle="1" w:styleId="BodyTextChar">
    <w:name w:val="Body Text Char"/>
    <w:basedOn w:val="DefaultParagraphFont"/>
    <w:link w:val="BodyText"/>
    <w:rsid w:val="00695821"/>
    <w:rPr>
      <w:rFonts w:ascii="Times New Roman" w:eastAsia="Times New Roman" w:hAnsi="Times New Roman" w:cs="Times New Roman"/>
      <w:sz w:val="24"/>
      <w:szCs w:val="20"/>
      <w:lang w:val="hr-HR"/>
    </w:rPr>
  </w:style>
  <w:style w:type="character" w:styleId="Emphasis">
    <w:name w:val="Emphasis"/>
    <w:qFormat/>
    <w:rsid w:val="00695821"/>
    <w:rPr>
      <w:i/>
      <w:iCs/>
    </w:rPr>
  </w:style>
  <w:style w:type="paragraph" w:styleId="BalloonText">
    <w:name w:val="Balloon Text"/>
    <w:basedOn w:val="Normal"/>
    <w:link w:val="BalloonTextChar"/>
    <w:uiPriority w:val="99"/>
    <w:semiHidden/>
    <w:unhideWhenUsed/>
    <w:rsid w:val="006958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821"/>
    <w:rPr>
      <w:rFonts w:ascii="Tahoma" w:hAnsi="Tahoma" w:cs="Tahoma"/>
      <w:sz w:val="16"/>
      <w:szCs w:val="16"/>
    </w:rPr>
  </w:style>
  <w:style w:type="character" w:customStyle="1" w:styleId="Heading2Char">
    <w:name w:val="Heading 2 Char"/>
    <w:basedOn w:val="DefaultParagraphFont"/>
    <w:link w:val="Heading2"/>
    <w:uiPriority w:val="9"/>
    <w:rsid w:val="0037667D"/>
    <w:rPr>
      <w:rFonts w:asciiTheme="majorHAnsi" w:eastAsiaTheme="majorEastAsia" w:hAnsiTheme="majorHAnsi" w:cstheme="majorBidi"/>
      <w:b/>
      <w:bCs/>
      <w:color w:val="4F81BD" w:themeColor="accent1"/>
      <w:sz w:val="26"/>
      <w:szCs w:val="26"/>
    </w:rPr>
  </w:style>
  <w:style w:type="paragraph" w:styleId="TOCHeading">
    <w:name w:val="TOC Heading"/>
    <w:basedOn w:val="Heading1"/>
    <w:next w:val="Normal"/>
    <w:uiPriority w:val="39"/>
    <w:semiHidden/>
    <w:unhideWhenUsed/>
    <w:qFormat/>
    <w:rsid w:val="00C93283"/>
    <w:pPr>
      <w:outlineLvl w:val="9"/>
    </w:pPr>
    <w:rPr>
      <w:lang w:val="en-US" w:eastAsia="ja-JP"/>
    </w:rPr>
  </w:style>
  <w:style w:type="paragraph" w:styleId="TOC1">
    <w:name w:val="toc 1"/>
    <w:basedOn w:val="Normal"/>
    <w:next w:val="Normal"/>
    <w:autoRedefine/>
    <w:uiPriority w:val="39"/>
    <w:unhideWhenUsed/>
    <w:rsid w:val="00F61501"/>
    <w:pPr>
      <w:tabs>
        <w:tab w:val="left" w:pos="440"/>
        <w:tab w:val="right" w:leader="dot" w:pos="9062"/>
      </w:tabs>
      <w:spacing w:after="100"/>
      <w:jc w:val="both"/>
    </w:pPr>
  </w:style>
  <w:style w:type="paragraph" w:styleId="TOC2">
    <w:name w:val="toc 2"/>
    <w:basedOn w:val="Normal"/>
    <w:next w:val="Normal"/>
    <w:autoRedefine/>
    <w:uiPriority w:val="39"/>
    <w:unhideWhenUsed/>
    <w:rsid w:val="00C93283"/>
    <w:pPr>
      <w:spacing w:after="100"/>
      <w:ind w:left="220"/>
    </w:pPr>
  </w:style>
  <w:style w:type="character" w:styleId="Hyperlink">
    <w:name w:val="Hyperlink"/>
    <w:basedOn w:val="DefaultParagraphFont"/>
    <w:uiPriority w:val="99"/>
    <w:unhideWhenUsed/>
    <w:rsid w:val="00C93283"/>
    <w:rPr>
      <w:color w:val="0000FF" w:themeColor="hyperlink"/>
      <w:u w:val="single"/>
    </w:rPr>
  </w:style>
  <w:style w:type="paragraph" w:styleId="Header">
    <w:name w:val="header"/>
    <w:basedOn w:val="Normal"/>
    <w:link w:val="HeaderChar"/>
    <w:uiPriority w:val="99"/>
    <w:unhideWhenUsed/>
    <w:rsid w:val="007E7900"/>
    <w:pPr>
      <w:tabs>
        <w:tab w:val="center" w:pos="4536"/>
        <w:tab w:val="right" w:pos="9072"/>
      </w:tabs>
      <w:spacing w:after="0" w:line="240" w:lineRule="auto"/>
    </w:pPr>
  </w:style>
  <w:style w:type="character" w:customStyle="1" w:styleId="HeaderChar">
    <w:name w:val="Header Char"/>
    <w:basedOn w:val="DefaultParagraphFont"/>
    <w:link w:val="Header"/>
    <w:uiPriority w:val="99"/>
    <w:rsid w:val="007E7900"/>
  </w:style>
  <w:style w:type="paragraph" w:styleId="Footer">
    <w:name w:val="footer"/>
    <w:basedOn w:val="Normal"/>
    <w:link w:val="FooterChar"/>
    <w:uiPriority w:val="99"/>
    <w:unhideWhenUsed/>
    <w:rsid w:val="007E7900"/>
    <w:pPr>
      <w:tabs>
        <w:tab w:val="center" w:pos="4536"/>
        <w:tab w:val="right" w:pos="9072"/>
      </w:tabs>
      <w:spacing w:after="0" w:line="240" w:lineRule="auto"/>
    </w:pPr>
  </w:style>
  <w:style w:type="character" w:customStyle="1" w:styleId="FooterChar">
    <w:name w:val="Footer Char"/>
    <w:basedOn w:val="DefaultParagraphFont"/>
    <w:link w:val="Footer"/>
    <w:uiPriority w:val="99"/>
    <w:rsid w:val="007E7900"/>
  </w:style>
  <w:style w:type="paragraph" w:styleId="TableofFigures">
    <w:name w:val="table of figures"/>
    <w:basedOn w:val="Normal"/>
    <w:next w:val="Normal"/>
    <w:uiPriority w:val="99"/>
    <w:unhideWhenUsed/>
    <w:rsid w:val="00680042"/>
    <w:pPr>
      <w:spacing w:after="0"/>
    </w:pPr>
  </w:style>
  <w:style w:type="paragraph" w:styleId="ListParagraph">
    <w:name w:val="List Paragraph"/>
    <w:basedOn w:val="Normal"/>
    <w:qFormat/>
    <w:rsid w:val="007B7DD4"/>
    <w:pPr>
      <w:ind w:left="720"/>
      <w:contextualSpacing/>
    </w:pPr>
  </w:style>
  <w:style w:type="paragraph" w:styleId="FootnoteText">
    <w:name w:val="footnote text"/>
    <w:aliases w:val="Tekst fusnote Char2 Char,Tekst fusnote Char1 Char1 Char,Tekst fusnote Char Char Char1 Char,Tekst fusnote Char1 Char Char Char Char,Tekst fusnote Char Char Char Char Char Char,Tekst fusnote Char Char1 Char Char,fn,Fußnote"/>
    <w:basedOn w:val="Normal"/>
    <w:link w:val="FootnoteTextChar"/>
    <w:uiPriority w:val="99"/>
    <w:rsid w:val="00E06390"/>
    <w:pPr>
      <w:spacing w:after="0" w:line="240" w:lineRule="auto"/>
    </w:pPr>
    <w:rPr>
      <w:rFonts w:ascii="Times New Roman" w:eastAsia="Times New Roman" w:hAnsi="Times New Roman" w:cs="Times New Roman"/>
      <w:sz w:val="20"/>
      <w:szCs w:val="20"/>
      <w:lang w:val="hr-HR" w:eastAsia="hr-HR"/>
    </w:rPr>
  </w:style>
  <w:style w:type="character" w:customStyle="1" w:styleId="FootnoteTextChar">
    <w:name w:val="Footnote Text Char"/>
    <w:aliases w:val="Tekst fusnote Char2 Char Char,Tekst fusnote Char1 Char1 Char Char,Tekst fusnote Char Char Char1 Char Char,Tekst fusnote Char1 Char Char Char Char Char,Tekst fusnote Char Char Char Char Char Char Char,fn Char,Fußnote Char"/>
    <w:basedOn w:val="DefaultParagraphFont"/>
    <w:link w:val="FootnoteText"/>
    <w:uiPriority w:val="99"/>
    <w:rsid w:val="00E06390"/>
    <w:rPr>
      <w:rFonts w:ascii="Times New Roman" w:eastAsia="Times New Roman" w:hAnsi="Times New Roman" w:cs="Times New Roman"/>
      <w:sz w:val="20"/>
      <w:szCs w:val="20"/>
      <w:lang w:val="hr-HR" w:eastAsia="hr-HR"/>
    </w:rPr>
  </w:style>
  <w:style w:type="character" w:styleId="FootnoteReference">
    <w:name w:val="footnote reference"/>
    <w:aliases w:val="BVI fnr,16 Point,Superscript 6 Point"/>
    <w:basedOn w:val="DefaultParagraphFont"/>
    <w:uiPriority w:val="99"/>
    <w:rsid w:val="00E06390"/>
    <w:rPr>
      <w:vertAlign w:val="superscript"/>
    </w:rPr>
  </w:style>
  <w:style w:type="paragraph" w:customStyle="1" w:styleId="Default">
    <w:name w:val="Default"/>
    <w:rsid w:val="00BB1B39"/>
    <w:pPr>
      <w:autoSpaceDE w:val="0"/>
      <w:autoSpaceDN w:val="0"/>
      <w:adjustRightInd w:val="0"/>
      <w:spacing w:after="0" w:line="240" w:lineRule="auto"/>
    </w:pPr>
    <w:rPr>
      <w:rFonts w:ascii="Times New Roman" w:hAnsi="Times New Roman" w:cs="Times New Roman"/>
      <w:color w:val="000000"/>
      <w:sz w:val="24"/>
      <w:szCs w:val="24"/>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25065">
      <w:bodyDiv w:val="1"/>
      <w:marLeft w:val="0"/>
      <w:marRight w:val="0"/>
      <w:marTop w:val="0"/>
      <w:marBottom w:val="0"/>
      <w:divBdr>
        <w:top w:val="none" w:sz="0" w:space="0" w:color="auto"/>
        <w:left w:val="none" w:sz="0" w:space="0" w:color="auto"/>
        <w:bottom w:val="none" w:sz="0" w:space="0" w:color="auto"/>
        <w:right w:val="none" w:sz="0" w:space="0" w:color="auto"/>
      </w:divBdr>
    </w:div>
    <w:div w:id="258753084">
      <w:bodyDiv w:val="1"/>
      <w:marLeft w:val="0"/>
      <w:marRight w:val="0"/>
      <w:marTop w:val="0"/>
      <w:marBottom w:val="0"/>
      <w:divBdr>
        <w:top w:val="none" w:sz="0" w:space="0" w:color="auto"/>
        <w:left w:val="none" w:sz="0" w:space="0" w:color="auto"/>
        <w:bottom w:val="none" w:sz="0" w:space="0" w:color="auto"/>
        <w:right w:val="none" w:sz="0" w:space="0" w:color="auto"/>
      </w:divBdr>
    </w:div>
    <w:div w:id="449478543">
      <w:bodyDiv w:val="1"/>
      <w:marLeft w:val="0"/>
      <w:marRight w:val="0"/>
      <w:marTop w:val="0"/>
      <w:marBottom w:val="0"/>
      <w:divBdr>
        <w:top w:val="none" w:sz="0" w:space="0" w:color="auto"/>
        <w:left w:val="none" w:sz="0" w:space="0" w:color="auto"/>
        <w:bottom w:val="none" w:sz="0" w:space="0" w:color="auto"/>
        <w:right w:val="none" w:sz="0" w:space="0" w:color="auto"/>
      </w:divBdr>
    </w:div>
    <w:div w:id="1001618430">
      <w:bodyDiv w:val="1"/>
      <w:marLeft w:val="0"/>
      <w:marRight w:val="0"/>
      <w:marTop w:val="0"/>
      <w:marBottom w:val="0"/>
      <w:divBdr>
        <w:top w:val="none" w:sz="0" w:space="0" w:color="auto"/>
        <w:left w:val="none" w:sz="0" w:space="0" w:color="auto"/>
        <w:bottom w:val="none" w:sz="0" w:space="0" w:color="auto"/>
        <w:right w:val="none" w:sz="0" w:space="0" w:color="auto"/>
      </w:divBdr>
    </w:div>
    <w:div w:id="1403917444">
      <w:bodyDiv w:val="1"/>
      <w:marLeft w:val="0"/>
      <w:marRight w:val="0"/>
      <w:marTop w:val="0"/>
      <w:marBottom w:val="0"/>
      <w:divBdr>
        <w:top w:val="none" w:sz="0" w:space="0" w:color="auto"/>
        <w:left w:val="none" w:sz="0" w:space="0" w:color="auto"/>
        <w:bottom w:val="none" w:sz="0" w:space="0" w:color="auto"/>
        <w:right w:val="none" w:sz="0" w:space="0" w:color="auto"/>
      </w:divBdr>
    </w:div>
    <w:div w:id="1846633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theme" Target="theme/theme1.xml"/><Relationship Id="rId10" Type="http://schemas.openxmlformats.org/officeDocument/2006/relationships/image" Target="media/image2.emf"/><Relationship Id="rId19"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CD559A-66B4-4CA4-8C8E-5915E1B4C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627</TotalTime>
  <Pages>33</Pages>
  <Words>9895</Words>
  <Characters>56408</Characters>
  <Application>Microsoft Office Word</Application>
  <DocSecurity>0</DocSecurity>
  <Lines>470</Lines>
  <Paragraphs>132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dc:creator>
  <cp:lastModifiedBy>Gabrijela Babić</cp:lastModifiedBy>
  <cp:revision>388</cp:revision>
  <cp:lastPrinted>2020-10-29T03:28:00Z</cp:lastPrinted>
  <dcterms:created xsi:type="dcterms:W3CDTF">2021-10-28T06:07:00Z</dcterms:created>
  <dcterms:modified xsi:type="dcterms:W3CDTF">2023-11-09T07:55:00Z</dcterms:modified>
</cp:coreProperties>
</file>