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4FD3" w:rsidRDefault="003B50E1">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PLANA HRVATSKE AGENCIJE ZA OSIGURANJE DEPOZITA ZA  2024. GODINU I PROJEKCIJA PLANA ZA 2025. I 2026. GODINU</w:t>
      </w:r>
      <w:r>
        <w:rPr>
          <w:rFonts w:ascii="Calibri" w:hAnsi="Calibri" w:cs="Calibri"/>
          <w:b/>
          <w:sz w:val="28"/>
        </w:rPr>
        <w:br w:type="page"/>
      </w:r>
    </w:p>
    <w:p w:rsidR="003C4FD3" w:rsidRDefault="003B50E1">
      <w:pPr>
        <w:spacing w:line="240" w:lineRule="auto"/>
      </w:pPr>
      <w:r>
        <w:rPr>
          <w:rFonts w:ascii="Calibri" w:hAnsi="Calibri" w:cs="Calibri"/>
          <w:b/>
          <w:u w:val="single"/>
        </w:rPr>
        <w:lastRenderedPageBreak/>
        <w:br/>
        <w:t>UVOD</w:t>
      </w:r>
    </w:p>
    <w:p w:rsidR="003C4FD3" w:rsidRDefault="003B50E1">
      <w:pPr>
        <w:spacing w:line="240" w:lineRule="auto"/>
        <w:jc w:val="both"/>
      </w:pPr>
      <w:r>
        <w:rPr>
          <w:rFonts w:ascii="Calibri" w:hAnsi="Calibri" w:cs="Calibri"/>
        </w:rPr>
        <w:t>HRVATSKA AGENCIJA ZA OSIGURANJE DEPOZITA (dalje u tekstu: Agencija) osnovana je 1994. godine kao neprofitna specijalizirana financijska institucija, temeljem Zakona o Državnoj agenciji za osiguranje štednih uloga i sanaciju banaka (NN 44/94, 79/98, 19/99, 35/00, 60/04, 177/04, 12/12, 15/13), koji od 01. siječnja 2021. godine prestaje važiti te je na snazi Zakon o sustavu osiguranja depozita (NN 146/20) (dalje u tekstu: Zakon).</w:t>
      </w:r>
    </w:p>
    <w:p w:rsidR="003C4FD3" w:rsidRDefault="003B50E1">
      <w:pPr>
        <w:spacing w:line="240" w:lineRule="auto"/>
        <w:jc w:val="both"/>
      </w:pPr>
      <w:r>
        <w:rPr>
          <w:rFonts w:ascii="Calibri" w:hAnsi="Calibri" w:cs="Calibri"/>
        </w:rPr>
        <w:t>Agencija je specijalizirana financijska institucija, koja osigurava depozite u kreditnim institucijama, a provodila je i postupke sanacije banaka do prestanka važenja Zakona o sanaciji i restrukturiranju banaka (NN 52/00) te je sanacijsko tijelo ovlašteno za izvršavanje ovlasti za sanaciju i primjenu sanacijskih instrumenata u Republici Hrvatskoj, u skladu s podjelom ovlasti određenim odredbama Zakona o sanaciji kreditnih institucija i investicijskih društava (NN 146/20, 21/22).</w:t>
      </w:r>
    </w:p>
    <w:p w:rsidR="003C4FD3" w:rsidRDefault="003B50E1">
      <w:pPr>
        <w:spacing w:line="240" w:lineRule="auto"/>
        <w:jc w:val="both"/>
      </w:pPr>
      <w:r>
        <w:rPr>
          <w:rFonts w:ascii="Calibri" w:hAnsi="Calibri" w:cs="Calibri"/>
        </w:rPr>
        <w:t>Utvrđene zadatke Agencija obavlja sukladno navedenom Zakonu, drugim zakonima i Statutu Agencije. Sukladno Zakonu o sustavu osiguranju depozita, Zakonu o sanaciji kreditnih institucija i investicijskih društava te Zakonu o prisilnoj likvidaciji kreditnih institucija osnovne djelatnosti Agencije su:</w:t>
      </w:r>
    </w:p>
    <w:p w:rsidR="003C4FD3" w:rsidRDefault="003B50E1">
      <w:pPr>
        <w:numPr>
          <w:ilvl w:val="0"/>
          <w:numId w:val="1"/>
        </w:numPr>
        <w:spacing w:line="240" w:lineRule="auto"/>
        <w:jc w:val="both"/>
      </w:pPr>
      <w:r>
        <w:rPr>
          <w:rFonts w:ascii="Calibri" w:hAnsi="Calibri" w:cs="Calibri"/>
        </w:rPr>
        <w:t>upravljanje sustavom osiguranja depozita u Republici Hrvatskoj</w:t>
      </w:r>
    </w:p>
    <w:p w:rsidR="003C4FD3" w:rsidRDefault="003B50E1">
      <w:pPr>
        <w:numPr>
          <w:ilvl w:val="0"/>
          <w:numId w:val="1"/>
        </w:numPr>
        <w:spacing w:line="240" w:lineRule="auto"/>
        <w:jc w:val="both"/>
      </w:pPr>
      <w:r>
        <w:rPr>
          <w:rFonts w:ascii="Calibri" w:hAnsi="Calibri" w:cs="Calibri"/>
        </w:rPr>
        <w:t>upravljanje Fondom osiguranja depozita i sanacijskim fondom</w:t>
      </w:r>
    </w:p>
    <w:p w:rsidR="003C4FD3" w:rsidRDefault="003B50E1">
      <w:pPr>
        <w:numPr>
          <w:ilvl w:val="0"/>
          <w:numId w:val="1"/>
        </w:numPr>
        <w:spacing w:line="240" w:lineRule="auto"/>
        <w:jc w:val="both"/>
      </w:pPr>
      <w:r>
        <w:rPr>
          <w:rFonts w:ascii="Calibri" w:hAnsi="Calibri" w:cs="Calibri"/>
        </w:rPr>
        <w:t>provođenje ovlasti u postupcima prisilne likvidacije kreditnih institucija u skladu s propisima</w:t>
      </w:r>
    </w:p>
    <w:p w:rsidR="003C4FD3" w:rsidRDefault="003B50E1">
      <w:pPr>
        <w:spacing w:line="240" w:lineRule="auto"/>
        <w:jc w:val="both"/>
      </w:pPr>
      <w:r>
        <w:rPr>
          <w:rFonts w:ascii="Calibri" w:hAnsi="Calibri" w:cs="Calibri"/>
        </w:rPr>
        <w:t>Obzirom da su sve primarne djelatnosti Agencije predviđene za izvanredne okolnosti i situacije odnosno vezane uz propast i prestanak poslovanja određenih pravnih subjekata na tržištu te obzirom da je takve izvanredne okolnosti odnosno propast bilo koje kreditne institucije nemoguće predvidjeti, godišnji program rada Agencije ne obuhvaća aktivnosti za izvršenje osnovnih djelatnosti nego obuhvaća sve one pripremne radnje i aktivnosti koje Agencija kontinuirano poduzima kako bi u svakom trenutku (u slučaju nastupa takvih izvanrednih okolnosti) bila spremna djelovati bez odgađanja i u zakonski propisanim rokovima.</w:t>
      </w:r>
    </w:p>
    <w:p w:rsidR="003C4FD3" w:rsidRDefault="003B50E1">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PRIHODI POSLOVANJA</w:t>
            </w:r>
          </w:p>
        </w:tc>
        <w:tc>
          <w:tcPr>
            <w:tcW w:w="690" w:type="pct"/>
            <w:vAlign w:val="bottom"/>
          </w:tcPr>
          <w:p w:rsidR="003C4FD3" w:rsidRDefault="003B50E1">
            <w:pPr>
              <w:spacing w:after="0" w:line="240" w:lineRule="auto"/>
              <w:jc w:val="right"/>
            </w:pPr>
            <w:r>
              <w:rPr>
                <w:rFonts w:ascii="Calibri" w:hAnsi="Calibri" w:cs="Calibri"/>
                <w:sz w:val="18"/>
              </w:rPr>
              <w:t>48.634.173</w:t>
            </w:r>
          </w:p>
        </w:tc>
        <w:tc>
          <w:tcPr>
            <w:tcW w:w="690" w:type="pct"/>
            <w:vAlign w:val="bottom"/>
          </w:tcPr>
          <w:p w:rsidR="003C4FD3" w:rsidRDefault="003B50E1">
            <w:pPr>
              <w:spacing w:after="0" w:line="240" w:lineRule="auto"/>
              <w:jc w:val="right"/>
            </w:pPr>
            <w:r>
              <w:rPr>
                <w:rFonts w:ascii="Calibri" w:hAnsi="Calibri" w:cs="Calibri"/>
                <w:sz w:val="18"/>
              </w:rPr>
              <w:t>34.791.491</w:t>
            </w:r>
          </w:p>
        </w:tc>
        <w:tc>
          <w:tcPr>
            <w:tcW w:w="690" w:type="pct"/>
            <w:vAlign w:val="bottom"/>
          </w:tcPr>
          <w:p w:rsidR="003C4FD3" w:rsidRDefault="003B50E1">
            <w:pPr>
              <w:spacing w:after="0" w:line="240" w:lineRule="auto"/>
              <w:jc w:val="right"/>
            </w:pPr>
            <w:r>
              <w:rPr>
                <w:rFonts w:ascii="Calibri" w:hAnsi="Calibri" w:cs="Calibri"/>
                <w:sz w:val="18"/>
              </w:rPr>
              <w:t>34.990.560</w:t>
            </w:r>
          </w:p>
        </w:tc>
        <w:tc>
          <w:tcPr>
            <w:tcW w:w="690" w:type="pct"/>
            <w:vAlign w:val="bottom"/>
          </w:tcPr>
          <w:p w:rsidR="003C4FD3" w:rsidRDefault="003B50E1">
            <w:pPr>
              <w:spacing w:after="0" w:line="240" w:lineRule="auto"/>
              <w:jc w:val="right"/>
            </w:pPr>
            <w:r>
              <w:rPr>
                <w:rFonts w:ascii="Calibri" w:hAnsi="Calibri" w:cs="Calibri"/>
                <w:sz w:val="18"/>
              </w:rPr>
              <w:t>11.490.560</w:t>
            </w:r>
          </w:p>
        </w:tc>
        <w:tc>
          <w:tcPr>
            <w:tcW w:w="690" w:type="pct"/>
            <w:vAlign w:val="bottom"/>
          </w:tcPr>
          <w:p w:rsidR="003C4FD3" w:rsidRDefault="003B50E1">
            <w:pPr>
              <w:spacing w:after="0" w:line="240" w:lineRule="auto"/>
              <w:jc w:val="right"/>
            </w:pPr>
            <w:r>
              <w:rPr>
                <w:rFonts w:ascii="Calibri" w:hAnsi="Calibri" w:cs="Calibri"/>
                <w:sz w:val="18"/>
              </w:rPr>
              <w:t>11.490.560</w:t>
            </w:r>
          </w:p>
        </w:tc>
        <w:tc>
          <w:tcPr>
            <w:tcW w:w="400" w:type="pct"/>
            <w:vAlign w:val="bottom"/>
          </w:tcPr>
          <w:p w:rsidR="003C4FD3" w:rsidRDefault="003B50E1">
            <w:pPr>
              <w:spacing w:after="0" w:line="240" w:lineRule="auto"/>
              <w:jc w:val="right"/>
            </w:pPr>
            <w:r>
              <w:rPr>
                <w:rFonts w:ascii="Calibri" w:hAnsi="Calibri" w:cs="Calibri"/>
                <w:sz w:val="18"/>
              </w:rPr>
              <w:t>100,6</w:t>
            </w:r>
          </w:p>
        </w:tc>
      </w:tr>
      <w:tr w:rsidR="003C4FD3">
        <w:tc>
          <w:tcPr>
            <w:tcW w:w="980" w:type="pct"/>
            <w:vAlign w:val="center"/>
          </w:tcPr>
          <w:p w:rsidR="003C4FD3" w:rsidRDefault="003B50E1">
            <w:pPr>
              <w:spacing w:after="0" w:line="240" w:lineRule="auto"/>
            </w:pPr>
            <w:r>
              <w:rPr>
                <w:rFonts w:ascii="Calibri" w:hAnsi="Calibri" w:cs="Calibri"/>
                <w:sz w:val="18"/>
              </w:rPr>
              <w:t>PRIHODI OD PRODAJE NEFINANCIJSKE IMOVINE</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0</w:t>
            </w:r>
          </w:p>
        </w:tc>
        <w:tc>
          <w:tcPr>
            <w:tcW w:w="400" w:type="pct"/>
            <w:vAlign w:val="bottom"/>
          </w:tcPr>
          <w:p w:rsidR="003C4FD3" w:rsidRDefault="003C4FD3">
            <w:pPr>
              <w:spacing w:after="0" w:line="240" w:lineRule="auto"/>
              <w:jc w:val="right"/>
            </w:pPr>
          </w:p>
        </w:tc>
      </w:tr>
      <w:tr w:rsidR="003C4FD3">
        <w:tc>
          <w:tcPr>
            <w:tcW w:w="980" w:type="pct"/>
            <w:vAlign w:val="bottom"/>
          </w:tcPr>
          <w:p w:rsidR="003C4FD3" w:rsidRDefault="003B50E1">
            <w:pPr>
              <w:spacing w:after="0" w:line="240" w:lineRule="auto"/>
            </w:pPr>
            <w:r>
              <w:rPr>
                <w:rFonts w:ascii="Calibri" w:hAnsi="Calibri" w:cs="Calibri"/>
                <w:b/>
                <w:sz w:val="18"/>
              </w:rPr>
              <w:t>UKUPNI PRIHODI</w:t>
            </w:r>
          </w:p>
        </w:tc>
        <w:tc>
          <w:tcPr>
            <w:tcW w:w="690" w:type="pct"/>
            <w:vAlign w:val="bottom"/>
          </w:tcPr>
          <w:p w:rsidR="003C4FD3" w:rsidRDefault="003B50E1">
            <w:pPr>
              <w:spacing w:after="0" w:line="240" w:lineRule="auto"/>
              <w:jc w:val="right"/>
            </w:pPr>
            <w:r>
              <w:rPr>
                <w:rFonts w:ascii="Calibri" w:hAnsi="Calibri" w:cs="Calibri"/>
                <w:b/>
                <w:sz w:val="18"/>
              </w:rPr>
              <w:t>48.634.173</w:t>
            </w:r>
          </w:p>
        </w:tc>
        <w:tc>
          <w:tcPr>
            <w:tcW w:w="690" w:type="pct"/>
            <w:vAlign w:val="bottom"/>
          </w:tcPr>
          <w:p w:rsidR="003C4FD3" w:rsidRDefault="003B50E1">
            <w:pPr>
              <w:spacing w:after="0" w:line="240" w:lineRule="auto"/>
              <w:jc w:val="right"/>
            </w:pPr>
            <w:r>
              <w:rPr>
                <w:rFonts w:ascii="Calibri" w:hAnsi="Calibri" w:cs="Calibri"/>
                <w:b/>
                <w:sz w:val="18"/>
              </w:rPr>
              <w:t>34.791.491</w:t>
            </w:r>
          </w:p>
        </w:tc>
        <w:tc>
          <w:tcPr>
            <w:tcW w:w="690" w:type="pct"/>
            <w:vAlign w:val="bottom"/>
          </w:tcPr>
          <w:p w:rsidR="003C4FD3" w:rsidRDefault="003B50E1">
            <w:pPr>
              <w:spacing w:after="0" w:line="240" w:lineRule="auto"/>
              <w:jc w:val="right"/>
            </w:pPr>
            <w:r>
              <w:rPr>
                <w:rFonts w:ascii="Calibri" w:hAnsi="Calibri" w:cs="Calibri"/>
                <w:b/>
                <w:sz w:val="18"/>
              </w:rPr>
              <w:t>34.990.560</w:t>
            </w:r>
          </w:p>
        </w:tc>
        <w:tc>
          <w:tcPr>
            <w:tcW w:w="690" w:type="pct"/>
            <w:vAlign w:val="bottom"/>
          </w:tcPr>
          <w:p w:rsidR="003C4FD3" w:rsidRDefault="003B50E1">
            <w:pPr>
              <w:spacing w:after="0" w:line="240" w:lineRule="auto"/>
              <w:jc w:val="right"/>
            </w:pPr>
            <w:r>
              <w:rPr>
                <w:rFonts w:ascii="Calibri" w:hAnsi="Calibri" w:cs="Calibri"/>
                <w:b/>
                <w:sz w:val="18"/>
              </w:rPr>
              <w:t>11.490.560</w:t>
            </w:r>
          </w:p>
        </w:tc>
        <w:tc>
          <w:tcPr>
            <w:tcW w:w="690" w:type="pct"/>
            <w:vAlign w:val="bottom"/>
          </w:tcPr>
          <w:p w:rsidR="003C4FD3" w:rsidRDefault="003B50E1">
            <w:pPr>
              <w:spacing w:after="0" w:line="240" w:lineRule="auto"/>
              <w:jc w:val="right"/>
            </w:pPr>
            <w:r>
              <w:rPr>
                <w:rFonts w:ascii="Calibri" w:hAnsi="Calibri" w:cs="Calibri"/>
                <w:b/>
                <w:sz w:val="18"/>
              </w:rPr>
              <w:t>11.490.560</w:t>
            </w:r>
          </w:p>
        </w:tc>
        <w:tc>
          <w:tcPr>
            <w:tcW w:w="400" w:type="pct"/>
            <w:vAlign w:val="bottom"/>
          </w:tcPr>
          <w:p w:rsidR="003C4FD3" w:rsidRDefault="003B50E1">
            <w:pPr>
              <w:spacing w:after="0" w:line="240" w:lineRule="auto"/>
              <w:jc w:val="right"/>
            </w:pPr>
            <w:r>
              <w:rPr>
                <w:rFonts w:ascii="Calibri" w:hAnsi="Calibri" w:cs="Calibri"/>
                <w:b/>
                <w:sz w:val="18"/>
              </w:rPr>
              <w:t>100,6</w:t>
            </w:r>
          </w:p>
        </w:tc>
      </w:tr>
    </w:tbl>
    <w:p w:rsidR="003C4FD3" w:rsidRDefault="003C4FD3">
      <w:pPr>
        <w:spacing w:after="0" w:line="240" w:lineRule="auto"/>
      </w:pPr>
    </w:p>
    <w:p w:rsidR="003C4FD3" w:rsidRDefault="003B50E1">
      <w:pPr>
        <w:spacing w:line="240" w:lineRule="auto"/>
        <w:jc w:val="both"/>
      </w:pPr>
      <w:r>
        <w:rPr>
          <w:rFonts w:ascii="Calibri" w:hAnsi="Calibri" w:cs="Calibri"/>
        </w:rPr>
        <w:t>U kategoriji Prihoda Agencija iskazuje:</w:t>
      </w:r>
    </w:p>
    <w:p w:rsidR="003C4FD3" w:rsidRDefault="003B50E1">
      <w:pPr>
        <w:numPr>
          <w:ilvl w:val="0"/>
          <w:numId w:val="2"/>
        </w:numPr>
        <w:spacing w:line="240" w:lineRule="auto"/>
        <w:jc w:val="both"/>
      </w:pPr>
      <w:r>
        <w:rPr>
          <w:rFonts w:ascii="Calibri" w:hAnsi="Calibri" w:cs="Calibri"/>
        </w:rPr>
        <w:t>Prihode od financijske imovine </w:t>
      </w:r>
    </w:p>
    <w:p w:rsidR="003C4FD3" w:rsidRDefault="003B50E1">
      <w:pPr>
        <w:numPr>
          <w:ilvl w:val="0"/>
          <w:numId w:val="3"/>
        </w:numPr>
        <w:spacing w:line="240" w:lineRule="auto"/>
        <w:jc w:val="both"/>
      </w:pPr>
      <w:r>
        <w:rPr>
          <w:rFonts w:ascii="Calibri" w:hAnsi="Calibri" w:cs="Calibri"/>
        </w:rPr>
        <w:t>Obračunate i prikupljene premije za osiguranje depozita od kreditnih institucija</w:t>
      </w:r>
    </w:p>
    <w:p w:rsidR="003C4FD3" w:rsidRDefault="003B50E1">
      <w:pPr>
        <w:numPr>
          <w:ilvl w:val="0"/>
          <w:numId w:val="4"/>
        </w:numPr>
        <w:spacing w:line="240" w:lineRule="auto"/>
        <w:jc w:val="both"/>
      </w:pPr>
      <w:r>
        <w:rPr>
          <w:rFonts w:ascii="Calibri" w:hAnsi="Calibri" w:cs="Calibri"/>
        </w:rPr>
        <w:t>Obračunate i prikupljene sanacijske doprinose od kreditnih institucija i investicijskih društava</w:t>
      </w:r>
    </w:p>
    <w:p w:rsidR="003C4FD3" w:rsidRDefault="003B50E1">
      <w:pPr>
        <w:numPr>
          <w:ilvl w:val="0"/>
          <w:numId w:val="5"/>
        </w:numPr>
        <w:spacing w:line="240" w:lineRule="auto"/>
        <w:jc w:val="both"/>
      </w:pPr>
      <w:r>
        <w:rPr>
          <w:rFonts w:ascii="Calibri" w:hAnsi="Calibri" w:cs="Calibri"/>
        </w:rPr>
        <w:t>Naplaćena potraživanja iz stečajnih postupaka, postupaka prisilne likvidacije i sanacije kreditnih institucija</w:t>
      </w:r>
    </w:p>
    <w:p w:rsidR="003C4FD3" w:rsidRDefault="003B50E1">
      <w:pPr>
        <w:numPr>
          <w:ilvl w:val="0"/>
          <w:numId w:val="6"/>
        </w:numPr>
        <w:spacing w:line="240" w:lineRule="auto"/>
        <w:jc w:val="both"/>
      </w:pPr>
      <w:r>
        <w:rPr>
          <w:rFonts w:ascii="Calibri" w:hAnsi="Calibri" w:cs="Calibri"/>
        </w:rPr>
        <w:t xml:space="preserve">Izvanredne prihode po pravomoćno dosuđenim sudskim sporovima </w:t>
      </w:r>
    </w:p>
    <w:p w:rsidR="003C4FD3" w:rsidRDefault="003B50E1">
      <w:pPr>
        <w:spacing w:line="240" w:lineRule="auto"/>
        <w:jc w:val="both"/>
      </w:pPr>
      <w:r>
        <w:rPr>
          <w:rFonts w:ascii="Calibri" w:hAnsi="Calibri" w:cs="Calibri"/>
        </w:rPr>
        <w:lastRenderedPageBreak/>
        <w:t>Prihodi od financijske imovine odnose se na prihode od kamata po vrijednosnim papirima i na depozite po viđenju. Na ovoj poziciji za 2024. godinu planirani su prihodi u iznosu od  11.220.690 EUR, a u istom iznosu planirani su i prihodi za 2025. i 2026. godinu.</w:t>
      </w:r>
    </w:p>
    <w:p w:rsidR="003C4FD3" w:rsidRDefault="003B50E1">
      <w:pPr>
        <w:spacing w:line="240" w:lineRule="auto"/>
        <w:jc w:val="both"/>
      </w:pPr>
      <w:r>
        <w:rPr>
          <w:rFonts w:ascii="Calibri" w:hAnsi="Calibri" w:cs="Calibri"/>
        </w:rPr>
        <w:t>Što se tiče Premija za osiguranje depozita: obračun i naplata premija osiguranja depozita predviđena je tek kada se raspoloživa sredstva u Fondu osiguranja depozita smanje ispod razine 2,5% osiguranih depozita, što može biti posljedica isplate osiguranih depozita uzrokovane propašću neke kreditne institucije ili posljedica rasta ukupnih osiguranih depozita. U skladu s time za 2024. godinu su planirani prihodi od premija osiguranja u iznosu od 23.500.000 EUR, dok za 2025. i 2026. godinu nisu planirani prihodi po ovoj osnovi.</w:t>
      </w:r>
    </w:p>
    <w:p w:rsidR="003C4FD3" w:rsidRDefault="003B50E1">
      <w:pPr>
        <w:spacing w:line="240" w:lineRule="auto"/>
        <w:jc w:val="both"/>
      </w:pPr>
      <w:r>
        <w:rPr>
          <w:rFonts w:ascii="Calibri" w:hAnsi="Calibri" w:cs="Calibri"/>
        </w:rPr>
        <w:t>Prihode od naplate stečajnih postupaka, postupaka prisilne likvidacije i sanacije kreditnih institucija nije moguće predvidjeti obzirom da unovčenje imovine u navedenim postupcima, kao i diobu naplaćenih sredstava vjerovnicima ne provodi Agencija. Za potrebe planiranja prihoda Agencija projekcije povrata iz stečajnih postupaka bazira na odnosu između prijavljenih nenaplaćenih potraživanja u stečajni postupak i preostalom iznosu raspoložive stečajne mase te projekcijama mogućeg unovčenja stečajne mase kroz vrijeme, te na ovoj poziciji u 2024. godini planira prihod od 269.870 EUR, a u istom iznosu planirani su prihodi za 2025. i 2026. godinu.</w:t>
      </w:r>
    </w:p>
    <w:p w:rsidR="003C4FD3" w:rsidRDefault="003B50E1">
      <w:pPr>
        <w:spacing w:line="240" w:lineRule="auto"/>
        <w:jc w:val="both"/>
      </w:pPr>
      <w:bookmarkStart w:id="0" w:name="_GoBack"/>
      <w:r w:rsidRPr="006D3AE7">
        <w:t>Mandatne poslove za Ministarstvo prostornoga uređenja, graditeljstva i državne imovine obavlja bez</w:t>
      </w:r>
      <w:r>
        <w:rPr>
          <w:rFonts w:ascii="Calibri" w:hAnsi="Calibri" w:cs="Calibri"/>
        </w:rPr>
        <w:t xml:space="preserve"> </w:t>
      </w:r>
      <w:bookmarkEnd w:id="0"/>
      <w:r>
        <w:rPr>
          <w:rFonts w:ascii="Calibri" w:hAnsi="Calibri" w:cs="Calibri"/>
        </w:rPr>
        <w:t>naknade.</w:t>
      </w:r>
    </w:p>
    <w:p w:rsidR="003C4FD3" w:rsidRDefault="003B50E1">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RASHODI POSLOVANJA</w:t>
            </w:r>
          </w:p>
        </w:tc>
        <w:tc>
          <w:tcPr>
            <w:tcW w:w="690" w:type="pct"/>
            <w:vAlign w:val="bottom"/>
          </w:tcPr>
          <w:p w:rsidR="003C4FD3" w:rsidRDefault="003B50E1">
            <w:pPr>
              <w:spacing w:after="0" w:line="240" w:lineRule="auto"/>
              <w:jc w:val="right"/>
            </w:pPr>
            <w:r>
              <w:rPr>
                <w:rFonts w:ascii="Calibri" w:hAnsi="Calibri" w:cs="Calibri"/>
                <w:sz w:val="18"/>
              </w:rPr>
              <w:t>1.033.233</w:t>
            </w:r>
          </w:p>
        </w:tc>
        <w:tc>
          <w:tcPr>
            <w:tcW w:w="690" w:type="pct"/>
            <w:vAlign w:val="bottom"/>
          </w:tcPr>
          <w:p w:rsidR="003C4FD3" w:rsidRDefault="003B50E1">
            <w:pPr>
              <w:spacing w:after="0" w:line="240" w:lineRule="auto"/>
              <w:jc w:val="right"/>
            </w:pPr>
            <w:r>
              <w:rPr>
                <w:rFonts w:ascii="Calibri" w:hAnsi="Calibri" w:cs="Calibri"/>
                <w:sz w:val="18"/>
              </w:rPr>
              <w:t>2.638.425</w:t>
            </w:r>
          </w:p>
        </w:tc>
        <w:tc>
          <w:tcPr>
            <w:tcW w:w="690" w:type="pct"/>
            <w:vAlign w:val="bottom"/>
          </w:tcPr>
          <w:p w:rsidR="003C4FD3" w:rsidRDefault="003B50E1">
            <w:pPr>
              <w:spacing w:after="0" w:line="240" w:lineRule="auto"/>
              <w:jc w:val="right"/>
            </w:pPr>
            <w:r>
              <w:rPr>
                <w:rFonts w:ascii="Calibri" w:hAnsi="Calibri" w:cs="Calibri"/>
                <w:sz w:val="18"/>
              </w:rPr>
              <w:t>1.274.787</w:t>
            </w:r>
          </w:p>
        </w:tc>
        <w:tc>
          <w:tcPr>
            <w:tcW w:w="690" w:type="pct"/>
            <w:vAlign w:val="bottom"/>
          </w:tcPr>
          <w:p w:rsidR="003C4FD3" w:rsidRDefault="003B50E1">
            <w:pPr>
              <w:spacing w:after="0" w:line="240" w:lineRule="auto"/>
              <w:jc w:val="right"/>
            </w:pPr>
            <w:r>
              <w:rPr>
                <w:rFonts w:ascii="Calibri" w:hAnsi="Calibri" w:cs="Calibri"/>
                <w:sz w:val="18"/>
              </w:rPr>
              <w:t>1.274.787</w:t>
            </w:r>
          </w:p>
        </w:tc>
        <w:tc>
          <w:tcPr>
            <w:tcW w:w="690" w:type="pct"/>
            <w:vAlign w:val="bottom"/>
          </w:tcPr>
          <w:p w:rsidR="003C4FD3" w:rsidRDefault="003B50E1">
            <w:pPr>
              <w:spacing w:after="0" w:line="240" w:lineRule="auto"/>
              <w:jc w:val="right"/>
            </w:pPr>
            <w:r>
              <w:rPr>
                <w:rFonts w:ascii="Calibri" w:hAnsi="Calibri" w:cs="Calibri"/>
                <w:sz w:val="18"/>
              </w:rPr>
              <w:t>1.274.787</w:t>
            </w:r>
          </w:p>
        </w:tc>
        <w:tc>
          <w:tcPr>
            <w:tcW w:w="400" w:type="pct"/>
            <w:vAlign w:val="bottom"/>
          </w:tcPr>
          <w:p w:rsidR="003C4FD3" w:rsidRDefault="003B50E1">
            <w:pPr>
              <w:spacing w:after="0" w:line="240" w:lineRule="auto"/>
              <w:jc w:val="right"/>
            </w:pPr>
            <w:r>
              <w:rPr>
                <w:rFonts w:ascii="Calibri" w:hAnsi="Calibri" w:cs="Calibri"/>
                <w:sz w:val="18"/>
              </w:rPr>
              <w:t>48,3</w:t>
            </w:r>
          </w:p>
        </w:tc>
      </w:tr>
      <w:tr w:rsidR="003C4FD3">
        <w:tc>
          <w:tcPr>
            <w:tcW w:w="980" w:type="pct"/>
            <w:vAlign w:val="center"/>
          </w:tcPr>
          <w:p w:rsidR="003C4FD3" w:rsidRDefault="003B50E1">
            <w:pPr>
              <w:spacing w:after="0" w:line="240" w:lineRule="auto"/>
            </w:pPr>
            <w:r>
              <w:rPr>
                <w:rFonts w:ascii="Calibri" w:hAnsi="Calibri" w:cs="Calibri"/>
                <w:sz w:val="18"/>
              </w:rPr>
              <w:t>RASHODI ZA NABAVU NEFINANCIJSKE IMOVINE</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223.782</w:t>
            </w:r>
          </w:p>
        </w:tc>
        <w:tc>
          <w:tcPr>
            <w:tcW w:w="690" w:type="pct"/>
            <w:vAlign w:val="bottom"/>
          </w:tcPr>
          <w:p w:rsidR="003C4FD3" w:rsidRDefault="003B50E1">
            <w:pPr>
              <w:spacing w:after="0" w:line="240" w:lineRule="auto"/>
              <w:jc w:val="right"/>
            </w:pPr>
            <w:r>
              <w:rPr>
                <w:rFonts w:ascii="Calibri" w:hAnsi="Calibri" w:cs="Calibri"/>
                <w:sz w:val="18"/>
              </w:rPr>
              <w:t>24.555</w:t>
            </w:r>
          </w:p>
        </w:tc>
        <w:tc>
          <w:tcPr>
            <w:tcW w:w="690" w:type="pct"/>
            <w:vAlign w:val="bottom"/>
          </w:tcPr>
          <w:p w:rsidR="003C4FD3" w:rsidRDefault="003B50E1">
            <w:pPr>
              <w:spacing w:after="0" w:line="240" w:lineRule="auto"/>
              <w:jc w:val="right"/>
            </w:pPr>
            <w:r>
              <w:rPr>
                <w:rFonts w:ascii="Calibri" w:hAnsi="Calibri" w:cs="Calibri"/>
                <w:sz w:val="18"/>
              </w:rPr>
              <w:t>24.555</w:t>
            </w:r>
          </w:p>
        </w:tc>
        <w:tc>
          <w:tcPr>
            <w:tcW w:w="690" w:type="pct"/>
            <w:vAlign w:val="bottom"/>
          </w:tcPr>
          <w:p w:rsidR="003C4FD3" w:rsidRDefault="003B50E1">
            <w:pPr>
              <w:spacing w:after="0" w:line="240" w:lineRule="auto"/>
              <w:jc w:val="right"/>
            </w:pPr>
            <w:r>
              <w:rPr>
                <w:rFonts w:ascii="Calibri" w:hAnsi="Calibri" w:cs="Calibri"/>
                <w:sz w:val="18"/>
              </w:rPr>
              <w:t>24.555</w:t>
            </w:r>
          </w:p>
        </w:tc>
        <w:tc>
          <w:tcPr>
            <w:tcW w:w="400" w:type="pct"/>
            <w:vAlign w:val="bottom"/>
          </w:tcPr>
          <w:p w:rsidR="003C4FD3" w:rsidRDefault="003B50E1">
            <w:pPr>
              <w:spacing w:after="0" w:line="240" w:lineRule="auto"/>
              <w:jc w:val="right"/>
            </w:pPr>
            <w:r>
              <w:rPr>
                <w:rFonts w:ascii="Calibri" w:hAnsi="Calibri" w:cs="Calibri"/>
                <w:sz w:val="18"/>
              </w:rPr>
              <w:t>11,0</w:t>
            </w:r>
          </w:p>
        </w:tc>
      </w:tr>
      <w:tr w:rsidR="003C4FD3">
        <w:tc>
          <w:tcPr>
            <w:tcW w:w="980" w:type="pct"/>
            <w:vAlign w:val="bottom"/>
          </w:tcPr>
          <w:p w:rsidR="003C4FD3" w:rsidRDefault="003B50E1">
            <w:pPr>
              <w:spacing w:after="0" w:line="240" w:lineRule="auto"/>
            </w:pPr>
            <w:r>
              <w:rPr>
                <w:rFonts w:ascii="Calibri" w:hAnsi="Calibri" w:cs="Calibri"/>
                <w:b/>
                <w:sz w:val="18"/>
              </w:rPr>
              <w:t>UKUPNI RASHODI</w:t>
            </w:r>
          </w:p>
        </w:tc>
        <w:tc>
          <w:tcPr>
            <w:tcW w:w="690" w:type="pct"/>
            <w:vAlign w:val="bottom"/>
          </w:tcPr>
          <w:p w:rsidR="003C4FD3" w:rsidRDefault="003B50E1">
            <w:pPr>
              <w:spacing w:after="0" w:line="240" w:lineRule="auto"/>
              <w:jc w:val="right"/>
            </w:pPr>
            <w:r>
              <w:rPr>
                <w:rFonts w:ascii="Calibri" w:hAnsi="Calibri" w:cs="Calibri"/>
                <w:b/>
                <w:sz w:val="18"/>
              </w:rPr>
              <w:t>1.033.233</w:t>
            </w:r>
          </w:p>
        </w:tc>
        <w:tc>
          <w:tcPr>
            <w:tcW w:w="690" w:type="pct"/>
            <w:vAlign w:val="bottom"/>
          </w:tcPr>
          <w:p w:rsidR="003C4FD3" w:rsidRDefault="003B50E1">
            <w:pPr>
              <w:spacing w:after="0" w:line="240" w:lineRule="auto"/>
              <w:jc w:val="right"/>
            </w:pPr>
            <w:r>
              <w:rPr>
                <w:rFonts w:ascii="Calibri" w:hAnsi="Calibri" w:cs="Calibri"/>
                <w:b/>
                <w:sz w:val="18"/>
              </w:rPr>
              <w:t>2.862.207</w:t>
            </w:r>
          </w:p>
        </w:tc>
        <w:tc>
          <w:tcPr>
            <w:tcW w:w="690" w:type="pct"/>
            <w:vAlign w:val="bottom"/>
          </w:tcPr>
          <w:p w:rsidR="003C4FD3" w:rsidRDefault="003B50E1">
            <w:pPr>
              <w:spacing w:after="0" w:line="240" w:lineRule="auto"/>
              <w:jc w:val="right"/>
            </w:pPr>
            <w:r>
              <w:rPr>
                <w:rFonts w:ascii="Calibri" w:hAnsi="Calibri" w:cs="Calibri"/>
                <w:b/>
                <w:sz w:val="18"/>
              </w:rPr>
              <w:t>1.299.342</w:t>
            </w:r>
          </w:p>
        </w:tc>
        <w:tc>
          <w:tcPr>
            <w:tcW w:w="690" w:type="pct"/>
            <w:vAlign w:val="bottom"/>
          </w:tcPr>
          <w:p w:rsidR="003C4FD3" w:rsidRDefault="003B50E1">
            <w:pPr>
              <w:spacing w:after="0" w:line="240" w:lineRule="auto"/>
              <w:jc w:val="right"/>
            </w:pPr>
            <w:r>
              <w:rPr>
                <w:rFonts w:ascii="Calibri" w:hAnsi="Calibri" w:cs="Calibri"/>
                <w:b/>
                <w:sz w:val="18"/>
              </w:rPr>
              <w:t>1.299.342</w:t>
            </w:r>
          </w:p>
        </w:tc>
        <w:tc>
          <w:tcPr>
            <w:tcW w:w="690" w:type="pct"/>
            <w:vAlign w:val="bottom"/>
          </w:tcPr>
          <w:p w:rsidR="003C4FD3" w:rsidRDefault="003B50E1">
            <w:pPr>
              <w:spacing w:after="0" w:line="240" w:lineRule="auto"/>
              <w:jc w:val="right"/>
            </w:pPr>
            <w:r>
              <w:rPr>
                <w:rFonts w:ascii="Calibri" w:hAnsi="Calibri" w:cs="Calibri"/>
                <w:b/>
                <w:sz w:val="18"/>
              </w:rPr>
              <w:t>1.299.342</w:t>
            </w:r>
          </w:p>
        </w:tc>
        <w:tc>
          <w:tcPr>
            <w:tcW w:w="400" w:type="pct"/>
            <w:vAlign w:val="bottom"/>
          </w:tcPr>
          <w:p w:rsidR="003C4FD3" w:rsidRDefault="003B50E1">
            <w:pPr>
              <w:spacing w:after="0" w:line="240" w:lineRule="auto"/>
              <w:jc w:val="right"/>
            </w:pPr>
            <w:r>
              <w:rPr>
                <w:rFonts w:ascii="Calibri" w:hAnsi="Calibri" w:cs="Calibri"/>
                <w:b/>
                <w:sz w:val="18"/>
              </w:rPr>
              <w:t>45,4</w:t>
            </w:r>
          </w:p>
        </w:tc>
      </w:tr>
    </w:tbl>
    <w:p w:rsidR="003C4FD3" w:rsidRDefault="003C4FD3">
      <w:pPr>
        <w:spacing w:after="0" w:line="240" w:lineRule="auto"/>
      </w:pPr>
    </w:p>
    <w:p w:rsidR="003C4FD3" w:rsidRDefault="003B50E1">
      <w:pPr>
        <w:spacing w:line="240" w:lineRule="auto"/>
        <w:jc w:val="both"/>
      </w:pPr>
      <w:r>
        <w:rPr>
          <w:rFonts w:ascii="Calibri" w:hAnsi="Calibri" w:cs="Calibri"/>
        </w:rPr>
        <w:t>Što se tiče rashodovne strane plana, ključne rashode Agencije čine:</w:t>
      </w:r>
    </w:p>
    <w:p w:rsidR="003C4FD3" w:rsidRDefault="003B50E1">
      <w:pPr>
        <w:numPr>
          <w:ilvl w:val="0"/>
          <w:numId w:val="7"/>
        </w:numPr>
        <w:spacing w:line="240" w:lineRule="auto"/>
        <w:jc w:val="both"/>
      </w:pPr>
      <w:r>
        <w:rPr>
          <w:rFonts w:ascii="Calibri" w:hAnsi="Calibri" w:cs="Calibri"/>
        </w:rPr>
        <w:t>Isplate osiguranih depozita</w:t>
      </w:r>
    </w:p>
    <w:p w:rsidR="003C4FD3" w:rsidRDefault="003B50E1">
      <w:pPr>
        <w:numPr>
          <w:ilvl w:val="0"/>
          <w:numId w:val="8"/>
        </w:numPr>
        <w:spacing w:line="240" w:lineRule="auto"/>
        <w:jc w:val="both"/>
      </w:pPr>
      <w:r>
        <w:rPr>
          <w:rFonts w:ascii="Calibri" w:hAnsi="Calibri" w:cs="Calibri"/>
        </w:rPr>
        <w:t>Troškovi prisilne likvidacije</w:t>
      </w:r>
    </w:p>
    <w:p w:rsidR="003C4FD3" w:rsidRDefault="003B50E1">
      <w:pPr>
        <w:numPr>
          <w:ilvl w:val="0"/>
          <w:numId w:val="9"/>
        </w:numPr>
        <w:spacing w:line="240" w:lineRule="auto"/>
        <w:jc w:val="both"/>
      </w:pPr>
      <w:r>
        <w:rPr>
          <w:rFonts w:ascii="Calibri" w:hAnsi="Calibri" w:cs="Calibri"/>
        </w:rPr>
        <w:t>Redovni operativni troškovi</w:t>
      </w:r>
    </w:p>
    <w:p w:rsidR="003C4FD3" w:rsidRDefault="003B50E1">
      <w:pPr>
        <w:spacing w:line="240" w:lineRule="auto"/>
        <w:jc w:val="both"/>
      </w:pPr>
      <w:r>
        <w:rPr>
          <w:rFonts w:ascii="Calibri" w:hAnsi="Calibri" w:cs="Calibri"/>
        </w:rPr>
        <w:t>Kao što je ranije navedeno, obzirom da je propadanje bilo koje kreditne institucije (bez obzira da li će propadanje prouzročiti stečaj ili sanaciju) nije moguće ''planirati'', tako u financijskom planu nisu planirani troškovi isplate osiguranih depozita niti potencijalni troškovi likvidacije.</w:t>
      </w:r>
    </w:p>
    <w:p w:rsidR="003C4FD3" w:rsidRDefault="003B50E1">
      <w:pPr>
        <w:spacing w:line="240" w:lineRule="auto"/>
        <w:jc w:val="both"/>
      </w:pPr>
      <w:r>
        <w:rPr>
          <w:rFonts w:ascii="Calibri" w:hAnsi="Calibri" w:cs="Calibri"/>
        </w:rPr>
        <w:t>Kod operativnih troškova, osim redovnih postoje i izvanredni operativni troškovi, a odnose se na dugogodišnje sudske sporove preuzete u stečajnim postupcima i postupcima sanacije banka (pokrenute još iz razdoblja 1995. – 2000. godine). Obzirom na dugotrajnost postupaka (neki traju i preko 20 godina) i veliku neizvjesnost mogućih ishoda, navedeni troškovi planiraju se na temelju procjena uspjeha u sporu od strane vanjskih odvjetnika koji iste vode pred sudovima.</w:t>
      </w:r>
    </w:p>
    <w:p w:rsidR="003C4FD3" w:rsidRDefault="003B50E1">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lastRenderedPageBreak/>
              <w:t>UKUPNI PRIHODI</w:t>
            </w:r>
          </w:p>
        </w:tc>
        <w:tc>
          <w:tcPr>
            <w:tcW w:w="690" w:type="pct"/>
            <w:vAlign w:val="bottom"/>
          </w:tcPr>
          <w:p w:rsidR="003C4FD3" w:rsidRDefault="003B50E1">
            <w:pPr>
              <w:spacing w:after="0" w:line="240" w:lineRule="auto"/>
              <w:jc w:val="right"/>
            </w:pPr>
            <w:r>
              <w:rPr>
                <w:rFonts w:ascii="Calibri" w:hAnsi="Calibri" w:cs="Calibri"/>
                <w:sz w:val="18"/>
              </w:rPr>
              <w:t>48.634.173</w:t>
            </w:r>
          </w:p>
        </w:tc>
        <w:tc>
          <w:tcPr>
            <w:tcW w:w="690" w:type="pct"/>
            <w:vAlign w:val="bottom"/>
          </w:tcPr>
          <w:p w:rsidR="003C4FD3" w:rsidRDefault="003B50E1">
            <w:pPr>
              <w:spacing w:after="0" w:line="240" w:lineRule="auto"/>
              <w:jc w:val="right"/>
            </w:pPr>
            <w:r>
              <w:rPr>
                <w:rFonts w:ascii="Calibri" w:hAnsi="Calibri" w:cs="Calibri"/>
                <w:sz w:val="18"/>
              </w:rPr>
              <w:t>34.791.491</w:t>
            </w:r>
          </w:p>
        </w:tc>
        <w:tc>
          <w:tcPr>
            <w:tcW w:w="690" w:type="pct"/>
            <w:vAlign w:val="bottom"/>
          </w:tcPr>
          <w:p w:rsidR="003C4FD3" w:rsidRDefault="003B50E1">
            <w:pPr>
              <w:spacing w:after="0" w:line="240" w:lineRule="auto"/>
              <w:jc w:val="right"/>
            </w:pPr>
            <w:r>
              <w:rPr>
                <w:rFonts w:ascii="Calibri" w:hAnsi="Calibri" w:cs="Calibri"/>
                <w:sz w:val="18"/>
              </w:rPr>
              <w:t>34.990.560</w:t>
            </w:r>
          </w:p>
        </w:tc>
        <w:tc>
          <w:tcPr>
            <w:tcW w:w="690" w:type="pct"/>
            <w:vAlign w:val="bottom"/>
          </w:tcPr>
          <w:p w:rsidR="003C4FD3" w:rsidRDefault="003B50E1">
            <w:pPr>
              <w:spacing w:after="0" w:line="240" w:lineRule="auto"/>
              <w:jc w:val="right"/>
            </w:pPr>
            <w:r>
              <w:rPr>
                <w:rFonts w:ascii="Calibri" w:hAnsi="Calibri" w:cs="Calibri"/>
                <w:sz w:val="18"/>
              </w:rPr>
              <w:t>11.490.560</w:t>
            </w:r>
          </w:p>
        </w:tc>
        <w:tc>
          <w:tcPr>
            <w:tcW w:w="690" w:type="pct"/>
            <w:vAlign w:val="bottom"/>
          </w:tcPr>
          <w:p w:rsidR="003C4FD3" w:rsidRDefault="003B50E1">
            <w:pPr>
              <w:spacing w:after="0" w:line="240" w:lineRule="auto"/>
              <w:jc w:val="right"/>
            </w:pPr>
            <w:r>
              <w:rPr>
                <w:rFonts w:ascii="Calibri" w:hAnsi="Calibri" w:cs="Calibri"/>
                <w:sz w:val="18"/>
              </w:rPr>
              <w:t>11.490.560</w:t>
            </w:r>
          </w:p>
        </w:tc>
        <w:tc>
          <w:tcPr>
            <w:tcW w:w="400" w:type="pct"/>
            <w:vAlign w:val="bottom"/>
          </w:tcPr>
          <w:p w:rsidR="003C4FD3" w:rsidRDefault="003B50E1">
            <w:pPr>
              <w:spacing w:after="0" w:line="240" w:lineRule="auto"/>
              <w:jc w:val="right"/>
            </w:pPr>
            <w:r>
              <w:rPr>
                <w:rFonts w:ascii="Calibri" w:hAnsi="Calibri" w:cs="Calibri"/>
                <w:sz w:val="18"/>
              </w:rPr>
              <w:t>100,6</w:t>
            </w:r>
          </w:p>
        </w:tc>
      </w:tr>
      <w:tr w:rsidR="003C4FD3">
        <w:tc>
          <w:tcPr>
            <w:tcW w:w="980" w:type="pct"/>
            <w:vAlign w:val="center"/>
          </w:tcPr>
          <w:p w:rsidR="003C4FD3" w:rsidRDefault="003B50E1">
            <w:pPr>
              <w:spacing w:after="0" w:line="240" w:lineRule="auto"/>
            </w:pPr>
            <w:r>
              <w:rPr>
                <w:rFonts w:ascii="Calibri" w:hAnsi="Calibri" w:cs="Calibri"/>
                <w:sz w:val="18"/>
              </w:rPr>
              <w:t>UKUPNI RASHODI</w:t>
            </w:r>
          </w:p>
        </w:tc>
        <w:tc>
          <w:tcPr>
            <w:tcW w:w="690" w:type="pct"/>
            <w:vAlign w:val="bottom"/>
          </w:tcPr>
          <w:p w:rsidR="003C4FD3" w:rsidRDefault="003B50E1">
            <w:pPr>
              <w:spacing w:after="0" w:line="240" w:lineRule="auto"/>
              <w:jc w:val="right"/>
            </w:pPr>
            <w:r>
              <w:rPr>
                <w:rFonts w:ascii="Calibri" w:hAnsi="Calibri" w:cs="Calibri"/>
                <w:sz w:val="18"/>
              </w:rPr>
              <w:t>1.033.233</w:t>
            </w:r>
          </w:p>
        </w:tc>
        <w:tc>
          <w:tcPr>
            <w:tcW w:w="690" w:type="pct"/>
            <w:vAlign w:val="bottom"/>
          </w:tcPr>
          <w:p w:rsidR="003C4FD3" w:rsidRDefault="003B50E1">
            <w:pPr>
              <w:spacing w:after="0" w:line="240" w:lineRule="auto"/>
              <w:jc w:val="right"/>
            </w:pPr>
            <w:r>
              <w:rPr>
                <w:rFonts w:ascii="Calibri" w:hAnsi="Calibri" w:cs="Calibri"/>
                <w:sz w:val="18"/>
              </w:rPr>
              <w:t>2.862.207</w:t>
            </w:r>
          </w:p>
        </w:tc>
        <w:tc>
          <w:tcPr>
            <w:tcW w:w="690" w:type="pct"/>
            <w:vAlign w:val="bottom"/>
          </w:tcPr>
          <w:p w:rsidR="003C4FD3" w:rsidRDefault="003B50E1">
            <w:pPr>
              <w:spacing w:after="0" w:line="240" w:lineRule="auto"/>
              <w:jc w:val="right"/>
            </w:pPr>
            <w:r>
              <w:rPr>
                <w:rFonts w:ascii="Calibri" w:hAnsi="Calibri" w:cs="Calibri"/>
                <w:sz w:val="18"/>
              </w:rPr>
              <w:t>1.299.342</w:t>
            </w:r>
          </w:p>
        </w:tc>
        <w:tc>
          <w:tcPr>
            <w:tcW w:w="690" w:type="pct"/>
            <w:vAlign w:val="bottom"/>
          </w:tcPr>
          <w:p w:rsidR="003C4FD3" w:rsidRDefault="003B50E1">
            <w:pPr>
              <w:spacing w:after="0" w:line="240" w:lineRule="auto"/>
              <w:jc w:val="right"/>
            </w:pPr>
            <w:r>
              <w:rPr>
                <w:rFonts w:ascii="Calibri" w:hAnsi="Calibri" w:cs="Calibri"/>
                <w:sz w:val="18"/>
              </w:rPr>
              <w:t>1.299.342</w:t>
            </w:r>
          </w:p>
        </w:tc>
        <w:tc>
          <w:tcPr>
            <w:tcW w:w="690" w:type="pct"/>
            <w:vAlign w:val="bottom"/>
          </w:tcPr>
          <w:p w:rsidR="003C4FD3" w:rsidRDefault="003B50E1">
            <w:pPr>
              <w:spacing w:after="0" w:line="240" w:lineRule="auto"/>
              <w:jc w:val="right"/>
            </w:pPr>
            <w:r>
              <w:rPr>
                <w:rFonts w:ascii="Calibri" w:hAnsi="Calibri" w:cs="Calibri"/>
                <w:sz w:val="18"/>
              </w:rPr>
              <w:t>1.299.342</w:t>
            </w:r>
          </w:p>
        </w:tc>
        <w:tc>
          <w:tcPr>
            <w:tcW w:w="400" w:type="pct"/>
            <w:vAlign w:val="bottom"/>
          </w:tcPr>
          <w:p w:rsidR="003C4FD3" w:rsidRDefault="003B50E1">
            <w:pPr>
              <w:spacing w:after="0" w:line="240" w:lineRule="auto"/>
              <w:jc w:val="right"/>
            </w:pPr>
            <w:r>
              <w:rPr>
                <w:rFonts w:ascii="Calibri" w:hAnsi="Calibri" w:cs="Calibri"/>
                <w:sz w:val="18"/>
              </w:rPr>
              <w:t>45,4</w:t>
            </w:r>
          </w:p>
        </w:tc>
      </w:tr>
      <w:tr w:rsidR="003C4FD3">
        <w:tc>
          <w:tcPr>
            <w:tcW w:w="980" w:type="pct"/>
            <w:vAlign w:val="bottom"/>
          </w:tcPr>
          <w:p w:rsidR="003C4FD3" w:rsidRDefault="003B50E1">
            <w:pPr>
              <w:spacing w:after="0" w:line="240" w:lineRule="auto"/>
            </w:pPr>
            <w:r>
              <w:rPr>
                <w:rFonts w:ascii="Calibri" w:hAnsi="Calibri" w:cs="Calibri"/>
                <w:b/>
                <w:sz w:val="18"/>
              </w:rPr>
              <w:t>RAZLIKA - VIŠAK/MANJAK</w:t>
            </w:r>
          </w:p>
        </w:tc>
        <w:tc>
          <w:tcPr>
            <w:tcW w:w="690" w:type="pct"/>
            <w:vAlign w:val="bottom"/>
          </w:tcPr>
          <w:p w:rsidR="003C4FD3" w:rsidRDefault="003B50E1">
            <w:pPr>
              <w:spacing w:after="0" w:line="240" w:lineRule="auto"/>
              <w:jc w:val="right"/>
            </w:pPr>
            <w:r>
              <w:rPr>
                <w:rFonts w:ascii="Calibri" w:hAnsi="Calibri" w:cs="Calibri"/>
                <w:b/>
                <w:sz w:val="18"/>
              </w:rPr>
              <w:t>47.600.940</w:t>
            </w:r>
          </w:p>
        </w:tc>
        <w:tc>
          <w:tcPr>
            <w:tcW w:w="690" w:type="pct"/>
            <w:vAlign w:val="bottom"/>
          </w:tcPr>
          <w:p w:rsidR="003C4FD3" w:rsidRDefault="003B50E1">
            <w:pPr>
              <w:spacing w:after="0" w:line="240" w:lineRule="auto"/>
              <w:jc w:val="right"/>
            </w:pPr>
            <w:r>
              <w:rPr>
                <w:rFonts w:ascii="Calibri" w:hAnsi="Calibri" w:cs="Calibri"/>
                <w:b/>
                <w:sz w:val="18"/>
              </w:rPr>
              <w:t>31.929.284</w:t>
            </w:r>
          </w:p>
        </w:tc>
        <w:tc>
          <w:tcPr>
            <w:tcW w:w="690" w:type="pct"/>
            <w:vAlign w:val="bottom"/>
          </w:tcPr>
          <w:p w:rsidR="003C4FD3" w:rsidRDefault="003B50E1">
            <w:pPr>
              <w:spacing w:after="0" w:line="240" w:lineRule="auto"/>
              <w:jc w:val="right"/>
            </w:pPr>
            <w:r>
              <w:rPr>
                <w:rFonts w:ascii="Calibri" w:hAnsi="Calibri" w:cs="Calibri"/>
                <w:b/>
                <w:sz w:val="18"/>
              </w:rPr>
              <w:t>33.691.218</w:t>
            </w:r>
          </w:p>
        </w:tc>
        <w:tc>
          <w:tcPr>
            <w:tcW w:w="690" w:type="pct"/>
            <w:vAlign w:val="bottom"/>
          </w:tcPr>
          <w:p w:rsidR="003C4FD3" w:rsidRDefault="003B50E1">
            <w:pPr>
              <w:spacing w:after="0" w:line="240" w:lineRule="auto"/>
              <w:jc w:val="right"/>
            </w:pPr>
            <w:r>
              <w:rPr>
                <w:rFonts w:ascii="Calibri" w:hAnsi="Calibri" w:cs="Calibri"/>
                <w:b/>
                <w:sz w:val="18"/>
              </w:rPr>
              <w:t>10.191.218</w:t>
            </w:r>
          </w:p>
        </w:tc>
        <w:tc>
          <w:tcPr>
            <w:tcW w:w="690" w:type="pct"/>
            <w:vAlign w:val="bottom"/>
          </w:tcPr>
          <w:p w:rsidR="003C4FD3" w:rsidRDefault="003B50E1">
            <w:pPr>
              <w:spacing w:after="0" w:line="240" w:lineRule="auto"/>
              <w:jc w:val="right"/>
            </w:pPr>
            <w:r>
              <w:rPr>
                <w:rFonts w:ascii="Calibri" w:hAnsi="Calibri" w:cs="Calibri"/>
                <w:b/>
                <w:sz w:val="18"/>
              </w:rPr>
              <w:t>10.191.218</w:t>
            </w:r>
          </w:p>
        </w:tc>
        <w:tc>
          <w:tcPr>
            <w:tcW w:w="400" w:type="pct"/>
            <w:vAlign w:val="bottom"/>
          </w:tcPr>
          <w:p w:rsidR="003C4FD3" w:rsidRDefault="003B50E1">
            <w:pPr>
              <w:spacing w:after="0" w:line="240" w:lineRule="auto"/>
              <w:jc w:val="right"/>
            </w:pPr>
            <w:r>
              <w:rPr>
                <w:rFonts w:ascii="Calibri" w:hAnsi="Calibri" w:cs="Calibri"/>
                <w:b/>
                <w:sz w:val="18"/>
              </w:rPr>
              <w:t>105,5</w:t>
            </w:r>
          </w:p>
        </w:tc>
      </w:tr>
    </w:tbl>
    <w:p w:rsidR="003C4FD3" w:rsidRDefault="003C4FD3">
      <w:pPr>
        <w:spacing w:after="0" w:line="240" w:lineRule="auto"/>
      </w:pPr>
    </w:p>
    <w:p w:rsidR="003C4FD3" w:rsidRDefault="003B50E1">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PRIMICI OD FINANCIJSKE IMOVINE I ZADUŽIVANJA</w:t>
            </w:r>
          </w:p>
        </w:tc>
        <w:tc>
          <w:tcPr>
            <w:tcW w:w="690" w:type="pct"/>
            <w:vAlign w:val="bottom"/>
          </w:tcPr>
          <w:p w:rsidR="003C4FD3" w:rsidRDefault="003B50E1">
            <w:pPr>
              <w:spacing w:after="0" w:line="240" w:lineRule="auto"/>
              <w:jc w:val="right"/>
            </w:pPr>
            <w:r>
              <w:rPr>
                <w:rFonts w:ascii="Calibri" w:hAnsi="Calibri" w:cs="Calibri"/>
                <w:sz w:val="18"/>
              </w:rPr>
              <w:t>3.737.824</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2.454.688</w:t>
            </w:r>
          </w:p>
        </w:tc>
        <w:tc>
          <w:tcPr>
            <w:tcW w:w="690" w:type="pct"/>
            <w:vAlign w:val="bottom"/>
          </w:tcPr>
          <w:p w:rsidR="003C4FD3" w:rsidRDefault="003B50E1">
            <w:pPr>
              <w:spacing w:after="0" w:line="240" w:lineRule="auto"/>
              <w:jc w:val="right"/>
            </w:pPr>
            <w:r>
              <w:rPr>
                <w:rFonts w:ascii="Calibri" w:hAnsi="Calibri" w:cs="Calibri"/>
                <w:sz w:val="18"/>
              </w:rPr>
              <w:t>1.327.288</w:t>
            </w:r>
          </w:p>
        </w:tc>
        <w:tc>
          <w:tcPr>
            <w:tcW w:w="690" w:type="pct"/>
            <w:vAlign w:val="bottom"/>
          </w:tcPr>
          <w:p w:rsidR="003C4FD3" w:rsidRDefault="003B50E1">
            <w:pPr>
              <w:spacing w:after="0" w:line="240" w:lineRule="auto"/>
              <w:jc w:val="right"/>
            </w:pPr>
            <w:r>
              <w:rPr>
                <w:rFonts w:ascii="Calibri" w:hAnsi="Calibri" w:cs="Calibri"/>
                <w:sz w:val="18"/>
              </w:rPr>
              <w:t>331.807</w:t>
            </w:r>
          </w:p>
        </w:tc>
        <w:tc>
          <w:tcPr>
            <w:tcW w:w="400" w:type="pct"/>
            <w:vAlign w:val="bottom"/>
          </w:tcPr>
          <w:p w:rsidR="003C4FD3" w:rsidRDefault="003C4FD3">
            <w:pPr>
              <w:spacing w:after="0" w:line="240" w:lineRule="auto"/>
              <w:jc w:val="right"/>
            </w:pPr>
          </w:p>
        </w:tc>
      </w:tr>
      <w:tr w:rsidR="003C4FD3">
        <w:tc>
          <w:tcPr>
            <w:tcW w:w="980" w:type="pct"/>
            <w:vAlign w:val="center"/>
          </w:tcPr>
          <w:p w:rsidR="003C4FD3" w:rsidRDefault="003B50E1">
            <w:pPr>
              <w:spacing w:after="0" w:line="240" w:lineRule="auto"/>
            </w:pPr>
            <w:r>
              <w:rPr>
                <w:rFonts w:ascii="Calibri" w:hAnsi="Calibri" w:cs="Calibri"/>
                <w:sz w:val="18"/>
              </w:rPr>
              <w:t>IZDACI ZA FINANCIJSKU IMOVINU I OTPLATE ZAJMOVA</w:t>
            </w:r>
          </w:p>
        </w:tc>
        <w:tc>
          <w:tcPr>
            <w:tcW w:w="690" w:type="pct"/>
            <w:vAlign w:val="bottom"/>
          </w:tcPr>
          <w:p w:rsidR="003C4FD3" w:rsidRDefault="003B50E1">
            <w:pPr>
              <w:spacing w:after="0" w:line="240" w:lineRule="auto"/>
              <w:jc w:val="right"/>
            </w:pPr>
            <w:r>
              <w:rPr>
                <w:rFonts w:ascii="Calibri" w:hAnsi="Calibri" w:cs="Calibri"/>
                <w:sz w:val="18"/>
              </w:rPr>
              <w:t>102.353.411</w:t>
            </w:r>
          </w:p>
        </w:tc>
        <w:tc>
          <w:tcPr>
            <w:tcW w:w="690" w:type="pct"/>
            <w:vAlign w:val="bottom"/>
          </w:tcPr>
          <w:p w:rsidR="003C4FD3" w:rsidRDefault="003B50E1">
            <w:pPr>
              <w:spacing w:after="0" w:line="240" w:lineRule="auto"/>
              <w:jc w:val="right"/>
            </w:pPr>
            <w:r>
              <w:rPr>
                <w:rFonts w:ascii="Calibri" w:hAnsi="Calibri" w:cs="Calibri"/>
                <w:sz w:val="18"/>
              </w:rPr>
              <w:t>15.026.630</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0</w:t>
            </w:r>
          </w:p>
        </w:tc>
        <w:tc>
          <w:tcPr>
            <w:tcW w:w="400" w:type="pct"/>
            <w:vAlign w:val="bottom"/>
          </w:tcPr>
          <w:p w:rsidR="003C4FD3" w:rsidRDefault="003C4FD3">
            <w:pPr>
              <w:spacing w:after="0" w:line="240" w:lineRule="auto"/>
              <w:jc w:val="right"/>
            </w:pPr>
          </w:p>
        </w:tc>
      </w:tr>
      <w:tr w:rsidR="003C4FD3">
        <w:tc>
          <w:tcPr>
            <w:tcW w:w="980" w:type="pct"/>
            <w:vAlign w:val="bottom"/>
          </w:tcPr>
          <w:p w:rsidR="003C4FD3" w:rsidRDefault="003B50E1">
            <w:pPr>
              <w:spacing w:after="0" w:line="240" w:lineRule="auto"/>
            </w:pPr>
            <w:r>
              <w:rPr>
                <w:rFonts w:ascii="Calibri" w:hAnsi="Calibri" w:cs="Calibri"/>
                <w:b/>
                <w:sz w:val="18"/>
              </w:rPr>
              <w:t>RAZLIKA PRIMITAKA I IZDATAKA</w:t>
            </w:r>
          </w:p>
        </w:tc>
        <w:tc>
          <w:tcPr>
            <w:tcW w:w="690" w:type="pct"/>
            <w:vAlign w:val="bottom"/>
          </w:tcPr>
          <w:p w:rsidR="003C4FD3" w:rsidRDefault="003B50E1">
            <w:pPr>
              <w:spacing w:after="0" w:line="240" w:lineRule="auto"/>
              <w:jc w:val="right"/>
            </w:pPr>
            <w:r>
              <w:rPr>
                <w:rFonts w:ascii="Calibri" w:hAnsi="Calibri" w:cs="Calibri"/>
                <w:b/>
                <w:sz w:val="18"/>
              </w:rPr>
              <w:t>-98.615.587</w:t>
            </w:r>
          </w:p>
        </w:tc>
        <w:tc>
          <w:tcPr>
            <w:tcW w:w="690" w:type="pct"/>
            <w:vAlign w:val="bottom"/>
          </w:tcPr>
          <w:p w:rsidR="003C4FD3" w:rsidRDefault="003B50E1">
            <w:pPr>
              <w:spacing w:after="0" w:line="240" w:lineRule="auto"/>
              <w:jc w:val="right"/>
            </w:pPr>
            <w:r>
              <w:rPr>
                <w:rFonts w:ascii="Calibri" w:hAnsi="Calibri" w:cs="Calibri"/>
                <w:b/>
                <w:sz w:val="18"/>
              </w:rPr>
              <w:t>-15.026.630</w:t>
            </w:r>
          </w:p>
        </w:tc>
        <w:tc>
          <w:tcPr>
            <w:tcW w:w="690" w:type="pct"/>
            <w:vAlign w:val="bottom"/>
          </w:tcPr>
          <w:p w:rsidR="003C4FD3" w:rsidRDefault="003B50E1">
            <w:pPr>
              <w:spacing w:after="0" w:line="240" w:lineRule="auto"/>
              <w:jc w:val="right"/>
            </w:pPr>
            <w:r>
              <w:rPr>
                <w:rFonts w:ascii="Calibri" w:hAnsi="Calibri" w:cs="Calibri"/>
                <w:b/>
                <w:sz w:val="18"/>
              </w:rPr>
              <w:t>2.454.688</w:t>
            </w:r>
          </w:p>
        </w:tc>
        <w:tc>
          <w:tcPr>
            <w:tcW w:w="690" w:type="pct"/>
            <w:vAlign w:val="bottom"/>
          </w:tcPr>
          <w:p w:rsidR="003C4FD3" w:rsidRDefault="003B50E1">
            <w:pPr>
              <w:spacing w:after="0" w:line="240" w:lineRule="auto"/>
              <w:jc w:val="right"/>
            </w:pPr>
            <w:r>
              <w:rPr>
                <w:rFonts w:ascii="Calibri" w:hAnsi="Calibri" w:cs="Calibri"/>
                <w:b/>
                <w:sz w:val="18"/>
              </w:rPr>
              <w:t>1.327.288</w:t>
            </w:r>
          </w:p>
        </w:tc>
        <w:tc>
          <w:tcPr>
            <w:tcW w:w="690" w:type="pct"/>
            <w:vAlign w:val="bottom"/>
          </w:tcPr>
          <w:p w:rsidR="003C4FD3" w:rsidRDefault="003B50E1">
            <w:pPr>
              <w:spacing w:after="0" w:line="240" w:lineRule="auto"/>
              <w:jc w:val="right"/>
            </w:pPr>
            <w:r>
              <w:rPr>
                <w:rFonts w:ascii="Calibri" w:hAnsi="Calibri" w:cs="Calibri"/>
                <w:b/>
                <w:sz w:val="18"/>
              </w:rPr>
              <w:t>331.807</w:t>
            </w:r>
          </w:p>
        </w:tc>
        <w:tc>
          <w:tcPr>
            <w:tcW w:w="400" w:type="pct"/>
            <w:vAlign w:val="bottom"/>
          </w:tcPr>
          <w:p w:rsidR="003C4FD3" w:rsidRDefault="003B50E1">
            <w:pPr>
              <w:spacing w:after="0" w:line="240" w:lineRule="auto"/>
              <w:jc w:val="right"/>
            </w:pPr>
            <w:r>
              <w:rPr>
                <w:rFonts w:ascii="Calibri" w:hAnsi="Calibri" w:cs="Calibri"/>
                <w:b/>
                <w:sz w:val="18"/>
              </w:rPr>
              <w:t>-16,3</w:t>
            </w:r>
          </w:p>
        </w:tc>
      </w:tr>
      <w:tr w:rsidR="003C4FD3">
        <w:tc>
          <w:tcPr>
            <w:tcW w:w="980" w:type="pct"/>
            <w:vAlign w:val="bottom"/>
          </w:tcPr>
          <w:p w:rsidR="003C4FD3" w:rsidRDefault="003B50E1">
            <w:pPr>
              <w:spacing w:after="0" w:line="240" w:lineRule="auto"/>
            </w:pPr>
            <w:r>
              <w:rPr>
                <w:rFonts w:ascii="Calibri" w:hAnsi="Calibri" w:cs="Calibri"/>
                <w:sz w:val="18"/>
              </w:rPr>
              <w:t>PRIJENOS SREDSTAVA IZ PRETHODNE GODINE</w:t>
            </w:r>
          </w:p>
        </w:tc>
        <w:tc>
          <w:tcPr>
            <w:tcW w:w="690" w:type="pct"/>
            <w:vAlign w:val="bottom"/>
          </w:tcPr>
          <w:p w:rsidR="003C4FD3" w:rsidRDefault="003B50E1">
            <w:pPr>
              <w:spacing w:after="0" w:line="240" w:lineRule="auto"/>
              <w:jc w:val="right"/>
            </w:pPr>
            <w:r>
              <w:rPr>
                <w:rFonts w:ascii="Calibri" w:hAnsi="Calibri" w:cs="Calibri"/>
                <w:sz w:val="18"/>
              </w:rPr>
              <w:t>61.412.796</w:t>
            </w:r>
          </w:p>
        </w:tc>
        <w:tc>
          <w:tcPr>
            <w:tcW w:w="690" w:type="pct"/>
            <w:vAlign w:val="bottom"/>
          </w:tcPr>
          <w:p w:rsidR="003C4FD3" w:rsidRDefault="003B50E1">
            <w:pPr>
              <w:spacing w:after="0" w:line="240" w:lineRule="auto"/>
              <w:jc w:val="right"/>
            </w:pPr>
            <w:r>
              <w:rPr>
                <w:rFonts w:ascii="Calibri" w:hAnsi="Calibri" w:cs="Calibri"/>
                <w:sz w:val="18"/>
              </w:rPr>
              <w:t>8.681.124</w:t>
            </w:r>
          </w:p>
        </w:tc>
        <w:tc>
          <w:tcPr>
            <w:tcW w:w="690" w:type="pct"/>
            <w:vAlign w:val="bottom"/>
          </w:tcPr>
          <w:p w:rsidR="003C4FD3" w:rsidRDefault="003B50E1">
            <w:pPr>
              <w:spacing w:after="0" w:line="240" w:lineRule="auto"/>
              <w:jc w:val="right"/>
            </w:pPr>
            <w:r>
              <w:rPr>
                <w:rFonts w:ascii="Calibri" w:hAnsi="Calibri" w:cs="Calibri"/>
                <w:sz w:val="18"/>
              </w:rPr>
              <w:t>25.583.778</w:t>
            </w:r>
          </w:p>
        </w:tc>
        <w:tc>
          <w:tcPr>
            <w:tcW w:w="690" w:type="pct"/>
            <w:vAlign w:val="bottom"/>
          </w:tcPr>
          <w:p w:rsidR="003C4FD3" w:rsidRDefault="003B50E1">
            <w:pPr>
              <w:spacing w:after="0" w:line="240" w:lineRule="auto"/>
              <w:jc w:val="right"/>
            </w:pPr>
            <w:r>
              <w:rPr>
                <w:rFonts w:ascii="Calibri" w:hAnsi="Calibri" w:cs="Calibri"/>
                <w:sz w:val="18"/>
              </w:rPr>
              <w:t>61.729.684</w:t>
            </w:r>
          </w:p>
        </w:tc>
        <w:tc>
          <w:tcPr>
            <w:tcW w:w="690" w:type="pct"/>
            <w:vAlign w:val="bottom"/>
          </w:tcPr>
          <w:p w:rsidR="003C4FD3" w:rsidRDefault="003B50E1">
            <w:pPr>
              <w:spacing w:after="0" w:line="240" w:lineRule="auto"/>
              <w:jc w:val="right"/>
            </w:pPr>
            <w:r>
              <w:rPr>
                <w:rFonts w:ascii="Calibri" w:hAnsi="Calibri" w:cs="Calibri"/>
                <w:sz w:val="18"/>
              </w:rPr>
              <w:t>73.248.190</w:t>
            </w:r>
          </w:p>
        </w:tc>
        <w:tc>
          <w:tcPr>
            <w:tcW w:w="400" w:type="pct"/>
            <w:vAlign w:val="bottom"/>
          </w:tcPr>
          <w:p w:rsidR="003C4FD3" w:rsidRDefault="003B50E1">
            <w:pPr>
              <w:spacing w:after="0" w:line="240" w:lineRule="auto"/>
              <w:jc w:val="right"/>
            </w:pPr>
            <w:r>
              <w:rPr>
                <w:rFonts w:ascii="Calibri" w:hAnsi="Calibri" w:cs="Calibri"/>
                <w:sz w:val="18"/>
              </w:rPr>
              <w:t>294,7</w:t>
            </w:r>
          </w:p>
        </w:tc>
      </w:tr>
      <w:tr w:rsidR="003C4FD3">
        <w:tc>
          <w:tcPr>
            <w:tcW w:w="980" w:type="pct"/>
            <w:vAlign w:val="bottom"/>
          </w:tcPr>
          <w:p w:rsidR="003C4FD3" w:rsidRDefault="003B50E1">
            <w:pPr>
              <w:spacing w:after="0" w:line="240" w:lineRule="auto"/>
            </w:pPr>
            <w:r>
              <w:rPr>
                <w:rFonts w:ascii="Calibri" w:hAnsi="Calibri" w:cs="Calibri"/>
                <w:sz w:val="18"/>
              </w:rPr>
              <w:t>PRIJENOS SREDSTAVA U SLJEDEĆU GODINU</w:t>
            </w:r>
          </w:p>
        </w:tc>
        <w:tc>
          <w:tcPr>
            <w:tcW w:w="690" w:type="pct"/>
            <w:vAlign w:val="bottom"/>
          </w:tcPr>
          <w:p w:rsidR="003C4FD3" w:rsidRDefault="003B50E1">
            <w:pPr>
              <w:spacing w:after="0" w:line="240" w:lineRule="auto"/>
              <w:jc w:val="right"/>
            </w:pPr>
            <w:r>
              <w:rPr>
                <w:rFonts w:ascii="Calibri" w:hAnsi="Calibri" w:cs="Calibri"/>
                <w:sz w:val="18"/>
              </w:rPr>
              <w:t>-10.398.149</w:t>
            </w:r>
          </w:p>
        </w:tc>
        <w:tc>
          <w:tcPr>
            <w:tcW w:w="690" w:type="pct"/>
            <w:vAlign w:val="bottom"/>
          </w:tcPr>
          <w:p w:rsidR="003C4FD3" w:rsidRDefault="003B50E1">
            <w:pPr>
              <w:spacing w:after="0" w:line="240" w:lineRule="auto"/>
              <w:jc w:val="right"/>
            </w:pPr>
            <w:r>
              <w:rPr>
                <w:rFonts w:ascii="Calibri" w:hAnsi="Calibri" w:cs="Calibri"/>
                <w:sz w:val="18"/>
              </w:rPr>
              <w:t>-25.583.778</w:t>
            </w:r>
          </w:p>
        </w:tc>
        <w:tc>
          <w:tcPr>
            <w:tcW w:w="690" w:type="pct"/>
            <w:vAlign w:val="bottom"/>
          </w:tcPr>
          <w:p w:rsidR="003C4FD3" w:rsidRDefault="003B50E1">
            <w:pPr>
              <w:spacing w:after="0" w:line="240" w:lineRule="auto"/>
              <w:jc w:val="right"/>
            </w:pPr>
            <w:r>
              <w:rPr>
                <w:rFonts w:ascii="Calibri" w:hAnsi="Calibri" w:cs="Calibri"/>
                <w:sz w:val="18"/>
              </w:rPr>
              <w:t>-61.729.684</w:t>
            </w:r>
          </w:p>
        </w:tc>
        <w:tc>
          <w:tcPr>
            <w:tcW w:w="690" w:type="pct"/>
            <w:vAlign w:val="bottom"/>
          </w:tcPr>
          <w:p w:rsidR="003C4FD3" w:rsidRDefault="003B50E1">
            <w:pPr>
              <w:spacing w:after="0" w:line="240" w:lineRule="auto"/>
              <w:jc w:val="right"/>
            </w:pPr>
            <w:r>
              <w:rPr>
                <w:rFonts w:ascii="Calibri" w:hAnsi="Calibri" w:cs="Calibri"/>
                <w:sz w:val="18"/>
              </w:rPr>
              <w:t>-73.248.190</w:t>
            </w:r>
          </w:p>
        </w:tc>
        <w:tc>
          <w:tcPr>
            <w:tcW w:w="690" w:type="pct"/>
            <w:vAlign w:val="bottom"/>
          </w:tcPr>
          <w:p w:rsidR="003C4FD3" w:rsidRDefault="003B50E1">
            <w:pPr>
              <w:spacing w:after="0" w:line="240" w:lineRule="auto"/>
              <w:jc w:val="right"/>
            </w:pPr>
            <w:r>
              <w:rPr>
                <w:rFonts w:ascii="Calibri" w:hAnsi="Calibri" w:cs="Calibri"/>
                <w:sz w:val="18"/>
              </w:rPr>
              <w:t>-83.771.215</w:t>
            </w:r>
          </w:p>
        </w:tc>
        <w:tc>
          <w:tcPr>
            <w:tcW w:w="400" w:type="pct"/>
            <w:vAlign w:val="bottom"/>
          </w:tcPr>
          <w:p w:rsidR="003C4FD3" w:rsidRDefault="003B50E1">
            <w:pPr>
              <w:spacing w:after="0" w:line="240" w:lineRule="auto"/>
              <w:jc w:val="right"/>
            </w:pPr>
            <w:r>
              <w:rPr>
                <w:rFonts w:ascii="Calibri" w:hAnsi="Calibri" w:cs="Calibri"/>
                <w:sz w:val="18"/>
              </w:rPr>
              <w:t>241,3</w:t>
            </w:r>
          </w:p>
        </w:tc>
      </w:tr>
      <w:tr w:rsidR="003C4FD3">
        <w:tc>
          <w:tcPr>
            <w:tcW w:w="980" w:type="pct"/>
            <w:vAlign w:val="bottom"/>
          </w:tcPr>
          <w:p w:rsidR="003C4FD3" w:rsidRDefault="003B50E1">
            <w:pPr>
              <w:spacing w:after="0" w:line="240" w:lineRule="auto"/>
            </w:pPr>
            <w:r>
              <w:rPr>
                <w:rFonts w:ascii="Calibri" w:hAnsi="Calibri" w:cs="Calibri"/>
                <w:b/>
                <w:sz w:val="18"/>
              </w:rPr>
              <w:t>NETO FINANCIRANJE</w:t>
            </w:r>
          </w:p>
        </w:tc>
        <w:tc>
          <w:tcPr>
            <w:tcW w:w="690" w:type="pct"/>
            <w:vAlign w:val="bottom"/>
          </w:tcPr>
          <w:p w:rsidR="003C4FD3" w:rsidRDefault="003B50E1">
            <w:pPr>
              <w:spacing w:after="0" w:line="240" w:lineRule="auto"/>
              <w:jc w:val="right"/>
            </w:pPr>
            <w:r>
              <w:rPr>
                <w:rFonts w:ascii="Calibri" w:hAnsi="Calibri" w:cs="Calibri"/>
                <w:b/>
                <w:sz w:val="18"/>
              </w:rPr>
              <w:t>-47.600.940</w:t>
            </w:r>
          </w:p>
        </w:tc>
        <w:tc>
          <w:tcPr>
            <w:tcW w:w="690" w:type="pct"/>
            <w:vAlign w:val="bottom"/>
          </w:tcPr>
          <w:p w:rsidR="003C4FD3" w:rsidRDefault="003B50E1">
            <w:pPr>
              <w:spacing w:after="0" w:line="240" w:lineRule="auto"/>
              <w:jc w:val="right"/>
            </w:pPr>
            <w:r>
              <w:rPr>
                <w:rFonts w:ascii="Calibri" w:hAnsi="Calibri" w:cs="Calibri"/>
                <w:b/>
                <w:sz w:val="18"/>
              </w:rPr>
              <w:t>-31.929.284</w:t>
            </w:r>
          </w:p>
        </w:tc>
        <w:tc>
          <w:tcPr>
            <w:tcW w:w="690" w:type="pct"/>
            <w:vAlign w:val="bottom"/>
          </w:tcPr>
          <w:p w:rsidR="003C4FD3" w:rsidRDefault="003B50E1">
            <w:pPr>
              <w:spacing w:after="0" w:line="240" w:lineRule="auto"/>
              <w:jc w:val="right"/>
            </w:pPr>
            <w:r>
              <w:rPr>
                <w:rFonts w:ascii="Calibri" w:hAnsi="Calibri" w:cs="Calibri"/>
                <w:b/>
                <w:sz w:val="18"/>
              </w:rPr>
              <w:t>-33.691.218</w:t>
            </w:r>
          </w:p>
        </w:tc>
        <w:tc>
          <w:tcPr>
            <w:tcW w:w="690" w:type="pct"/>
            <w:vAlign w:val="bottom"/>
          </w:tcPr>
          <w:p w:rsidR="003C4FD3" w:rsidRDefault="003B50E1">
            <w:pPr>
              <w:spacing w:after="0" w:line="240" w:lineRule="auto"/>
              <w:jc w:val="right"/>
            </w:pPr>
            <w:r>
              <w:rPr>
                <w:rFonts w:ascii="Calibri" w:hAnsi="Calibri" w:cs="Calibri"/>
                <w:b/>
                <w:sz w:val="18"/>
              </w:rPr>
              <w:t>-10.191.218</w:t>
            </w:r>
          </w:p>
        </w:tc>
        <w:tc>
          <w:tcPr>
            <w:tcW w:w="690" w:type="pct"/>
            <w:vAlign w:val="bottom"/>
          </w:tcPr>
          <w:p w:rsidR="003C4FD3" w:rsidRDefault="003B50E1">
            <w:pPr>
              <w:spacing w:after="0" w:line="240" w:lineRule="auto"/>
              <w:jc w:val="right"/>
            </w:pPr>
            <w:r>
              <w:rPr>
                <w:rFonts w:ascii="Calibri" w:hAnsi="Calibri" w:cs="Calibri"/>
                <w:b/>
                <w:sz w:val="18"/>
              </w:rPr>
              <w:t>-10.191.218</w:t>
            </w:r>
          </w:p>
        </w:tc>
        <w:tc>
          <w:tcPr>
            <w:tcW w:w="400" w:type="pct"/>
            <w:vAlign w:val="bottom"/>
          </w:tcPr>
          <w:p w:rsidR="003C4FD3" w:rsidRDefault="003B50E1">
            <w:pPr>
              <w:spacing w:after="0" w:line="240" w:lineRule="auto"/>
              <w:jc w:val="right"/>
            </w:pPr>
            <w:r>
              <w:rPr>
                <w:rFonts w:ascii="Calibri" w:hAnsi="Calibri" w:cs="Calibri"/>
                <w:b/>
                <w:sz w:val="18"/>
              </w:rPr>
              <w:t>105,5</w:t>
            </w:r>
          </w:p>
        </w:tc>
      </w:tr>
    </w:tbl>
    <w:p w:rsidR="003C4FD3" w:rsidRDefault="003C4FD3">
      <w:pPr>
        <w:spacing w:after="0" w:line="240" w:lineRule="auto"/>
      </w:pPr>
    </w:p>
    <w:p w:rsidR="003C4FD3" w:rsidRDefault="003B50E1">
      <w:pPr>
        <w:spacing w:line="240" w:lineRule="auto"/>
        <w:jc w:val="both"/>
      </w:pPr>
      <w:r>
        <w:rPr>
          <w:rFonts w:ascii="Calibri" w:hAnsi="Calibri" w:cs="Calibri"/>
        </w:rPr>
        <w:t>Što se tiče raspoloživih sredstava prikupljenih u FOD-u (Fondu osiguranja depozita) ista se temeljem EU Direktivi o sustavima osiguranja depozita kao i temeljem Zakona o sustavu osiguranja depozita te investicijske politike Agencije, ulažu isključivo u vrijednosne papire (trezorske zapise) Ministarstva financija i/ili obveznice Republike Hrvatske. Razlog tome je što navedena sredstva moraju u gotovo svakom trenutku biti raspoloživa za isplatu osiguranih depozita i zaštićena od bilo kakvih rizika propadanja kreditnih institucija.</w:t>
      </w:r>
    </w:p>
    <w:p w:rsidR="003C4FD3" w:rsidRDefault="003B50E1">
      <w:pPr>
        <w:spacing w:line="240" w:lineRule="auto"/>
        <w:jc w:val="both"/>
      </w:pPr>
      <w:r>
        <w:rPr>
          <w:rFonts w:ascii="Calibri" w:hAnsi="Calibri" w:cs="Calibri"/>
        </w:rPr>
        <w:t>Sredstvima prikupljenim na temelju Zakona o sanaciji kreditnih institucija i investicijskih društava točnije EU Direktive o sanaciji kreditnih institucija i investicijskih društava, od prosinca 2020. godine više ne upravlja Agencija (u smislu ulaganja u vrijednosne papire ili druge instrumente) već isključivo Jedinstveni sanacijski odbor. </w:t>
      </w:r>
    </w:p>
    <w:p w:rsidR="003C4FD3" w:rsidRDefault="003B50E1">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3C4FD3">
        <w:tc>
          <w:tcPr>
            <w:tcW w:w="970" w:type="pct"/>
            <w:shd w:val="clear" w:color="auto" w:fill="BCDFFB"/>
            <w:vAlign w:val="center"/>
          </w:tcPr>
          <w:p w:rsidR="003C4FD3" w:rsidRDefault="003C4FD3">
            <w:pPr>
              <w:spacing w:after="0" w:line="240" w:lineRule="auto"/>
              <w:jc w:val="center"/>
            </w:pPr>
          </w:p>
        </w:tc>
        <w:tc>
          <w:tcPr>
            <w:tcW w:w="1900" w:type="pct"/>
            <w:shd w:val="clear" w:color="auto" w:fill="BCDFFB"/>
            <w:vAlign w:val="center"/>
          </w:tcPr>
          <w:p w:rsidR="003C4FD3" w:rsidRDefault="003B50E1">
            <w:pPr>
              <w:spacing w:after="0" w:line="240" w:lineRule="auto"/>
              <w:jc w:val="center"/>
            </w:pPr>
            <w:r>
              <w:rPr>
                <w:rFonts w:ascii="Calibri" w:hAnsi="Calibri" w:cs="Calibri"/>
                <w:b/>
                <w:sz w:val="18"/>
              </w:rPr>
              <w:t>Stanje obveza na dan 31.12.2022.</w:t>
            </w:r>
          </w:p>
        </w:tc>
        <w:tc>
          <w:tcPr>
            <w:tcW w:w="1900" w:type="pct"/>
            <w:shd w:val="clear" w:color="auto" w:fill="BCDFFB"/>
            <w:vAlign w:val="center"/>
          </w:tcPr>
          <w:p w:rsidR="003C4FD3" w:rsidRDefault="003B50E1">
            <w:pPr>
              <w:spacing w:after="0" w:line="240" w:lineRule="auto"/>
              <w:jc w:val="center"/>
            </w:pPr>
            <w:r>
              <w:rPr>
                <w:rFonts w:ascii="Calibri" w:hAnsi="Calibri" w:cs="Calibri"/>
                <w:b/>
                <w:sz w:val="18"/>
              </w:rPr>
              <w:t>Stanje obveza na dan 30.06.2023.</w:t>
            </w:r>
          </w:p>
        </w:tc>
      </w:tr>
      <w:tr w:rsidR="003C4FD3">
        <w:tc>
          <w:tcPr>
            <w:tcW w:w="970" w:type="pct"/>
            <w:vAlign w:val="center"/>
          </w:tcPr>
          <w:p w:rsidR="003C4FD3" w:rsidRDefault="003B50E1">
            <w:pPr>
              <w:spacing w:after="0" w:line="240" w:lineRule="auto"/>
            </w:pPr>
            <w:r>
              <w:rPr>
                <w:rFonts w:ascii="Calibri" w:hAnsi="Calibri" w:cs="Calibri"/>
                <w:sz w:val="18"/>
              </w:rPr>
              <w:t>UKUPNE OBVEZE</w:t>
            </w:r>
          </w:p>
        </w:tc>
        <w:tc>
          <w:tcPr>
            <w:tcW w:w="1900" w:type="pct"/>
            <w:vAlign w:val="bottom"/>
          </w:tcPr>
          <w:p w:rsidR="003C4FD3" w:rsidRDefault="003B50E1">
            <w:pPr>
              <w:spacing w:after="0" w:line="240" w:lineRule="auto"/>
              <w:jc w:val="right"/>
            </w:pPr>
            <w:r>
              <w:rPr>
                <w:rFonts w:ascii="Calibri" w:hAnsi="Calibri" w:cs="Calibri"/>
                <w:sz w:val="18"/>
              </w:rPr>
              <w:t>876.565</w:t>
            </w:r>
          </w:p>
        </w:tc>
        <w:tc>
          <w:tcPr>
            <w:tcW w:w="1900" w:type="pct"/>
            <w:vAlign w:val="bottom"/>
          </w:tcPr>
          <w:p w:rsidR="003C4FD3" w:rsidRDefault="003B50E1">
            <w:pPr>
              <w:spacing w:after="0" w:line="240" w:lineRule="auto"/>
              <w:jc w:val="right"/>
            </w:pPr>
            <w:r>
              <w:rPr>
                <w:rFonts w:ascii="Calibri" w:hAnsi="Calibri" w:cs="Calibri"/>
                <w:sz w:val="18"/>
              </w:rPr>
              <w:t>999.716</w:t>
            </w:r>
          </w:p>
        </w:tc>
      </w:tr>
      <w:tr w:rsidR="003C4FD3">
        <w:tc>
          <w:tcPr>
            <w:tcW w:w="970" w:type="pct"/>
            <w:vAlign w:val="center"/>
          </w:tcPr>
          <w:p w:rsidR="003C4FD3" w:rsidRDefault="003B50E1">
            <w:pPr>
              <w:spacing w:after="0" w:line="240" w:lineRule="auto"/>
            </w:pPr>
            <w:r>
              <w:rPr>
                <w:rFonts w:ascii="Calibri" w:hAnsi="Calibri" w:cs="Calibri"/>
                <w:sz w:val="18"/>
              </w:rPr>
              <w:t>DOSPJELE OBVEZE</w:t>
            </w:r>
          </w:p>
        </w:tc>
        <w:tc>
          <w:tcPr>
            <w:tcW w:w="1900" w:type="pct"/>
            <w:vAlign w:val="bottom"/>
          </w:tcPr>
          <w:p w:rsidR="003C4FD3" w:rsidRDefault="003B50E1">
            <w:pPr>
              <w:spacing w:after="0" w:line="240" w:lineRule="auto"/>
              <w:jc w:val="right"/>
            </w:pPr>
            <w:r>
              <w:rPr>
                <w:rFonts w:ascii="Calibri" w:hAnsi="Calibri" w:cs="Calibri"/>
                <w:sz w:val="18"/>
              </w:rPr>
              <w:t>0</w:t>
            </w:r>
          </w:p>
        </w:tc>
        <w:tc>
          <w:tcPr>
            <w:tcW w:w="1900" w:type="pct"/>
            <w:vAlign w:val="bottom"/>
          </w:tcPr>
          <w:p w:rsidR="003C4FD3" w:rsidRDefault="003B50E1">
            <w:pPr>
              <w:spacing w:after="0" w:line="240" w:lineRule="auto"/>
              <w:jc w:val="right"/>
            </w:pPr>
            <w:r>
              <w:rPr>
                <w:rFonts w:ascii="Calibri" w:hAnsi="Calibri" w:cs="Calibri"/>
                <w:sz w:val="18"/>
              </w:rPr>
              <w:t>0</w:t>
            </w:r>
          </w:p>
        </w:tc>
      </w:tr>
    </w:tbl>
    <w:p w:rsidR="003C4FD3" w:rsidRDefault="003C4FD3">
      <w:pPr>
        <w:spacing w:after="0" w:line="240" w:lineRule="auto"/>
      </w:pPr>
    </w:p>
    <w:p w:rsidR="003C4FD3" w:rsidRDefault="003B50E1">
      <w:pPr>
        <w:spacing w:line="240" w:lineRule="auto"/>
        <w:jc w:val="both"/>
      </w:pPr>
      <w:r>
        <w:rPr>
          <w:rFonts w:ascii="Calibri" w:hAnsi="Calibri" w:cs="Calibri"/>
        </w:rPr>
        <w:t>Na dan 30.06.2023. Agencija iskazuje obveze u iznosu 999.716 EUR, a koje se odnose za rashode poslovanja. Na dan 30.06.2023. godine Agencija nema dospjelih nepodmirenih obveza.</w:t>
      </w:r>
    </w:p>
    <w:p w:rsidR="003C4FD3" w:rsidRDefault="003B50E1">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004 HRVATSKA AGENCIJA ZA OSIGURANJE DEPOZITA</w:t>
            </w:r>
          </w:p>
        </w:tc>
        <w:tc>
          <w:tcPr>
            <w:tcW w:w="690" w:type="pct"/>
            <w:vAlign w:val="bottom"/>
          </w:tcPr>
          <w:p w:rsidR="003C4FD3" w:rsidRDefault="003B50E1">
            <w:pPr>
              <w:spacing w:after="0" w:line="240" w:lineRule="auto"/>
              <w:jc w:val="right"/>
            </w:pPr>
            <w:r>
              <w:rPr>
                <w:rFonts w:ascii="Calibri" w:hAnsi="Calibri" w:cs="Calibri"/>
                <w:sz w:val="18"/>
              </w:rPr>
              <w:t>103.386.644</w:t>
            </w:r>
          </w:p>
        </w:tc>
        <w:tc>
          <w:tcPr>
            <w:tcW w:w="690" w:type="pct"/>
            <w:vAlign w:val="bottom"/>
          </w:tcPr>
          <w:p w:rsidR="003C4FD3" w:rsidRDefault="003B50E1">
            <w:pPr>
              <w:spacing w:after="0" w:line="240" w:lineRule="auto"/>
              <w:jc w:val="right"/>
            </w:pPr>
            <w:r>
              <w:rPr>
                <w:rFonts w:ascii="Calibri" w:hAnsi="Calibri" w:cs="Calibri"/>
                <w:sz w:val="18"/>
              </w:rPr>
              <w:t>17.888.837</w:t>
            </w:r>
          </w:p>
        </w:tc>
        <w:tc>
          <w:tcPr>
            <w:tcW w:w="690" w:type="pct"/>
            <w:vAlign w:val="bottom"/>
          </w:tcPr>
          <w:p w:rsidR="003C4FD3" w:rsidRDefault="003B50E1">
            <w:pPr>
              <w:spacing w:after="0" w:line="240" w:lineRule="auto"/>
              <w:jc w:val="right"/>
            </w:pPr>
            <w:r>
              <w:rPr>
                <w:rFonts w:ascii="Calibri" w:hAnsi="Calibri" w:cs="Calibri"/>
                <w:sz w:val="18"/>
              </w:rPr>
              <w:t>1.299.342</w:t>
            </w:r>
          </w:p>
        </w:tc>
        <w:tc>
          <w:tcPr>
            <w:tcW w:w="690" w:type="pct"/>
            <w:vAlign w:val="bottom"/>
          </w:tcPr>
          <w:p w:rsidR="003C4FD3" w:rsidRDefault="003B50E1">
            <w:pPr>
              <w:spacing w:after="0" w:line="240" w:lineRule="auto"/>
              <w:jc w:val="right"/>
            </w:pPr>
            <w:r>
              <w:rPr>
                <w:rFonts w:ascii="Calibri" w:hAnsi="Calibri" w:cs="Calibri"/>
                <w:sz w:val="18"/>
              </w:rPr>
              <w:t>1.299.342</w:t>
            </w:r>
          </w:p>
        </w:tc>
        <w:tc>
          <w:tcPr>
            <w:tcW w:w="690" w:type="pct"/>
            <w:vAlign w:val="bottom"/>
          </w:tcPr>
          <w:p w:rsidR="003C4FD3" w:rsidRDefault="003B50E1">
            <w:pPr>
              <w:spacing w:after="0" w:line="240" w:lineRule="auto"/>
              <w:jc w:val="right"/>
            </w:pPr>
            <w:r>
              <w:rPr>
                <w:rFonts w:ascii="Calibri" w:hAnsi="Calibri" w:cs="Calibri"/>
                <w:sz w:val="18"/>
              </w:rPr>
              <w:t>1.299.342</w:t>
            </w:r>
          </w:p>
        </w:tc>
        <w:tc>
          <w:tcPr>
            <w:tcW w:w="400" w:type="pct"/>
            <w:vAlign w:val="bottom"/>
          </w:tcPr>
          <w:p w:rsidR="003C4FD3" w:rsidRDefault="003B50E1">
            <w:pPr>
              <w:spacing w:after="0" w:line="240" w:lineRule="auto"/>
              <w:jc w:val="right"/>
            </w:pPr>
            <w:r>
              <w:rPr>
                <w:rFonts w:ascii="Calibri" w:hAnsi="Calibri" w:cs="Calibri"/>
                <w:sz w:val="18"/>
              </w:rPr>
              <w:t>7,3</w:t>
            </w:r>
          </w:p>
        </w:tc>
      </w:tr>
    </w:tbl>
    <w:p w:rsidR="003C4FD3" w:rsidRDefault="003C4FD3">
      <w:pPr>
        <w:spacing w:after="0" w:line="240" w:lineRule="auto"/>
      </w:pPr>
    </w:p>
    <w:p w:rsidR="003C4FD3" w:rsidRDefault="003B50E1">
      <w:pPr>
        <w:spacing w:line="240" w:lineRule="auto"/>
      </w:pPr>
      <w:r>
        <w:rPr>
          <w:rFonts w:ascii="Calibri" w:hAnsi="Calibri" w:cs="Calibri"/>
          <w:b/>
        </w:rPr>
        <w:br/>
        <w:t>4000 UPRAVLJANJE FONDOM OSIGURANJA DEPOZITA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4000</w:t>
            </w:r>
          </w:p>
        </w:tc>
        <w:tc>
          <w:tcPr>
            <w:tcW w:w="690" w:type="pct"/>
            <w:vAlign w:val="bottom"/>
          </w:tcPr>
          <w:p w:rsidR="003C4FD3" w:rsidRDefault="003B50E1">
            <w:pPr>
              <w:spacing w:after="0" w:line="240" w:lineRule="auto"/>
              <w:jc w:val="right"/>
            </w:pPr>
            <w:r>
              <w:rPr>
                <w:rFonts w:ascii="Calibri" w:hAnsi="Calibri" w:cs="Calibri"/>
                <w:sz w:val="18"/>
              </w:rPr>
              <w:t>82.348.977</w:t>
            </w:r>
          </w:p>
        </w:tc>
        <w:tc>
          <w:tcPr>
            <w:tcW w:w="690" w:type="pct"/>
            <w:vAlign w:val="bottom"/>
          </w:tcPr>
          <w:p w:rsidR="003C4FD3" w:rsidRDefault="003B50E1">
            <w:pPr>
              <w:spacing w:after="0" w:line="240" w:lineRule="auto"/>
              <w:jc w:val="right"/>
            </w:pPr>
            <w:r>
              <w:rPr>
                <w:rFonts w:ascii="Calibri" w:hAnsi="Calibri" w:cs="Calibri"/>
                <w:sz w:val="18"/>
              </w:rPr>
              <w:t>1.769.833</w:t>
            </w:r>
          </w:p>
        </w:tc>
        <w:tc>
          <w:tcPr>
            <w:tcW w:w="690" w:type="pct"/>
            <w:vAlign w:val="bottom"/>
          </w:tcPr>
          <w:p w:rsidR="003C4FD3" w:rsidRDefault="003B50E1">
            <w:pPr>
              <w:spacing w:after="0" w:line="240" w:lineRule="auto"/>
              <w:jc w:val="right"/>
            </w:pPr>
            <w:r>
              <w:rPr>
                <w:rFonts w:ascii="Calibri" w:hAnsi="Calibri" w:cs="Calibri"/>
                <w:sz w:val="18"/>
              </w:rPr>
              <w:t>974.506</w:t>
            </w:r>
          </w:p>
        </w:tc>
        <w:tc>
          <w:tcPr>
            <w:tcW w:w="690" w:type="pct"/>
            <w:vAlign w:val="bottom"/>
          </w:tcPr>
          <w:p w:rsidR="003C4FD3" w:rsidRDefault="003B50E1">
            <w:pPr>
              <w:spacing w:after="0" w:line="240" w:lineRule="auto"/>
              <w:jc w:val="right"/>
            </w:pPr>
            <w:r>
              <w:rPr>
                <w:rFonts w:ascii="Calibri" w:hAnsi="Calibri" w:cs="Calibri"/>
                <w:sz w:val="18"/>
              </w:rPr>
              <w:t>1.169.408</w:t>
            </w:r>
          </w:p>
        </w:tc>
        <w:tc>
          <w:tcPr>
            <w:tcW w:w="690" w:type="pct"/>
            <w:vAlign w:val="bottom"/>
          </w:tcPr>
          <w:p w:rsidR="003C4FD3" w:rsidRDefault="003B50E1">
            <w:pPr>
              <w:spacing w:after="0" w:line="240" w:lineRule="auto"/>
              <w:jc w:val="right"/>
            </w:pPr>
            <w:r>
              <w:rPr>
                <w:rFonts w:ascii="Calibri" w:hAnsi="Calibri" w:cs="Calibri"/>
                <w:sz w:val="18"/>
              </w:rPr>
              <w:t>1.299.342</w:t>
            </w:r>
          </w:p>
        </w:tc>
        <w:tc>
          <w:tcPr>
            <w:tcW w:w="400" w:type="pct"/>
            <w:vAlign w:val="bottom"/>
          </w:tcPr>
          <w:p w:rsidR="003C4FD3" w:rsidRDefault="003B50E1">
            <w:pPr>
              <w:spacing w:after="0" w:line="240" w:lineRule="auto"/>
              <w:jc w:val="right"/>
            </w:pPr>
            <w:r>
              <w:rPr>
                <w:rFonts w:ascii="Calibri" w:hAnsi="Calibri" w:cs="Calibri"/>
                <w:sz w:val="18"/>
              </w:rPr>
              <w:t>55,1</w:t>
            </w:r>
          </w:p>
        </w:tc>
      </w:tr>
    </w:tbl>
    <w:p w:rsidR="003C4FD3" w:rsidRDefault="003C4FD3">
      <w:pPr>
        <w:spacing w:after="0" w:line="240" w:lineRule="auto"/>
      </w:pPr>
    </w:p>
    <w:p w:rsidR="003C4FD3" w:rsidRDefault="003B50E1">
      <w:pPr>
        <w:spacing w:line="240" w:lineRule="auto"/>
      </w:pPr>
      <w:r>
        <w:rPr>
          <w:rFonts w:ascii="Calibri" w:hAnsi="Calibri" w:cs="Calibri"/>
          <w:b/>
        </w:rPr>
        <w:t xml:space="preserve">Cilj: </w:t>
      </w:r>
      <w:r>
        <w:rPr>
          <w:rFonts w:ascii="Calibri" w:hAnsi="Calibri" w:cs="Calibri"/>
        </w:rPr>
        <w:t>Učinkovito upravljanje Fondom osiguranih depozita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6"/>
        <w:gridCol w:w="1058"/>
        <w:gridCol w:w="1026"/>
        <w:gridCol w:w="1026"/>
        <w:gridCol w:w="1027"/>
        <w:gridCol w:w="1027"/>
        <w:gridCol w:w="1027"/>
        <w:gridCol w:w="1027"/>
      </w:tblGrid>
      <w:tr w:rsidR="003C4FD3">
        <w:tc>
          <w:tcPr>
            <w:tcW w:w="950" w:type="pct"/>
            <w:shd w:val="clear" w:color="auto" w:fill="BCDFFB"/>
            <w:vAlign w:val="center"/>
          </w:tcPr>
          <w:p w:rsidR="003C4FD3" w:rsidRDefault="003B50E1">
            <w:pPr>
              <w:spacing w:after="0" w:line="240" w:lineRule="auto"/>
              <w:jc w:val="center"/>
            </w:pPr>
            <w:r>
              <w:rPr>
                <w:rFonts w:ascii="Calibri" w:hAnsi="Calibri" w:cs="Calibri"/>
                <w:b/>
                <w:sz w:val="18"/>
              </w:rPr>
              <w:t>Pokazatelj učinka</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Definicija</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Jedinica</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Polazna vrijednost</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Izvor podataka</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Ciljana vrijednost za 2026.</w:t>
            </w:r>
          </w:p>
        </w:tc>
      </w:tr>
      <w:tr w:rsidR="003C4FD3">
        <w:tc>
          <w:tcPr>
            <w:tcW w:w="950" w:type="pct"/>
            <w:vAlign w:val="center"/>
          </w:tcPr>
          <w:p w:rsidR="003C4FD3" w:rsidRDefault="003B50E1">
            <w:pPr>
              <w:spacing w:after="0" w:line="240" w:lineRule="auto"/>
              <w:jc w:val="center"/>
            </w:pPr>
            <w:r>
              <w:rPr>
                <w:rFonts w:ascii="Calibri" w:hAnsi="Calibri" w:cs="Calibri"/>
                <w:sz w:val="18"/>
              </w:rPr>
              <w:t>Izvještaj o obračunatoj i naplaćenoj premiji za osigurane depozite</w:t>
            </w:r>
          </w:p>
        </w:tc>
        <w:tc>
          <w:tcPr>
            <w:tcW w:w="550" w:type="pct"/>
            <w:vAlign w:val="center"/>
          </w:tcPr>
          <w:p w:rsidR="003C4FD3" w:rsidRDefault="003B50E1">
            <w:pPr>
              <w:spacing w:after="0" w:line="240" w:lineRule="auto"/>
              <w:jc w:val="center"/>
            </w:pPr>
            <w:r>
              <w:rPr>
                <w:rFonts w:ascii="Calibri" w:hAnsi="Calibri" w:cs="Calibri"/>
                <w:sz w:val="18"/>
              </w:rPr>
              <w:t>Agencija obračunava i prikuplja premije za osigurane depozite</w:t>
            </w:r>
          </w:p>
        </w:tc>
        <w:tc>
          <w:tcPr>
            <w:tcW w:w="550" w:type="pct"/>
            <w:vAlign w:val="center"/>
          </w:tcPr>
          <w:p w:rsidR="003C4FD3" w:rsidRDefault="003B50E1">
            <w:pPr>
              <w:spacing w:after="0" w:line="240" w:lineRule="auto"/>
              <w:jc w:val="center"/>
            </w:pPr>
            <w:r>
              <w:rPr>
                <w:rFonts w:ascii="Calibri" w:hAnsi="Calibri" w:cs="Calibri"/>
                <w:sz w:val="18"/>
              </w:rPr>
              <w:t>%</w:t>
            </w:r>
          </w:p>
        </w:tc>
        <w:tc>
          <w:tcPr>
            <w:tcW w:w="550" w:type="pct"/>
            <w:vAlign w:val="center"/>
          </w:tcPr>
          <w:p w:rsidR="003C4FD3" w:rsidRDefault="003B50E1">
            <w:pPr>
              <w:spacing w:after="0" w:line="240" w:lineRule="auto"/>
              <w:jc w:val="right"/>
            </w:pPr>
            <w:r>
              <w:rPr>
                <w:rFonts w:ascii="Calibri" w:hAnsi="Calibri" w:cs="Calibri"/>
                <w:sz w:val="18"/>
              </w:rPr>
              <w:t>100,0</w:t>
            </w:r>
          </w:p>
        </w:tc>
        <w:tc>
          <w:tcPr>
            <w:tcW w:w="550" w:type="pct"/>
            <w:vAlign w:val="center"/>
          </w:tcPr>
          <w:p w:rsidR="003C4FD3" w:rsidRDefault="003B50E1">
            <w:pPr>
              <w:spacing w:after="0" w:line="240" w:lineRule="auto"/>
              <w:jc w:val="center"/>
            </w:pPr>
            <w:r>
              <w:rPr>
                <w:rFonts w:ascii="Calibri" w:hAnsi="Calibri" w:cs="Calibri"/>
                <w:sz w:val="18"/>
              </w:rPr>
              <w:t>HAOD</w:t>
            </w:r>
          </w:p>
        </w:tc>
        <w:tc>
          <w:tcPr>
            <w:tcW w:w="550" w:type="pct"/>
            <w:vAlign w:val="center"/>
          </w:tcPr>
          <w:p w:rsidR="003C4FD3" w:rsidRDefault="003B50E1">
            <w:pPr>
              <w:spacing w:after="0" w:line="240" w:lineRule="auto"/>
              <w:jc w:val="right"/>
            </w:pPr>
            <w:r>
              <w:rPr>
                <w:rFonts w:ascii="Calibri" w:hAnsi="Calibri" w:cs="Calibri"/>
                <w:sz w:val="18"/>
              </w:rPr>
              <w:t>0,0</w:t>
            </w:r>
          </w:p>
        </w:tc>
        <w:tc>
          <w:tcPr>
            <w:tcW w:w="550" w:type="pct"/>
            <w:vAlign w:val="center"/>
          </w:tcPr>
          <w:p w:rsidR="003C4FD3" w:rsidRDefault="003B50E1">
            <w:pPr>
              <w:spacing w:after="0" w:line="240" w:lineRule="auto"/>
              <w:jc w:val="right"/>
            </w:pPr>
            <w:r>
              <w:rPr>
                <w:rFonts w:ascii="Calibri" w:hAnsi="Calibri" w:cs="Calibri"/>
                <w:sz w:val="18"/>
              </w:rPr>
              <w:t>0,0</w:t>
            </w:r>
          </w:p>
        </w:tc>
        <w:tc>
          <w:tcPr>
            <w:tcW w:w="550" w:type="pct"/>
            <w:vAlign w:val="center"/>
          </w:tcPr>
          <w:p w:rsidR="003C4FD3" w:rsidRDefault="003B50E1">
            <w:pPr>
              <w:spacing w:after="0" w:line="240" w:lineRule="auto"/>
              <w:jc w:val="right"/>
            </w:pPr>
            <w:r>
              <w:rPr>
                <w:rFonts w:ascii="Calibri" w:hAnsi="Calibri" w:cs="Calibri"/>
                <w:sz w:val="18"/>
              </w:rPr>
              <w:t>0,0</w:t>
            </w:r>
          </w:p>
        </w:tc>
      </w:tr>
    </w:tbl>
    <w:p w:rsidR="003C4FD3" w:rsidRDefault="003C4FD3">
      <w:pPr>
        <w:spacing w:after="0" w:line="240" w:lineRule="auto"/>
      </w:pPr>
    </w:p>
    <w:p w:rsidR="003C4FD3" w:rsidRDefault="003B50E1">
      <w:pPr>
        <w:spacing w:line="240" w:lineRule="auto"/>
      </w:pPr>
      <w:r>
        <w:rPr>
          <w:rFonts w:ascii="Calibri" w:hAnsi="Calibri" w:cs="Calibri"/>
          <w:b/>
        </w:rPr>
        <w:br/>
        <w:t xml:space="preserve">A400000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A400000</w:t>
            </w:r>
          </w:p>
        </w:tc>
        <w:tc>
          <w:tcPr>
            <w:tcW w:w="690" w:type="pct"/>
            <w:vAlign w:val="bottom"/>
          </w:tcPr>
          <w:p w:rsidR="003C4FD3" w:rsidRDefault="003B50E1">
            <w:pPr>
              <w:spacing w:after="0" w:line="240" w:lineRule="auto"/>
              <w:jc w:val="right"/>
            </w:pPr>
            <w:r>
              <w:rPr>
                <w:rFonts w:ascii="Calibri" w:hAnsi="Calibri" w:cs="Calibri"/>
                <w:sz w:val="18"/>
              </w:rPr>
              <w:t>537.016</w:t>
            </w:r>
          </w:p>
        </w:tc>
        <w:tc>
          <w:tcPr>
            <w:tcW w:w="690" w:type="pct"/>
            <w:vAlign w:val="bottom"/>
          </w:tcPr>
          <w:p w:rsidR="003C4FD3" w:rsidRDefault="003B50E1">
            <w:pPr>
              <w:spacing w:after="0" w:line="240" w:lineRule="auto"/>
              <w:jc w:val="right"/>
            </w:pPr>
            <w:r>
              <w:rPr>
                <w:rFonts w:ascii="Calibri" w:hAnsi="Calibri" w:cs="Calibri"/>
                <w:sz w:val="18"/>
              </w:rPr>
              <w:t>1.583.064</w:t>
            </w:r>
          </w:p>
        </w:tc>
        <w:tc>
          <w:tcPr>
            <w:tcW w:w="690" w:type="pct"/>
            <w:vAlign w:val="bottom"/>
          </w:tcPr>
          <w:p w:rsidR="003C4FD3" w:rsidRDefault="003B50E1">
            <w:pPr>
              <w:spacing w:after="0" w:line="240" w:lineRule="auto"/>
              <w:jc w:val="right"/>
            </w:pPr>
            <w:r>
              <w:rPr>
                <w:rFonts w:ascii="Calibri" w:hAnsi="Calibri" w:cs="Calibri"/>
                <w:sz w:val="18"/>
              </w:rPr>
              <w:t>956.090</w:t>
            </w:r>
          </w:p>
        </w:tc>
        <w:tc>
          <w:tcPr>
            <w:tcW w:w="690" w:type="pct"/>
            <w:vAlign w:val="bottom"/>
          </w:tcPr>
          <w:p w:rsidR="003C4FD3" w:rsidRDefault="003B50E1">
            <w:pPr>
              <w:spacing w:after="0" w:line="240" w:lineRule="auto"/>
              <w:jc w:val="right"/>
            </w:pPr>
            <w:r>
              <w:rPr>
                <w:rFonts w:ascii="Calibri" w:hAnsi="Calibri" w:cs="Calibri"/>
                <w:sz w:val="18"/>
              </w:rPr>
              <w:t>1.147.308</w:t>
            </w:r>
          </w:p>
        </w:tc>
        <w:tc>
          <w:tcPr>
            <w:tcW w:w="690" w:type="pct"/>
            <w:vAlign w:val="bottom"/>
          </w:tcPr>
          <w:p w:rsidR="003C4FD3" w:rsidRDefault="003B50E1">
            <w:pPr>
              <w:spacing w:after="0" w:line="240" w:lineRule="auto"/>
              <w:jc w:val="right"/>
            </w:pPr>
            <w:r>
              <w:rPr>
                <w:rFonts w:ascii="Calibri" w:hAnsi="Calibri" w:cs="Calibri"/>
                <w:sz w:val="18"/>
              </w:rPr>
              <w:t>1.274.787</w:t>
            </w:r>
          </w:p>
        </w:tc>
        <w:tc>
          <w:tcPr>
            <w:tcW w:w="400" w:type="pct"/>
            <w:vAlign w:val="bottom"/>
          </w:tcPr>
          <w:p w:rsidR="003C4FD3" w:rsidRDefault="003B50E1">
            <w:pPr>
              <w:spacing w:after="0" w:line="240" w:lineRule="auto"/>
              <w:jc w:val="right"/>
            </w:pPr>
            <w:r>
              <w:rPr>
                <w:rFonts w:ascii="Calibri" w:hAnsi="Calibri" w:cs="Calibri"/>
                <w:sz w:val="18"/>
              </w:rPr>
              <w:t>60,4</w:t>
            </w:r>
          </w:p>
        </w:tc>
      </w:tr>
    </w:tbl>
    <w:p w:rsidR="003C4FD3" w:rsidRDefault="003C4FD3">
      <w:pPr>
        <w:spacing w:after="0" w:line="240" w:lineRule="auto"/>
      </w:pPr>
    </w:p>
    <w:p w:rsidR="003C4FD3" w:rsidRDefault="003B50E1">
      <w:pPr>
        <w:spacing w:line="240" w:lineRule="auto"/>
        <w:jc w:val="both"/>
      </w:pPr>
      <w:r>
        <w:rPr>
          <w:rFonts w:ascii="Calibri" w:hAnsi="Calibri" w:cs="Calibri"/>
        </w:rPr>
        <w:t>Rashode za administraciju i upravljanje čine rashodi za zaposlene, materijalni rashodi, financijski rashodi i ostali rashodi, a koji su nužni za redovno poslovanje Agencije.</w:t>
      </w:r>
    </w:p>
    <w:p w:rsidR="003C4FD3" w:rsidRDefault="003B50E1">
      <w:pPr>
        <w:spacing w:line="240" w:lineRule="auto"/>
        <w:jc w:val="both"/>
      </w:pPr>
      <w:r>
        <w:rPr>
          <w:rFonts w:ascii="Calibri" w:hAnsi="Calibri" w:cs="Calibri"/>
        </w:rPr>
        <w:t>U 2024. godini planirani su rashodi za administraciju i upravljanje u iznosu od 956.090 EUR, dok su projekcije za 2025. i 2026. godinu planirane u iznosima od 1.147.308 EUR i 1.274.787 EUR.</w:t>
      </w:r>
    </w:p>
    <w:p w:rsidR="003C4FD3" w:rsidRDefault="003B50E1">
      <w:pPr>
        <w:spacing w:line="240" w:lineRule="auto"/>
        <w:jc w:val="both"/>
      </w:pPr>
      <w:r>
        <w:rPr>
          <w:rFonts w:ascii="Calibri" w:hAnsi="Calibri" w:cs="Calibri"/>
        </w:rPr>
        <w:t>Rashodi za zaposlene odnose se na bruto plaće, ostale rashode za zaposlene i doprinose na plaće. Za 2024. godinu rashodi za zaposlene planirani su u iznosu od 588.375 EUR, dok su projekcije za 2025. i 2026. godinu planirane  u iznosima 706.050 EUR i 784.500 EUR.</w:t>
      </w:r>
    </w:p>
    <w:p w:rsidR="003C4FD3" w:rsidRDefault="003B50E1">
      <w:pPr>
        <w:spacing w:line="240" w:lineRule="auto"/>
        <w:jc w:val="both"/>
      </w:pPr>
      <w:r>
        <w:rPr>
          <w:rFonts w:ascii="Calibri" w:hAnsi="Calibri" w:cs="Calibri"/>
        </w:rPr>
        <w:t>Materijalni rashodi za 2024. godinu planirani su u iznosu od 338.840 EUR, dok su projekcije za 2025. i 2026. godinu planirane u iznosima 406.608 EUR i 451.787 EUR .</w:t>
      </w:r>
    </w:p>
    <w:p w:rsidR="003C4FD3" w:rsidRDefault="003B50E1">
      <w:pPr>
        <w:spacing w:line="240" w:lineRule="auto"/>
        <w:jc w:val="both"/>
      </w:pPr>
      <w:r>
        <w:rPr>
          <w:rFonts w:ascii="Calibri" w:hAnsi="Calibri" w:cs="Calibri"/>
        </w:rPr>
        <w:t>Financijski rashodi za 2024. godinu planirani su u iznosu od 28.875 EUR, dok su projekcije za 2025. i 2023. godinu planirane u iznosima od 34.650 EUR i 38.500 EUR.</w:t>
      </w:r>
    </w:p>
    <w:p w:rsidR="003C4FD3" w:rsidRDefault="003B50E1">
      <w:pPr>
        <w:spacing w:line="240" w:lineRule="auto"/>
        <w:jc w:val="both"/>
      </w:pPr>
      <w:r>
        <w:rPr>
          <w:rFonts w:ascii="Calibri" w:hAnsi="Calibri" w:cs="Calibri"/>
        </w:rPr>
        <w:t>Ova aktivnost financira se iz vlastitih sredstava.</w:t>
      </w:r>
    </w:p>
    <w:p w:rsidR="003C4FD3" w:rsidRDefault="003B50E1">
      <w:pPr>
        <w:spacing w:line="240" w:lineRule="auto"/>
      </w:pPr>
      <w:r>
        <w:rPr>
          <w:rFonts w:ascii="Calibri" w:hAnsi="Calibri" w:cs="Calibri"/>
          <w:b/>
        </w:rPr>
        <w:br/>
        <w:t xml:space="preserve">K400000 OPREMANJE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K400000</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5.973</w:t>
            </w:r>
          </w:p>
        </w:tc>
        <w:tc>
          <w:tcPr>
            <w:tcW w:w="690" w:type="pct"/>
            <w:vAlign w:val="bottom"/>
          </w:tcPr>
          <w:p w:rsidR="003C4FD3" w:rsidRDefault="003B50E1">
            <w:pPr>
              <w:spacing w:after="0" w:line="240" w:lineRule="auto"/>
              <w:jc w:val="right"/>
            </w:pPr>
            <w:r>
              <w:rPr>
                <w:rFonts w:ascii="Calibri" w:hAnsi="Calibri" w:cs="Calibri"/>
                <w:sz w:val="18"/>
              </w:rPr>
              <w:t>7.466</w:t>
            </w:r>
          </w:p>
        </w:tc>
        <w:tc>
          <w:tcPr>
            <w:tcW w:w="690" w:type="pct"/>
            <w:vAlign w:val="bottom"/>
          </w:tcPr>
          <w:p w:rsidR="003C4FD3" w:rsidRDefault="003B50E1">
            <w:pPr>
              <w:spacing w:after="0" w:line="240" w:lineRule="auto"/>
              <w:jc w:val="right"/>
            </w:pPr>
            <w:r>
              <w:rPr>
                <w:rFonts w:ascii="Calibri" w:hAnsi="Calibri" w:cs="Calibri"/>
                <w:sz w:val="18"/>
              </w:rPr>
              <w:t>8.960</w:t>
            </w:r>
          </w:p>
        </w:tc>
        <w:tc>
          <w:tcPr>
            <w:tcW w:w="690" w:type="pct"/>
            <w:vAlign w:val="bottom"/>
          </w:tcPr>
          <w:p w:rsidR="003C4FD3" w:rsidRDefault="003B50E1">
            <w:pPr>
              <w:spacing w:after="0" w:line="240" w:lineRule="auto"/>
              <w:jc w:val="right"/>
            </w:pPr>
            <w:r>
              <w:rPr>
                <w:rFonts w:ascii="Calibri" w:hAnsi="Calibri" w:cs="Calibri"/>
                <w:sz w:val="18"/>
              </w:rPr>
              <w:t>9.955</w:t>
            </w:r>
          </w:p>
        </w:tc>
        <w:tc>
          <w:tcPr>
            <w:tcW w:w="400" w:type="pct"/>
            <w:vAlign w:val="bottom"/>
          </w:tcPr>
          <w:p w:rsidR="003C4FD3" w:rsidRDefault="003B50E1">
            <w:pPr>
              <w:spacing w:after="0" w:line="240" w:lineRule="auto"/>
              <w:jc w:val="right"/>
            </w:pPr>
            <w:r>
              <w:rPr>
                <w:rFonts w:ascii="Calibri" w:hAnsi="Calibri" w:cs="Calibri"/>
                <w:sz w:val="18"/>
              </w:rPr>
              <w:t>125,0</w:t>
            </w:r>
          </w:p>
        </w:tc>
      </w:tr>
    </w:tbl>
    <w:p w:rsidR="003C4FD3" w:rsidRDefault="003C4FD3">
      <w:pPr>
        <w:spacing w:after="0" w:line="240" w:lineRule="auto"/>
      </w:pPr>
    </w:p>
    <w:p w:rsidR="003C4FD3" w:rsidRDefault="003B50E1">
      <w:pPr>
        <w:spacing w:line="240" w:lineRule="auto"/>
        <w:jc w:val="both"/>
      </w:pPr>
      <w:r>
        <w:rPr>
          <w:rFonts w:ascii="Calibri" w:hAnsi="Calibri" w:cs="Calibri"/>
        </w:rPr>
        <w:t xml:space="preserve">Aktivnost se odnosi na rashode za nabavu proizvedene dugotrajne imovine, odnosno postrojenja i opreme koju čine uredska oprema i namještaj, komunikacijska oprema i oprema za održavanje i zaštitu, sve sa ciljem obavljanja redovne djelatnosti Agencije. U 2024. godini planirana je realizacija u iznosu 7.466 EUR, dok su projekcije za 2025. i 2026. godinu planirane u iznosima od 8.960 EUR i 9.955 EUR. </w:t>
      </w:r>
    </w:p>
    <w:p w:rsidR="003C4FD3" w:rsidRDefault="003B50E1">
      <w:pPr>
        <w:spacing w:line="240" w:lineRule="auto"/>
        <w:jc w:val="both"/>
      </w:pPr>
      <w:r>
        <w:rPr>
          <w:rFonts w:ascii="Calibri" w:hAnsi="Calibri" w:cs="Calibri"/>
        </w:rPr>
        <w:t>Ovaj projekt financira se  iz vlastitih sredstava.</w:t>
      </w:r>
    </w:p>
    <w:p w:rsidR="003C4FD3" w:rsidRDefault="003B50E1">
      <w:pPr>
        <w:spacing w:line="240" w:lineRule="auto"/>
      </w:pPr>
      <w:r>
        <w:rPr>
          <w:rFonts w:ascii="Calibri" w:hAnsi="Calibri" w:cs="Calibri"/>
          <w:b/>
        </w:rPr>
        <w:lastRenderedPageBreak/>
        <w:t>K400001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K400001</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180.796</w:t>
            </w:r>
          </w:p>
        </w:tc>
        <w:tc>
          <w:tcPr>
            <w:tcW w:w="690" w:type="pct"/>
            <w:vAlign w:val="bottom"/>
          </w:tcPr>
          <w:p w:rsidR="003C4FD3" w:rsidRDefault="003B50E1">
            <w:pPr>
              <w:spacing w:after="0" w:line="240" w:lineRule="auto"/>
              <w:jc w:val="right"/>
            </w:pPr>
            <w:r>
              <w:rPr>
                <w:rFonts w:ascii="Calibri" w:hAnsi="Calibri" w:cs="Calibri"/>
                <w:sz w:val="18"/>
              </w:rPr>
              <w:t>10.950</w:t>
            </w:r>
          </w:p>
        </w:tc>
        <w:tc>
          <w:tcPr>
            <w:tcW w:w="690" w:type="pct"/>
            <w:vAlign w:val="bottom"/>
          </w:tcPr>
          <w:p w:rsidR="003C4FD3" w:rsidRDefault="003B50E1">
            <w:pPr>
              <w:spacing w:after="0" w:line="240" w:lineRule="auto"/>
              <w:jc w:val="right"/>
            </w:pPr>
            <w:r>
              <w:rPr>
                <w:rFonts w:ascii="Calibri" w:hAnsi="Calibri" w:cs="Calibri"/>
                <w:sz w:val="18"/>
              </w:rPr>
              <w:t>13.140</w:t>
            </w:r>
          </w:p>
        </w:tc>
        <w:tc>
          <w:tcPr>
            <w:tcW w:w="690" w:type="pct"/>
            <w:vAlign w:val="bottom"/>
          </w:tcPr>
          <w:p w:rsidR="003C4FD3" w:rsidRDefault="003B50E1">
            <w:pPr>
              <w:spacing w:after="0" w:line="240" w:lineRule="auto"/>
              <w:jc w:val="right"/>
            </w:pPr>
            <w:r>
              <w:rPr>
                <w:rFonts w:ascii="Calibri" w:hAnsi="Calibri" w:cs="Calibri"/>
                <w:sz w:val="18"/>
              </w:rPr>
              <w:t>14.600</w:t>
            </w:r>
          </w:p>
        </w:tc>
        <w:tc>
          <w:tcPr>
            <w:tcW w:w="400" w:type="pct"/>
            <w:vAlign w:val="bottom"/>
          </w:tcPr>
          <w:p w:rsidR="003C4FD3" w:rsidRDefault="003B50E1">
            <w:pPr>
              <w:spacing w:after="0" w:line="240" w:lineRule="auto"/>
              <w:jc w:val="right"/>
            </w:pPr>
            <w:r>
              <w:rPr>
                <w:rFonts w:ascii="Calibri" w:hAnsi="Calibri" w:cs="Calibri"/>
                <w:sz w:val="18"/>
              </w:rPr>
              <w:t>6,1</w:t>
            </w:r>
          </w:p>
        </w:tc>
      </w:tr>
    </w:tbl>
    <w:p w:rsidR="003C4FD3" w:rsidRDefault="003C4FD3">
      <w:pPr>
        <w:spacing w:after="0" w:line="240" w:lineRule="auto"/>
      </w:pPr>
    </w:p>
    <w:p w:rsidR="003C4FD3" w:rsidRDefault="003B50E1">
      <w:pPr>
        <w:spacing w:line="240" w:lineRule="auto"/>
        <w:jc w:val="both"/>
      </w:pPr>
      <w:r>
        <w:rPr>
          <w:rFonts w:ascii="Calibri" w:hAnsi="Calibri" w:cs="Calibri"/>
        </w:rPr>
        <w:t>Aktivnost se odnosi na rashode za nabavu ne proizvedene dugotrajne imovine, odnosno ne materijalne imovine koju čine licence i rashode za nabavu proizvedene dugotrajne imovine koju čine ulaganja u računalne programe, a sve sa ciljem obavljanja redovne djelatnosti Agencije. U 2024. godini planirana je realizacija u iznosu 10.950 EUR, dok su projekcije za 2025. i 2026. godinu  u iznosima od  13.140 EUR i 14.600 EUR.</w:t>
      </w:r>
    </w:p>
    <w:p w:rsidR="003C4FD3" w:rsidRDefault="003B50E1">
      <w:pPr>
        <w:spacing w:line="240" w:lineRule="auto"/>
        <w:jc w:val="both"/>
      </w:pPr>
      <w:r>
        <w:rPr>
          <w:rFonts w:ascii="Calibri" w:hAnsi="Calibri" w:cs="Calibri"/>
        </w:rPr>
        <w:t>Ovaj projekt financira se iz vlastitih sredstava.</w:t>
      </w:r>
    </w:p>
    <w:p w:rsidR="003C4FD3" w:rsidRDefault="003B50E1">
      <w:pPr>
        <w:spacing w:line="240" w:lineRule="auto"/>
      </w:pPr>
      <w:r>
        <w:rPr>
          <w:rFonts w:ascii="Calibri" w:hAnsi="Calibri" w:cs="Calibri"/>
          <w:b/>
        </w:rPr>
        <w:br/>
        <w:t>4002 UPRAVLJANJE SANACIJSKIM FONDOM</w:t>
      </w:r>
    </w:p>
    <w:p w:rsidR="003C4FD3" w:rsidRDefault="003B50E1">
      <w:pPr>
        <w:spacing w:line="240" w:lineRule="auto"/>
        <w:jc w:val="both"/>
      </w:pPr>
      <w:r>
        <w:rPr>
          <w:rFonts w:ascii="Calibri" w:hAnsi="Calibri" w:cs="Calibri"/>
        </w:rPr>
        <w:t>Obzirom na EU regulativu prikupljena sredstava od 31.12.2023. godine transferirana su SRF (Jedinstveni sanacijski fond), te Agencija ne planira daljnja prikupljanja navedenih sredstava.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4002</w:t>
            </w:r>
          </w:p>
        </w:tc>
        <w:tc>
          <w:tcPr>
            <w:tcW w:w="690" w:type="pct"/>
            <w:vAlign w:val="bottom"/>
          </w:tcPr>
          <w:p w:rsidR="003C4FD3" w:rsidRDefault="003B50E1">
            <w:pPr>
              <w:spacing w:after="0" w:line="240" w:lineRule="auto"/>
              <w:jc w:val="right"/>
            </w:pPr>
            <w:r>
              <w:rPr>
                <w:rFonts w:ascii="Calibri" w:hAnsi="Calibri" w:cs="Calibri"/>
                <w:sz w:val="18"/>
              </w:rPr>
              <w:t>20.999.790</w:t>
            </w:r>
          </w:p>
        </w:tc>
        <w:tc>
          <w:tcPr>
            <w:tcW w:w="690" w:type="pct"/>
            <w:vAlign w:val="bottom"/>
          </w:tcPr>
          <w:p w:rsidR="003C4FD3" w:rsidRDefault="003B50E1">
            <w:pPr>
              <w:spacing w:after="0" w:line="240" w:lineRule="auto"/>
              <w:jc w:val="right"/>
            </w:pPr>
            <w:r>
              <w:rPr>
                <w:rFonts w:ascii="Calibri" w:hAnsi="Calibri" w:cs="Calibri"/>
                <w:sz w:val="18"/>
              </w:rPr>
              <w:t>16.119.004</w:t>
            </w:r>
          </w:p>
        </w:tc>
        <w:tc>
          <w:tcPr>
            <w:tcW w:w="690" w:type="pct"/>
            <w:vAlign w:val="bottom"/>
          </w:tcPr>
          <w:p w:rsidR="003C4FD3" w:rsidRDefault="003B50E1">
            <w:pPr>
              <w:spacing w:after="0" w:line="240" w:lineRule="auto"/>
              <w:jc w:val="right"/>
            </w:pPr>
            <w:r>
              <w:rPr>
                <w:rFonts w:ascii="Calibri" w:hAnsi="Calibri" w:cs="Calibri"/>
                <w:sz w:val="18"/>
              </w:rPr>
              <w:t>324.836</w:t>
            </w:r>
          </w:p>
        </w:tc>
        <w:tc>
          <w:tcPr>
            <w:tcW w:w="690" w:type="pct"/>
            <w:vAlign w:val="bottom"/>
          </w:tcPr>
          <w:p w:rsidR="003C4FD3" w:rsidRDefault="003B50E1">
            <w:pPr>
              <w:spacing w:after="0" w:line="240" w:lineRule="auto"/>
              <w:jc w:val="right"/>
            </w:pPr>
            <w:r>
              <w:rPr>
                <w:rFonts w:ascii="Calibri" w:hAnsi="Calibri" w:cs="Calibri"/>
                <w:sz w:val="18"/>
              </w:rPr>
              <w:t>129.934</w:t>
            </w:r>
          </w:p>
        </w:tc>
        <w:tc>
          <w:tcPr>
            <w:tcW w:w="690" w:type="pct"/>
            <w:vAlign w:val="bottom"/>
          </w:tcPr>
          <w:p w:rsidR="003C4FD3" w:rsidRDefault="003B50E1">
            <w:pPr>
              <w:spacing w:after="0" w:line="240" w:lineRule="auto"/>
              <w:jc w:val="right"/>
            </w:pPr>
            <w:r>
              <w:rPr>
                <w:rFonts w:ascii="Calibri" w:hAnsi="Calibri" w:cs="Calibri"/>
                <w:sz w:val="18"/>
              </w:rPr>
              <w:t>0</w:t>
            </w:r>
          </w:p>
        </w:tc>
        <w:tc>
          <w:tcPr>
            <w:tcW w:w="400" w:type="pct"/>
            <w:vAlign w:val="bottom"/>
          </w:tcPr>
          <w:p w:rsidR="003C4FD3" w:rsidRDefault="003B50E1">
            <w:pPr>
              <w:spacing w:after="0" w:line="240" w:lineRule="auto"/>
              <w:jc w:val="right"/>
            </w:pPr>
            <w:r>
              <w:rPr>
                <w:rFonts w:ascii="Calibri" w:hAnsi="Calibri" w:cs="Calibri"/>
                <w:sz w:val="18"/>
              </w:rPr>
              <w:t>2,0</w:t>
            </w:r>
          </w:p>
        </w:tc>
      </w:tr>
    </w:tbl>
    <w:p w:rsidR="003C4FD3" w:rsidRDefault="003C4FD3">
      <w:pPr>
        <w:spacing w:after="0" w:line="240" w:lineRule="auto"/>
      </w:pPr>
    </w:p>
    <w:p w:rsidR="003C4FD3" w:rsidRDefault="003B50E1">
      <w:pPr>
        <w:spacing w:line="240" w:lineRule="auto"/>
      </w:pPr>
      <w:r>
        <w:rPr>
          <w:rFonts w:ascii="Calibri" w:hAnsi="Calibri" w:cs="Calibri"/>
          <w:b/>
        </w:rPr>
        <w:t xml:space="preserve">Cilj: </w:t>
      </w:r>
      <w:r>
        <w:rPr>
          <w:rFonts w:ascii="Calibri" w:hAnsi="Calibri" w:cs="Calibri"/>
        </w:rPr>
        <w:t>Učinkovita administracija i podrška Jedinstvenom sanacijskom odboru (SRB) i Jedinstvenom sanacijskom fondu (SRF)</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4"/>
        <w:gridCol w:w="1282"/>
        <w:gridCol w:w="994"/>
        <w:gridCol w:w="994"/>
        <w:gridCol w:w="995"/>
        <w:gridCol w:w="995"/>
        <w:gridCol w:w="995"/>
        <w:gridCol w:w="995"/>
      </w:tblGrid>
      <w:tr w:rsidR="003C4FD3">
        <w:tc>
          <w:tcPr>
            <w:tcW w:w="950" w:type="pct"/>
            <w:shd w:val="clear" w:color="auto" w:fill="BCDFFB"/>
            <w:vAlign w:val="center"/>
          </w:tcPr>
          <w:p w:rsidR="003C4FD3" w:rsidRDefault="003B50E1">
            <w:pPr>
              <w:spacing w:after="0" w:line="240" w:lineRule="auto"/>
              <w:jc w:val="center"/>
            </w:pPr>
            <w:r>
              <w:rPr>
                <w:rFonts w:ascii="Calibri" w:hAnsi="Calibri" w:cs="Calibri"/>
                <w:b/>
                <w:sz w:val="18"/>
              </w:rPr>
              <w:t>Pokazatelj učinka</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Definicija</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Jedinica</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Polazna vrijednost</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Izvor podataka</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C4FD3" w:rsidRDefault="003B50E1">
            <w:pPr>
              <w:spacing w:after="0" w:line="240" w:lineRule="auto"/>
              <w:jc w:val="center"/>
            </w:pPr>
            <w:r>
              <w:rPr>
                <w:rFonts w:ascii="Calibri" w:hAnsi="Calibri" w:cs="Calibri"/>
                <w:b/>
                <w:sz w:val="18"/>
              </w:rPr>
              <w:t>Ciljana vrijednost za 2026.</w:t>
            </w:r>
          </w:p>
        </w:tc>
      </w:tr>
      <w:tr w:rsidR="003C4FD3">
        <w:tc>
          <w:tcPr>
            <w:tcW w:w="950" w:type="pct"/>
            <w:vAlign w:val="center"/>
          </w:tcPr>
          <w:p w:rsidR="003C4FD3" w:rsidRDefault="003B50E1">
            <w:pPr>
              <w:spacing w:after="0" w:line="240" w:lineRule="auto"/>
              <w:jc w:val="center"/>
            </w:pPr>
            <w:r>
              <w:rPr>
                <w:rFonts w:ascii="Calibri" w:hAnsi="Calibri" w:cs="Calibri"/>
                <w:sz w:val="18"/>
              </w:rPr>
              <w:t>Izvještaj Jedinstvenog sanacijskog odbora (SRB) o stanju fonda</w:t>
            </w:r>
          </w:p>
        </w:tc>
        <w:tc>
          <w:tcPr>
            <w:tcW w:w="550" w:type="pct"/>
            <w:vAlign w:val="center"/>
          </w:tcPr>
          <w:p w:rsidR="003C4FD3" w:rsidRDefault="003B50E1">
            <w:pPr>
              <w:spacing w:after="0" w:line="240" w:lineRule="auto"/>
              <w:jc w:val="center"/>
            </w:pPr>
            <w:r>
              <w:rPr>
                <w:rFonts w:ascii="Calibri" w:hAnsi="Calibri" w:cs="Calibri"/>
                <w:sz w:val="18"/>
              </w:rPr>
              <w:t>Agencija za Jedinstveni sanacijski odbor (SRB) i Jedinstveni sanacijski fond (SRF) obavlja administraciju, podršku i prijenos doprinosa</w:t>
            </w:r>
          </w:p>
        </w:tc>
        <w:tc>
          <w:tcPr>
            <w:tcW w:w="550" w:type="pct"/>
            <w:vAlign w:val="center"/>
          </w:tcPr>
          <w:p w:rsidR="003C4FD3" w:rsidRDefault="003B50E1">
            <w:pPr>
              <w:spacing w:after="0" w:line="240" w:lineRule="auto"/>
              <w:jc w:val="center"/>
            </w:pPr>
            <w:r>
              <w:rPr>
                <w:rFonts w:ascii="Calibri" w:hAnsi="Calibri" w:cs="Calibri"/>
                <w:sz w:val="18"/>
              </w:rPr>
              <w:t>%</w:t>
            </w:r>
          </w:p>
        </w:tc>
        <w:tc>
          <w:tcPr>
            <w:tcW w:w="550" w:type="pct"/>
            <w:vAlign w:val="center"/>
          </w:tcPr>
          <w:p w:rsidR="003C4FD3" w:rsidRDefault="003B50E1">
            <w:pPr>
              <w:spacing w:after="0" w:line="240" w:lineRule="auto"/>
              <w:jc w:val="right"/>
            </w:pPr>
            <w:r>
              <w:rPr>
                <w:rFonts w:ascii="Calibri" w:hAnsi="Calibri" w:cs="Calibri"/>
                <w:sz w:val="18"/>
              </w:rPr>
              <w:t>100,0</w:t>
            </w:r>
          </w:p>
        </w:tc>
        <w:tc>
          <w:tcPr>
            <w:tcW w:w="550" w:type="pct"/>
            <w:vAlign w:val="center"/>
          </w:tcPr>
          <w:p w:rsidR="003C4FD3" w:rsidRDefault="003B50E1">
            <w:pPr>
              <w:spacing w:after="0" w:line="240" w:lineRule="auto"/>
              <w:jc w:val="center"/>
            </w:pPr>
            <w:r>
              <w:rPr>
                <w:rFonts w:ascii="Calibri" w:hAnsi="Calibri" w:cs="Calibri"/>
                <w:sz w:val="18"/>
              </w:rPr>
              <w:t>HAOD</w:t>
            </w:r>
          </w:p>
        </w:tc>
        <w:tc>
          <w:tcPr>
            <w:tcW w:w="550" w:type="pct"/>
            <w:vAlign w:val="center"/>
          </w:tcPr>
          <w:p w:rsidR="003C4FD3" w:rsidRDefault="003B50E1">
            <w:pPr>
              <w:spacing w:after="0" w:line="240" w:lineRule="auto"/>
              <w:jc w:val="right"/>
            </w:pPr>
            <w:r>
              <w:rPr>
                <w:rFonts w:ascii="Calibri" w:hAnsi="Calibri" w:cs="Calibri"/>
                <w:sz w:val="18"/>
              </w:rPr>
              <w:t>0,0</w:t>
            </w:r>
          </w:p>
        </w:tc>
        <w:tc>
          <w:tcPr>
            <w:tcW w:w="550" w:type="pct"/>
            <w:vAlign w:val="center"/>
          </w:tcPr>
          <w:p w:rsidR="003C4FD3" w:rsidRDefault="003B50E1">
            <w:pPr>
              <w:spacing w:after="0" w:line="240" w:lineRule="auto"/>
              <w:jc w:val="right"/>
            </w:pPr>
            <w:r>
              <w:rPr>
                <w:rFonts w:ascii="Calibri" w:hAnsi="Calibri" w:cs="Calibri"/>
                <w:sz w:val="18"/>
              </w:rPr>
              <w:t>0,0</w:t>
            </w:r>
          </w:p>
        </w:tc>
        <w:tc>
          <w:tcPr>
            <w:tcW w:w="550" w:type="pct"/>
            <w:vAlign w:val="center"/>
          </w:tcPr>
          <w:p w:rsidR="003C4FD3" w:rsidRDefault="003B50E1">
            <w:pPr>
              <w:spacing w:after="0" w:line="240" w:lineRule="auto"/>
              <w:jc w:val="right"/>
            </w:pPr>
            <w:r>
              <w:rPr>
                <w:rFonts w:ascii="Calibri" w:hAnsi="Calibri" w:cs="Calibri"/>
                <w:sz w:val="18"/>
              </w:rPr>
              <w:t>0,0</w:t>
            </w:r>
          </w:p>
        </w:tc>
      </w:tr>
    </w:tbl>
    <w:p w:rsidR="003C4FD3" w:rsidRDefault="003C4FD3">
      <w:pPr>
        <w:spacing w:after="0" w:line="240" w:lineRule="auto"/>
      </w:pPr>
    </w:p>
    <w:p w:rsidR="003C4FD3" w:rsidRDefault="003B50E1">
      <w:pPr>
        <w:spacing w:line="240" w:lineRule="auto"/>
      </w:pPr>
      <w:r>
        <w:rPr>
          <w:rFonts w:ascii="Calibri" w:hAnsi="Calibri" w:cs="Calibri"/>
          <w:b/>
        </w:rPr>
        <w:br/>
        <w:t xml:space="preserve">A400002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A400002</w:t>
            </w:r>
          </w:p>
        </w:tc>
        <w:tc>
          <w:tcPr>
            <w:tcW w:w="690" w:type="pct"/>
            <w:vAlign w:val="bottom"/>
          </w:tcPr>
          <w:p w:rsidR="003C4FD3" w:rsidRDefault="003B50E1">
            <w:pPr>
              <w:spacing w:after="0" w:line="240" w:lineRule="auto"/>
              <w:jc w:val="right"/>
            </w:pPr>
            <w:r>
              <w:rPr>
                <w:rFonts w:ascii="Calibri" w:hAnsi="Calibri" w:cs="Calibri"/>
                <w:sz w:val="18"/>
              </w:rPr>
              <w:t>458.341</w:t>
            </w:r>
          </w:p>
        </w:tc>
        <w:tc>
          <w:tcPr>
            <w:tcW w:w="690" w:type="pct"/>
            <w:vAlign w:val="bottom"/>
          </w:tcPr>
          <w:p w:rsidR="003C4FD3" w:rsidRDefault="003B50E1">
            <w:pPr>
              <w:spacing w:after="0" w:line="240" w:lineRule="auto"/>
              <w:jc w:val="right"/>
            </w:pPr>
            <w:r>
              <w:rPr>
                <w:rFonts w:ascii="Calibri" w:hAnsi="Calibri" w:cs="Calibri"/>
                <w:sz w:val="18"/>
              </w:rPr>
              <w:t>1.055.361</w:t>
            </w:r>
          </w:p>
        </w:tc>
        <w:tc>
          <w:tcPr>
            <w:tcW w:w="690" w:type="pct"/>
            <w:vAlign w:val="bottom"/>
          </w:tcPr>
          <w:p w:rsidR="003C4FD3" w:rsidRDefault="003B50E1">
            <w:pPr>
              <w:spacing w:after="0" w:line="240" w:lineRule="auto"/>
              <w:jc w:val="right"/>
            </w:pPr>
            <w:r>
              <w:rPr>
                <w:rFonts w:ascii="Calibri" w:hAnsi="Calibri" w:cs="Calibri"/>
                <w:sz w:val="18"/>
              </w:rPr>
              <w:t>318.697</w:t>
            </w:r>
          </w:p>
        </w:tc>
        <w:tc>
          <w:tcPr>
            <w:tcW w:w="690" w:type="pct"/>
            <w:vAlign w:val="bottom"/>
          </w:tcPr>
          <w:p w:rsidR="003C4FD3" w:rsidRDefault="003B50E1">
            <w:pPr>
              <w:spacing w:after="0" w:line="240" w:lineRule="auto"/>
              <w:jc w:val="right"/>
            </w:pPr>
            <w:r>
              <w:rPr>
                <w:rFonts w:ascii="Calibri" w:hAnsi="Calibri" w:cs="Calibri"/>
                <w:sz w:val="18"/>
              </w:rPr>
              <w:t>127.479</w:t>
            </w:r>
          </w:p>
        </w:tc>
        <w:tc>
          <w:tcPr>
            <w:tcW w:w="690" w:type="pct"/>
            <w:vAlign w:val="bottom"/>
          </w:tcPr>
          <w:p w:rsidR="003C4FD3" w:rsidRDefault="003B50E1">
            <w:pPr>
              <w:spacing w:after="0" w:line="240" w:lineRule="auto"/>
              <w:jc w:val="right"/>
            </w:pPr>
            <w:r>
              <w:rPr>
                <w:rFonts w:ascii="Calibri" w:hAnsi="Calibri" w:cs="Calibri"/>
                <w:sz w:val="18"/>
              </w:rPr>
              <w:t>0</w:t>
            </w:r>
          </w:p>
        </w:tc>
        <w:tc>
          <w:tcPr>
            <w:tcW w:w="400" w:type="pct"/>
            <w:vAlign w:val="bottom"/>
          </w:tcPr>
          <w:p w:rsidR="003C4FD3" w:rsidRDefault="003B50E1">
            <w:pPr>
              <w:spacing w:after="0" w:line="240" w:lineRule="auto"/>
              <w:jc w:val="right"/>
            </w:pPr>
            <w:r>
              <w:rPr>
                <w:rFonts w:ascii="Calibri" w:hAnsi="Calibri" w:cs="Calibri"/>
                <w:sz w:val="18"/>
              </w:rPr>
              <w:t>30,2</w:t>
            </w:r>
          </w:p>
        </w:tc>
      </w:tr>
    </w:tbl>
    <w:p w:rsidR="003C4FD3" w:rsidRDefault="003C4FD3">
      <w:pPr>
        <w:spacing w:after="0" w:line="240" w:lineRule="auto"/>
      </w:pPr>
    </w:p>
    <w:p w:rsidR="003C4FD3" w:rsidRDefault="003B50E1">
      <w:pPr>
        <w:spacing w:line="240" w:lineRule="auto"/>
        <w:jc w:val="both"/>
      </w:pPr>
      <w:r>
        <w:rPr>
          <w:rFonts w:ascii="Calibri" w:hAnsi="Calibri" w:cs="Calibri"/>
        </w:rPr>
        <w:t>Rashode za administraciju i upravljanje čine rashodi za zaposlene, materijalni rashodi, financijski rashodi i ostali rashodi, a koji su nužni za redovno poslovanje Agencije.</w:t>
      </w:r>
    </w:p>
    <w:p w:rsidR="003C4FD3" w:rsidRDefault="003B50E1">
      <w:pPr>
        <w:spacing w:line="240" w:lineRule="auto"/>
        <w:jc w:val="both"/>
      </w:pPr>
      <w:r>
        <w:rPr>
          <w:rFonts w:ascii="Calibri" w:hAnsi="Calibri" w:cs="Calibri"/>
        </w:rPr>
        <w:t>U 2024. godini planirani su rashodi za administraciju i upravljanje u iznosu od 318.697 EUR, za 2025. planirani su rashodi u iznosu od 127.479 EUR, dok za 2026. godinu nema planiranih rashoda.</w:t>
      </w:r>
    </w:p>
    <w:p w:rsidR="003C4FD3" w:rsidRDefault="003B50E1">
      <w:pPr>
        <w:spacing w:line="240" w:lineRule="auto"/>
        <w:jc w:val="both"/>
      </w:pPr>
      <w:r>
        <w:rPr>
          <w:rFonts w:ascii="Calibri" w:hAnsi="Calibri" w:cs="Calibri"/>
        </w:rPr>
        <w:t>Rashodi za zaposlene odnose se na bruto plaće, ostale rashode za zaposlene i doprinose na plaće. Za 2024. godinu rashodi za zaposlene planirani su u iznosu od 196.125 EUR,  za 2025. godinu planirani su rashodi u iznosu od 78.450 EUR, dok za 2026. godinu nema planiranih rashoda. </w:t>
      </w:r>
    </w:p>
    <w:p w:rsidR="003C4FD3" w:rsidRDefault="003B50E1">
      <w:pPr>
        <w:spacing w:line="240" w:lineRule="auto"/>
        <w:jc w:val="both"/>
      </w:pPr>
      <w:r>
        <w:rPr>
          <w:rFonts w:ascii="Calibri" w:hAnsi="Calibri" w:cs="Calibri"/>
        </w:rPr>
        <w:lastRenderedPageBreak/>
        <w:t>Materijalni rashodi za 2024. godinu planirani su u iznosu od 112.947 EUR, za 2025. godinu planirani su materijalni rashodi u iznosu od 45.179 EUR, dok za 2026. godinu nema planiranih rashoda.</w:t>
      </w:r>
    </w:p>
    <w:p w:rsidR="003C4FD3" w:rsidRDefault="003B50E1">
      <w:pPr>
        <w:spacing w:line="240" w:lineRule="auto"/>
        <w:jc w:val="both"/>
      </w:pPr>
      <w:r>
        <w:rPr>
          <w:rFonts w:ascii="Calibri" w:hAnsi="Calibri" w:cs="Calibri"/>
        </w:rPr>
        <w:t>Financijski rashodi za 2024. godinu planirani su u iznosu od 9.625 EUR, za 2025. godinu planirani su financijski rashodi u iznosu od 3.850 EUR, dok za 2026. godinu nema planiranih rashoda.</w:t>
      </w:r>
    </w:p>
    <w:p w:rsidR="003C4FD3" w:rsidRDefault="003B50E1">
      <w:pPr>
        <w:spacing w:line="240" w:lineRule="auto"/>
        <w:jc w:val="both"/>
      </w:pPr>
      <w:r>
        <w:rPr>
          <w:rFonts w:ascii="Calibri" w:hAnsi="Calibri" w:cs="Calibri"/>
        </w:rPr>
        <w:t>Ova aktivnost financira se iz vlastitih sredstava.</w:t>
      </w:r>
    </w:p>
    <w:p w:rsidR="003C4FD3" w:rsidRDefault="003B50E1">
      <w:pPr>
        <w:spacing w:line="240" w:lineRule="auto"/>
      </w:pPr>
      <w:r>
        <w:rPr>
          <w:rFonts w:ascii="Calibri" w:hAnsi="Calibri" w:cs="Calibri"/>
          <w:b/>
        </w:rPr>
        <w:br/>
        <w:t xml:space="preserve">K400002 OPREMANJE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K400002</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3.982</w:t>
            </w:r>
          </w:p>
        </w:tc>
        <w:tc>
          <w:tcPr>
            <w:tcW w:w="690" w:type="pct"/>
            <w:vAlign w:val="bottom"/>
          </w:tcPr>
          <w:p w:rsidR="003C4FD3" w:rsidRDefault="003B50E1">
            <w:pPr>
              <w:spacing w:after="0" w:line="240" w:lineRule="auto"/>
              <w:jc w:val="right"/>
            </w:pPr>
            <w:r>
              <w:rPr>
                <w:rFonts w:ascii="Calibri" w:hAnsi="Calibri" w:cs="Calibri"/>
                <w:sz w:val="18"/>
              </w:rPr>
              <w:t>2.489</w:t>
            </w:r>
          </w:p>
        </w:tc>
        <w:tc>
          <w:tcPr>
            <w:tcW w:w="690" w:type="pct"/>
            <w:vAlign w:val="bottom"/>
          </w:tcPr>
          <w:p w:rsidR="003C4FD3" w:rsidRDefault="003B50E1">
            <w:pPr>
              <w:spacing w:after="0" w:line="240" w:lineRule="auto"/>
              <w:jc w:val="right"/>
            </w:pPr>
            <w:r>
              <w:rPr>
                <w:rFonts w:ascii="Calibri" w:hAnsi="Calibri" w:cs="Calibri"/>
                <w:sz w:val="18"/>
              </w:rPr>
              <w:t>995</w:t>
            </w:r>
          </w:p>
        </w:tc>
        <w:tc>
          <w:tcPr>
            <w:tcW w:w="690" w:type="pct"/>
            <w:vAlign w:val="bottom"/>
          </w:tcPr>
          <w:p w:rsidR="003C4FD3" w:rsidRDefault="003B50E1">
            <w:pPr>
              <w:spacing w:after="0" w:line="240" w:lineRule="auto"/>
              <w:jc w:val="right"/>
            </w:pPr>
            <w:r>
              <w:rPr>
                <w:rFonts w:ascii="Calibri" w:hAnsi="Calibri" w:cs="Calibri"/>
                <w:sz w:val="18"/>
              </w:rPr>
              <w:t>0</w:t>
            </w:r>
          </w:p>
        </w:tc>
        <w:tc>
          <w:tcPr>
            <w:tcW w:w="400" w:type="pct"/>
            <w:vAlign w:val="bottom"/>
          </w:tcPr>
          <w:p w:rsidR="003C4FD3" w:rsidRDefault="003B50E1">
            <w:pPr>
              <w:spacing w:after="0" w:line="240" w:lineRule="auto"/>
              <w:jc w:val="right"/>
            </w:pPr>
            <w:r>
              <w:rPr>
                <w:rFonts w:ascii="Calibri" w:hAnsi="Calibri" w:cs="Calibri"/>
                <w:sz w:val="18"/>
              </w:rPr>
              <w:t>62,5</w:t>
            </w:r>
          </w:p>
        </w:tc>
      </w:tr>
    </w:tbl>
    <w:p w:rsidR="003C4FD3" w:rsidRDefault="003C4FD3">
      <w:pPr>
        <w:spacing w:after="0" w:line="240" w:lineRule="auto"/>
      </w:pPr>
    </w:p>
    <w:p w:rsidR="003C4FD3" w:rsidRDefault="003B50E1">
      <w:pPr>
        <w:spacing w:line="240" w:lineRule="auto"/>
        <w:jc w:val="both"/>
      </w:pPr>
      <w:r>
        <w:rPr>
          <w:rFonts w:ascii="Calibri" w:hAnsi="Calibri" w:cs="Calibri"/>
        </w:rPr>
        <w:t xml:space="preserve">Aktivnost se odnosi na rashode za nabavu proizvedene dugotrajne imovine, odnosno postrojenja i opreme koju čine uredska oprema i namještaj, komunikacijska oprema i oprema za održavanje i zaštitu, sve sa ciljem obavljanja redovne djelatnosti Agencije. U 2024. godini planirana je realizacija u iznosu 2.489 EUR, za 2025. godinu planirana je projekcija u iznosu od 995 EUR, dok za 2026. godinu nema planiranih rashoda opremanja. </w:t>
      </w:r>
    </w:p>
    <w:p w:rsidR="003C4FD3" w:rsidRDefault="003B50E1">
      <w:pPr>
        <w:spacing w:line="240" w:lineRule="auto"/>
        <w:jc w:val="both"/>
      </w:pPr>
      <w:r>
        <w:rPr>
          <w:rFonts w:ascii="Calibri" w:hAnsi="Calibri" w:cs="Calibri"/>
        </w:rPr>
        <w:t>Ovaj projekt financira se  iz vlastitih sredstava.</w:t>
      </w:r>
    </w:p>
    <w:p w:rsidR="003C4FD3" w:rsidRDefault="003B50E1">
      <w:pPr>
        <w:spacing w:line="240" w:lineRule="auto"/>
      </w:pPr>
      <w:r>
        <w:rPr>
          <w:rFonts w:ascii="Calibri" w:hAnsi="Calibri" w:cs="Calibri"/>
          <w:b/>
        </w:rPr>
        <w:br/>
        <w:t>K400003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3C4FD3">
        <w:tc>
          <w:tcPr>
            <w:tcW w:w="980" w:type="pct"/>
            <w:shd w:val="clear" w:color="auto" w:fill="BCDFFB"/>
            <w:vAlign w:val="center"/>
          </w:tcPr>
          <w:p w:rsidR="003C4FD3" w:rsidRDefault="003C4FD3">
            <w:pPr>
              <w:spacing w:after="0" w:line="240" w:lineRule="auto"/>
              <w:jc w:val="center"/>
            </w:pP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C4FD3" w:rsidRDefault="003B50E1">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C4FD3" w:rsidRDefault="003B50E1">
            <w:pPr>
              <w:spacing w:after="0" w:line="240" w:lineRule="auto"/>
              <w:jc w:val="center"/>
            </w:pPr>
            <w:r>
              <w:rPr>
                <w:rFonts w:ascii="Calibri" w:hAnsi="Calibri" w:cs="Calibri"/>
                <w:b/>
                <w:sz w:val="18"/>
              </w:rPr>
              <w:t>Indeks</w:t>
            </w:r>
            <w:r>
              <w:rPr>
                <w:rFonts w:ascii="Calibri" w:hAnsi="Calibri" w:cs="Calibri"/>
                <w:b/>
                <w:sz w:val="18"/>
              </w:rPr>
              <w:br/>
              <w:t>2024./2023.</w:t>
            </w:r>
          </w:p>
        </w:tc>
      </w:tr>
      <w:tr w:rsidR="003C4FD3">
        <w:tc>
          <w:tcPr>
            <w:tcW w:w="980" w:type="pct"/>
            <w:vAlign w:val="center"/>
          </w:tcPr>
          <w:p w:rsidR="003C4FD3" w:rsidRDefault="003B50E1">
            <w:pPr>
              <w:spacing w:after="0" w:line="240" w:lineRule="auto"/>
            </w:pPr>
            <w:r>
              <w:rPr>
                <w:rFonts w:ascii="Calibri" w:hAnsi="Calibri" w:cs="Calibri"/>
                <w:sz w:val="18"/>
              </w:rPr>
              <w:t>K400003</w:t>
            </w:r>
          </w:p>
        </w:tc>
        <w:tc>
          <w:tcPr>
            <w:tcW w:w="690" w:type="pct"/>
            <w:vAlign w:val="bottom"/>
          </w:tcPr>
          <w:p w:rsidR="003C4FD3" w:rsidRDefault="003B50E1">
            <w:pPr>
              <w:spacing w:after="0" w:line="240" w:lineRule="auto"/>
              <w:jc w:val="right"/>
            </w:pPr>
            <w:r>
              <w:rPr>
                <w:rFonts w:ascii="Calibri" w:hAnsi="Calibri" w:cs="Calibri"/>
                <w:sz w:val="18"/>
              </w:rPr>
              <w:t>0</w:t>
            </w:r>
          </w:p>
        </w:tc>
        <w:tc>
          <w:tcPr>
            <w:tcW w:w="690" w:type="pct"/>
            <w:vAlign w:val="bottom"/>
          </w:tcPr>
          <w:p w:rsidR="003C4FD3" w:rsidRDefault="003B50E1">
            <w:pPr>
              <w:spacing w:after="0" w:line="240" w:lineRule="auto"/>
              <w:jc w:val="right"/>
            </w:pPr>
            <w:r>
              <w:rPr>
                <w:rFonts w:ascii="Calibri" w:hAnsi="Calibri" w:cs="Calibri"/>
                <w:sz w:val="18"/>
              </w:rPr>
              <w:t>33.031</w:t>
            </w:r>
          </w:p>
        </w:tc>
        <w:tc>
          <w:tcPr>
            <w:tcW w:w="690" w:type="pct"/>
            <w:vAlign w:val="bottom"/>
          </w:tcPr>
          <w:p w:rsidR="003C4FD3" w:rsidRDefault="003B50E1">
            <w:pPr>
              <w:spacing w:after="0" w:line="240" w:lineRule="auto"/>
              <w:jc w:val="right"/>
            </w:pPr>
            <w:r>
              <w:rPr>
                <w:rFonts w:ascii="Calibri" w:hAnsi="Calibri" w:cs="Calibri"/>
                <w:sz w:val="18"/>
              </w:rPr>
              <w:t>3.650</w:t>
            </w:r>
          </w:p>
        </w:tc>
        <w:tc>
          <w:tcPr>
            <w:tcW w:w="690" w:type="pct"/>
            <w:vAlign w:val="bottom"/>
          </w:tcPr>
          <w:p w:rsidR="003C4FD3" w:rsidRDefault="003B50E1">
            <w:pPr>
              <w:spacing w:after="0" w:line="240" w:lineRule="auto"/>
              <w:jc w:val="right"/>
            </w:pPr>
            <w:r>
              <w:rPr>
                <w:rFonts w:ascii="Calibri" w:hAnsi="Calibri" w:cs="Calibri"/>
                <w:sz w:val="18"/>
              </w:rPr>
              <w:t>1.460</w:t>
            </w:r>
          </w:p>
        </w:tc>
        <w:tc>
          <w:tcPr>
            <w:tcW w:w="690" w:type="pct"/>
            <w:vAlign w:val="bottom"/>
          </w:tcPr>
          <w:p w:rsidR="003C4FD3" w:rsidRDefault="003B50E1">
            <w:pPr>
              <w:spacing w:after="0" w:line="240" w:lineRule="auto"/>
              <w:jc w:val="right"/>
            </w:pPr>
            <w:r>
              <w:rPr>
                <w:rFonts w:ascii="Calibri" w:hAnsi="Calibri" w:cs="Calibri"/>
                <w:sz w:val="18"/>
              </w:rPr>
              <w:t>0</w:t>
            </w:r>
          </w:p>
        </w:tc>
        <w:tc>
          <w:tcPr>
            <w:tcW w:w="400" w:type="pct"/>
            <w:vAlign w:val="bottom"/>
          </w:tcPr>
          <w:p w:rsidR="003C4FD3" w:rsidRDefault="003B50E1">
            <w:pPr>
              <w:spacing w:after="0" w:line="240" w:lineRule="auto"/>
              <w:jc w:val="right"/>
            </w:pPr>
            <w:r>
              <w:rPr>
                <w:rFonts w:ascii="Calibri" w:hAnsi="Calibri" w:cs="Calibri"/>
                <w:sz w:val="18"/>
              </w:rPr>
              <w:t>11,1</w:t>
            </w:r>
          </w:p>
        </w:tc>
      </w:tr>
    </w:tbl>
    <w:p w:rsidR="003C4FD3" w:rsidRDefault="003C4FD3">
      <w:pPr>
        <w:spacing w:after="0" w:line="240" w:lineRule="auto"/>
      </w:pPr>
    </w:p>
    <w:p w:rsidR="003C4FD3" w:rsidRDefault="003B50E1">
      <w:pPr>
        <w:spacing w:line="240" w:lineRule="auto"/>
        <w:jc w:val="both"/>
      </w:pPr>
      <w:r>
        <w:rPr>
          <w:rFonts w:ascii="Calibri" w:hAnsi="Calibri" w:cs="Calibri"/>
        </w:rPr>
        <w:t>Aktivnost se odnosi na rashode za nabavu ne proizvedene dugotrajne imovine, odnosno ne materijalne imovine koju čine licence  i rashode za nabavu proizvedene dugotrajne imovine koju čine ulaganja u računalne programe, a sve sa ciljem obavljanja redovne djelatnosti Agencije.</w:t>
      </w:r>
    </w:p>
    <w:p w:rsidR="003C4FD3" w:rsidRDefault="003B50E1">
      <w:pPr>
        <w:spacing w:line="240" w:lineRule="auto"/>
        <w:jc w:val="both"/>
      </w:pPr>
      <w:r>
        <w:rPr>
          <w:rFonts w:ascii="Calibri" w:hAnsi="Calibri" w:cs="Calibri"/>
        </w:rPr>
        <w:t xml:space="preserve">U 2024. godini planirana je realizacija u iznosu 3.650 EUR, za 2025. godinu planirani su  informatizacijski rashodi u iznosu od 1.460 EUR, dok za 2026. godinu nema planiranih rashoda informatizacije. </w:t>
      </w:r>
    </w:p>
    <w:p w:rsidR="003C4FD3" w:rsidRDefault="003B50E1">
      <w:pPr>
        <w:spacing w:line="240" w:lineRule="auto"/>
        <w:jc w:val="both"/>
      </w:pPr>
      <w:r>
        <w:rPr>
          <w:rFonts w:ascii="Calibri" w:hAnsi="Calibri" w:cs="Calibri"/>
        </w:rPr>
        <w:t>Ovaj projekt financira se  iz vlastitih sredstava.</w:t>
      </w:r>
    </w:p>
    <w:sectPr w:rsidR="003C4FD3" w:rsidSect="00075A5F">
      <w:footerReference w:type="default" r:id="rId7"/>
      <w:footerReference w:type="firs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2630" w:rsidRDefault="003B50E1">
      <w:pPr>
        <w:spacing w:after="0" w:line="240" w:lineRule="auto"/>
      </w:pPr>
      <w:r>
        <w:separator/>
      </w:r>
    </w:p>
  </w:endnote>
  <w:endnote w:type="continuationSeparator" w:id="0">
    <w:p w:rsidR="004D2630" w:rsidRDefault="003B5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4FD3" w:rsidRDefault="003B50E1">
    <w:pPr>
      <w:jc w:val="right"/>
    </w:pPr>
    <w:r>
      <w:fldChar w:fldCharType="begin"/>
    </w:r>
    <w:r>
      <w:instrText>Page</w:instrText>
    </w:r>
    <w:r>
      <w:fldChar w:fldCharType="separate"/>
    </w:r>
    <w:r w:rsidR="006D3AE7">
      <w:rPr>
        <w:noProof/>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2630" w:rsidRDefault="003B50E1">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2630" w:rsidRDefault="003B50E1">
      <w:pPr>
        <w:spacing w:after="0" w:line="240" w:lineRule="auto"/>
      </w:pPr>
      <w:r>
        <w:separator/>
      </w:r>
    </w:p>
  </w:footnote>
  <w:footnote w:type="continuationSeparator" w:id="0">
    <w:p w:rsidR="004D2630" w:rsidRDefault="003B50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FB3167"/>
    <w:multiLevelType w:val="singleLevel"/>
    <w:tmpl w:val="1396A92E"/>
    <w:name w:val="upper-roman"/>
    <w:lvl w:ilvl="0">
      <w:start w:val="1"/>
      <w:numFmt w:val="upperRoman"/>
      <w:lvlText w:val="%1."/>
      <w:lvlJc w:val="left"/>
      <w:pPr>
        <w:ind w:left="420" w:hanging="360"/>
      </w:pPr>
    </w:lvl>
  </w:abstractNum>
  <w:abstractNum w:abstractNumId="1" w15:restartNumberingAfterBreak="0">
    <w:nsid w:val="1F484259"/>
    <w:multiLevelType w:val="singleLevel"/>
    <w:tmpl w:val="405099BC"/>
    <w:name w:val="circle"/>
    <w:lvl w:ilvl="0">
      <w:numFmt w:val="bullet"/>
      <w:lvlText w:val="o"/>
      <w:lvlJc w:val="left"/>
      <w:pPr>
        <w:ind w:left="420" w:hanging="360"/>
      </w:pPr>
    </w:lvl>
  </w:abstractNum>
  <w:abstractNum w:abstractNumId="2" w15:restartNumberingAfterBreak="0">
    <w:nsid w:val="2D815C68"/>
    <w:multiLevelType w:val="singleLevel"/>
    <w:tmpl w:val="76B2F27E"/>
    <w:name w:val="upper-alpha"/>
    <w:lvl w:ilvl="0">
      <w:start w:val="1"/>
      <w:numFmt w:val="upperLetter"/>
      <w:lvlText w:val="%1."/>
      <w:lvlJc w:val="left"/>
      <w:pPr>
        <w:ind w:left="420" w:hanging="360"/>
      </w:pPr>
    </w:lvl>
  </w:abstractNum>
  <w:abstractNum w:abstractNumId="3" w15:restartNumberingAfterBreak="0">
    <w:nsid w:val="319A2F53"/>
    <w:multiLevelType w:val="singleLevel"/>
    <w:tmpl w:val="7DEE9AE8"/>
    <w:name w:val="lower-alpha"/>
    <w:lvl w:ilvl="0">
      <w:start w:val="1"/>
      <w:numFmt w:val="lowerLetter"/>
      <w:lvlText w:val="%1."/>
      <w:lvlJc w:val="left"/>
      <w:pPr>
        <w:ind w:left="420" w:hanging="360"/>
      </w:pPr>
    </w:lvl>
  </w:abstractNum>
  <w:abstractNum w:abstractNumId="4" w15:restartNumberingAfterBreak="0">
    <w:nsid w:val="37FC7489"/>
    <w:multiLevelType w:val="singleLevel"/>
    <w:tmpl w:val="FC9481E4"/>
    <w:name w:val="disc"/>
    <w:lvl w:ilvl="0">
      <w:numFmt w:val="bullet"/>
      <w:lvlText w:val="•"/>
      <w:lvlJc w:val="left"/>
      <w:pPr>
        <w:ind w:left="420" w:hanging="360"/>
      </w:pPr>
    </w:lvl>
  </w:abstractNum>
  <w:abstractNum w:abstractNumId="5" w15:restartNumberingAfterBreak="0">
    <w:nsid w:val="435B376D"/>
    <w:multiLevelType w:val="singleLevel"/>
    <w:tmpl w:val="426CB280"/>
    <w:name w:val="decimal"/>
    <w:lvl w:ilvl="0">
      <w:start w:val="1"/>
      <w:numFmt w:val="decimal"/>
      <w:lvlText w:val="%1."/>
      <w:lvlJc w:val="left"/>
      <w:pPr>
        <w:ind w:left="420" w:hanging="360"/>
      </w:pPr>
    </w:lvl>
  </w:abstractNum>
  <w:abstractNum w:abstractNumId="6" w15:restartNumberingAfterBreak="0">
    <w:nsid w:val="47FC5735"/>
    <w:multiLevelType w:val="singleLevel"/>
    <w:tmpl w:val="B8C636F2"/>
    <w:name w:val="square"/>
    <w:lvl w:ilvl="0">
      <w:numFmt w:val="bullet"/>
      <w:lvlText w:val="▪"/>
      <w:lvlJc w:val="left"/>
      <w:pPr>
        <w:ind w:left="420" w:hanging="360"/>
      </w:pPr>
    </w:lvl>
  </w:abstractNum>
  <w:abstractNum w:abstractNumId="7" w15:restartNumberingAfterBreak="0">
    <w:nsid w:val="4DEA4C74"/>
    <w:multiLevelType w:val="singleLevel"/>
    <w:tmpl w:val="6BF624B4"/>
    <w:name w:val="decimal-heading-multi"/>
    <w:lvl w:ilvl="0">
      <w:start w:val="1"/>
      <w:numFmt w:val="decimal"/>
      <w:lvlText w:val="%1."/>
      <w:lvlJc w:val="left"/>
    </w:lvl>
  </w:abstractNum>
  <w:abstractNum w:abstractNumId="8" w15:restartNumberingAfterBreak="0">
    <w:nsid w:val="604C1F7C"/>
    <w:multiLevelType w:val="singleLevel"/>
    <w:tmpl w:val="3BFA323C"/>
    <w:name w:val="lower-roman"/>
    <w:lvl w:ilvl="0">
      <w:start w:val="1"/>
      <w:numFmt w:val="lowerRoman"/>
      <w:lvlText w:val="%1."/>
      <w:lvlJc w:val="left"/>
      <w:pPr>
        <w:ind w:left="420" w:hanging="360"/>
      </w:pPr>
    </w:lvl>
  </w:abstractNum>
  <w:num w:numId="1">
    <w:abstractNumId w:val="4"/>
    <w:lvlOverride w:ilvl="0">
      <w:startOverride w:val="1"/>
    </w:lvlOverride>
  </w:num>
  <w:num w:numId="2">
    <w:abstractNumId w:val="4"/>
    <w:lvlOverride w:ilvl="0">
      <w:startOverride w:val="1"/>
    </w:lvlOverride>
  </w:num>
  <w:num w:numId="3">
    <w:abstractNumId w:val="4"/>
    <w:lvlOverride w:ilvl="0">
      <w:startOverride w:val="1"/>
    </w:lvlOverride>
  </w:num>
  <w:num w:numId="4">
    <w:abstractNumId w:val="4"/>
    <w:lvlOverride w:ilvl="0">
      <w:startOverride w:val="1"/>
    </w:lvlOverride>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C4FD3"/>
    <w:rsid w:val="00075A5F"/>
    <w:rsid w:val="003B50E1"/>
    <w:rsid w:val="003C4FD3"/>
    <w:rsid w:val="004D2630"/>
    <w:rsid w:val="006D3AE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69AE09-CAE8-4DBD-AB68-3C6A5E823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75A5F"/>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75A5F"/>
  </w:style>
  <w:style w:type="paragraph" w:styleId="Podnoje">
    <w:name w:val="footer"/>
    <w:basedOn w:val="Normal"/>
    <w:link w:val="PodnojeChar"/>
    <w:uiPriority w:val="99"/>
    <w:unhideWhenUsed/>
    <w:rsid w:val="00075A5F"/>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75A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2154</Words>
  <Characters>12282</Characters>
  <Application>Microsoft Office Word</Application>
  <DocSecurity>0</DocSecurity>
  <Lines>102</Lines>
  <Paragraphs>28</Paragraphs>
  <ScaleCrop>false</ScaleCrop>
  <Company/>
  <LinksUpToDate>false</LinksUpToDate>
  <CharactersWithSpaces>14408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Ivana Hegeduš</cp:lastModifiedBy>
  <cp:revision>4</cp:revision>
  <dcterms:created xsi:type="dcterms:W3CDTF">2023-11-08T15:10:00Z</dcterms:created>
  <dcterms:modified xsi:type="dcterms:W3CDTF">2023-11-08T15:37:00Z</dcterms:modified>
</cp:coreProperties>
</file>