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527" w:rsidRDefault="001E3865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t>OBRAZLOŽENJE IZVRŠENJA FINANCIJSKOG PLANA HRVATSKE AGENCIJE ZA OSIGURANJE DEPOZITA ZA PRVO POLUGODIŠTE 2024. GODINE</w:t>
      </w:r>
    </w:p>
    <w:p w:rsidR="00F54527" w:rsidRDefault="001E3865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Hrvatska agencija za osiguranje depozita (dalje: Agencija) je specijalizirana, financijska, neprofitna organizacija (institucija) </w:t>
      </w:r>
      <w:r>
        <w:rPr>
          <w:rFonts w:ascii="Times New Roman" w:hAnsi="Times New Roman" w:cs="Times New Roman"/>
          <w:sz w:val="24"/>
        </w:rPr>
        <w:t>čije su osnovne djelatnosti: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-           Upravljanje sustavom i fondom osiguranja depozita  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 Upravljanje sanacijskim fondom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 Sudjelovanje u postupcima prisilne likvidacije kreditnih institucija.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sklopu izvršenja svojih osnovnih dje</w:t>
      </w:r>
      <w:r>
        <w:rPr>
          <w:rFonts w:ascii="Times New Roman" w:hAnsi="Times New Roman" w:cs="Times New Roman"/>
          <w:sz w:val="24"/>
        </w:rPr>
        <w:t>latnosti, Agencija od kreditnih institucija koje posluju u Republici Hrvatskoj prikuplja premije osiguranja depozita i sanacijske doprinose, koji čine imovinu fondova i to Fonda osiguranja depozita i Sanacijskog fonda. Navedena sredstva drže se na posebnim</w:t>
      </w:r>
      <w:r>
        <w:rPr>
          <w:rFonts w:ascii="Times New Roman" w:hAnsi="Times New Roman" w:cs="Times New Roman"/>
          <w:sz w:val="24"/>
        </w:rPr>
        <w:t xml:space="preserve"> računima kod Hrvatske narodne banke i iz istih se financiraju navedene osnovne djelatnosti Agencije u slučajevima kada kreditne institucije propadnu (isplata osiguranih depozita) ili propadaju (sanacija kreditne institucije). Financiranje sustava osiguran</w:t>
      </w:r>
      <w:r>
        <w:rPr>
          <w:rFonts w:ascii="Times New Roman" w:hAnsi="Times New Roman" w:cs="Times New Roman"/>
          <w:sz w:val="24"/>
        </w:rPr>
        <w:t>ja depozita sukladno Zakonu o sustavu osiguranja depozita (Narodne novine, br. 146/20, 119/22)  financira se na teret kreditnih institucija.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Uz dvije navedene osnovne djelatnosti Agencija obavlja i mandatne poslove za Ministarstvo prostornoga uređenja, gra</w:t>
      </w:r>
      <w:r>
        <w:rPr>
          <w:rFonts w:ascii="Times New Roman" w:hAnsi="Times New Roman" w:cs="Times New Roman"/>
          <w:sz w:val="24"/>
        </w:rPr>
        <w:t xml:space="preserve">diteljstva i državne imovine (ranije Ministarstvo državne imovine), a koji se odnose na administriranje postupaka naplate potraživanja koja su iz Agencije prenesena na Ministarstvo prostornoga uređenja, graditeljstva i državne imovine (ranije Ministarstvo </w:t>
      </w:r>
      <w:r>
        <w:rPr>
          <w:rFonts w:ascii="Times New Roman" w:hAnsi="Times New Roman" w:cs="Times New Roman"/>
          <w:sz w:val="24"/>
        </w:rPr>
        <w:t xml:space="preserve">državne imovine). 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 Od 01. listopada 2020. godine Republika Hrvatska  je ušla u blisku suradnju s Europskom centralnom bankom, odnosno pristupila je jedinstvenom sanacijskom mehanizmu EU, što znači da se sredstva prikupljena za sanacijski doprinos više ne </w:t>
      </w:r>
      <w:r>
        <w:rPr>
          <w:rFonts w:ascii="Times New Roman" w:hAnsi="Times New Roman" w:cs="Times New Roman"/>
          <w:sz w:val="24"/>
        </w:rPr>
        <w:t xml:space="preserve">drže na nacionalnoj razini (na računu Hrvatske narodne banke) nego na računu Jedinstvenog sanacijskog fonda, a dodijeljena su u nacionalne odjeljke država članica sudionica (u tzv. „hrvatski pretinac“), a koji podliježu postupnom objedinjavanju tako da se </w:t>
      </w:r>
      <w:r>
        <w:rPr>
          <w:rFonts w:ascii="Times New Roman" w:hAnsi="Times New Roman" w:cs="Times New Roman"/>
          <w:sz w:val="24"/>
        </w:rPr>
        <w:t>svi odjeljci spajaju i prestaju postojati nakon isteka početnog razdoblja. S datumom 01. siječnja 2024. godine svi nacionalni pretinci su objedinjeni budući da je početno razdoblje za uspostavu Jedinstvenog sanacijskog fonda (SRF) dovršeno.</w:t>
      </w:r>
    </w:p>
    <w:p w:rsidR="00F54527" w:rsidRDefault="001E3865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F54527">
        <w:tc>
          <w:tcPr>
            <w:tcW w:w="14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</w:t>
            </w:r>
            <w:r>
              <w:rPr>
                <w:rFonts w:ascii="Times New Roman" w:hAnsi="Times New Roman" w:cs="Times New Roman"/>
                <w:b/>
                <w:sz w:val="18"/>
              </w:rPr>
              <w:t>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F54527">
        <w:tc>
          <w:tcPr>
            <w:tcW w:w="14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F54527">
        <w:tc>
          <w:tcPr>
            <w:tcW w:w="14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34.054.127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34.990.560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22.684.637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66,6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64,8</w:t>
            </w:r>
          </w:p>
        </w:tc>
      </w:tr>
      <w:tr w:rsidR="00F54527">
        <w:tc>
          <w:tcPr>
            <w:tcW w:w="14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500" w:type="pct"/>
            <w:vAlign w:val="bottom"/>
          </w:tcPr>
          <w:p w:rsidR="00F54527" w:rsidRDefault="00F54527">
            <w:pPr>
              <w:spacing w:after="0" w:line="240" w:lineRule="auto"/>
              <w:jc w:val="right"/>
            </w:pPr>
          </w:p>
        </w:tc>
        <w:tc>
          <w:tcPr>
            <w:tcW w:w="500" w:type="pct"/>
            <w:vAlign w:val="bottom"/>
          </w:tcPr>
          <w:p w:rsidR="00F54527" w:rsidRDefault="00F54527">
            <w:pPr>
              <w:spacing w:after="0" w:line="240" w:lineRule="auto"/>
              <w:jc w:val="right"/>
            </w:pPr>
          </w:p>
        </w:tc>
      </w:tr>
      <w:tr w:rsidR="00F54527">
        <w:tc>
          <w:tcPr>
            <w:tcW w:w="14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34.054.127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34.990.560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22.684.637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66,6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64,8</w:t>
            </w:r>
          </w:p>
        </w:tc>
      </w:tr>
    </w:tbl>
    <w:p w:rsidR="00F54527" w:rsidRDefault="00F54527">
      <w:pPr>
        <w:spacing w:after="0" w:line="240" w:lineRule="auto"/>
      </w:pP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Prihodi poslovanja Hrvatske agencije za osiguranje depozita (u daljnjem tekstu: Agencija) u prvom polugodištu 2024. godine iznose 22.684.636,62 EUR, a što predstavlja pad od 33,39% u odnosu na isto razdoblje </w:t>
      </w:r>
      <w:r>
        <w:rPr>
          <w:rFonts w:ascii="Times New Roman" w:hAnsi="Times New Roman" w:cs="Times New Roman"/>
          <w:sz w:val="24"/>
        </w:rPr>
        <w:t xml:space="preserve">prethodne godine. 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odnosu na plan 2024. godine prihodi u ovom izvještajnom razdoblju ostvareni su na razini 64,83% plana. 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Prihode Agencije čine prihodi poslovanja koji se sastoje od: 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1.    Prihoda od imovine u ukupnom iznosu 22.499.875,95 EUR, što pred</w:t>
      </w:r>
      <w:r>
        <w:rPr>
          <w:rFonts w:ascii="Times New Roman" w:hAnsi="Times New Roman" w:cs="Times New Roman"/>
          <w:sz w:val="24"/>
        </w:rPr>
        <w:t>stavlja porast od 8509,20% u odnosu na isto razdoblje prethodne godine.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 ovoj poziciji iskazani su prihodi od financijske imovine koje čine prihodi od kamata po vrijednosnim papirima i depozita po viđenju te prihodi od dividendi. Značajni rast u odnosu n</w:t>
      </w:r>
      <w:r>
        <w:rPr>
          <w:rFonts w:ascii="Times New Roman" w:hAnsi="Times New Roman" w:cs="Times New Roman"/>
          <w:sz w:val="24"/>
        </w:rPr>
        <w:t>a prethodno izvještajno razdoblje posljedica je kretanja kamatnih stopa na tržištu kapitala.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odnosu na plan Agencija bilježi rast od 100,52%.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2.    Prihodi od upravnih i administrativnih pristojbi, pristojbi po posebnim propisima i naknada u ukupnom izno</w:t>
      </w:r>
      <w:r>
        <w:rPr>
          <w:rFonts w:ascii="Times New Roman" w:hAnsi="Times New Roman" w:cs="Times New Roman"/>
          <w:sz w:val="24"/>
        </w:rPr>
        <w:t>su od 175.214,99 EUR, što predstavlja pad od 99,48% u odnosu na isto razdoblje prethodne godine.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Prihode od upravnih i administrativnih pristojbi, pristojbi po posebnim propisima i naknada čine: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prihodi od naplate potraživanja iz stečajne mase ba</w:t>
      </w:r>
      <w:r>
        <w:rPr>
          <w:rFonts w:ascii="Times New Roman" w:hAnsi="Times New Roman" w:cs="Times New Roman"/>
          <w:sz w:val="24"/>
        </w:rPr>
        <w:t>naka i štedionica, likvidacijskih i sudskih postupaka, u iznosu 175.214,99 EUR.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Na ovoj poziciji iskazani su prihodi čija realizacija ovisi o eksternim faktorima  (vođenju stečajnih postupaka koji nisu u nadležnosti Agencije), čija naplata nije linearna i </w:t>
      </w:r>
      <w:r>
        <w:rPr>
          <w:rFonts w:ascii="Times New Roman" w:hAnsi="Times New Roman" w:cs="Times New Roman"/>
          <w:sz w:val="24"/>
        </w:rPr>
        <w:t>kontinuirana, te su moguća značajna odstupanja realizacije u odnosu na plan u različitim izvještajnim razdobljima.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prihodi od premija za osigurane depozite i sanacijskog doprinosa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ovom izvještajnom razdoblju nije bilo prikupljanja premija za os</w:t>
      </w:r>
      <w:r>
        <w:rPr>
          <w:rFonts w:ascii="Times New Roman" w:hAnsi="Times New Roman" w:cs="Times New Roman"/>
          <w:sz w:val="24"/>
        </w:rPr>
        <w:t xml:space="preserve">igurane depozite radi dosegnute ciljane razine Fonda osiguranja depozita od 2,5% osiguranih depozita u Republici Hrvatskoj. Jednako tako, zbog dosegnute ciljane razine Jedinstvenog sanacijskog fonda nije bilo prikupljanja sanacijskog doprinosa. 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Stoga, u odnosu na plan Agencija bilježi pad od 99,26%. 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3.    Prihodi od prodaje proizvoda i roba te pruženih usluga, prihodi od donacija te povrati po protestiranim jamstvima u ukupnom iznosu 9.545,68 EUR što predstavlja pad od 9,17%  u odnosu na isto ra</w:t>
      </w:r>
      <w:r>
        <w:rPr>
          <w:rFonts w:ascii="Times New Roman" w:hAnsi="Times New Roman" w:cs="Times New Roman"/>
          <w:sz w:val="24"/>
        </w:rPr>
        <w:t>zdoblje prethodne godine.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 ovoj poziciji  Agencija u 2024. godini nije planirala prihode s obzirom da se očekivao prestanak obavljanja mandatnih poslova za Ministarstvo financija, međutim ugovorni odnos temeljem kojeg je Agencija obavljala mandatne poslo</w:t>
      </w:r>
      <w:r>
        <w:rPr>
          <w:rFonts w:ascii="Times New Roman" w:hAnsi="Times New Roman" w:cs="Times New Roman"/>
          <w:sz w:val="24"/>
        </w:rPr>
        <w:t>ve za navedeno je prestao u ovom izvještajnom razdoblju.</w:t>
      </w:r>
    </w:p>
    <w:p w:rsidR="001E3865" w:rsidRDefault="001E3865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br/>
      </w:r>
    </w:p>
    <w:p w:rsidR="00F54527" w:rsidRDefault="001E3865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F54527">
        <w:tc>
          <w:tcPr>
            <w:tcW w:w="14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F54527">
        <w:tc>
          <w:tcPr>
            <w:tcW w:w="14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F54527">
        <w:tc>
          <w:tcPr>
            <w:tcW w:w="1400" w:type="pct"/>
            <w:vAlign w:val="center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554.174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1.274.787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572.646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103,3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44,9</w:t>
            </w:r>
          </w:p>
        </w:tc>
      </w:tr>
      <w:tr w:rsidR="00F54527">
        <w:tc>
          <w:tcPr>
            <w:tcW w:w="14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 xml:space="preserve">4 RASHODI ZA </w:t>
            </w:r>
            <w:r>
              <w:rPr>
                <w:rFonts w:ascii="Times New Roman" w:hAnsi="Times New Roman" w:cs="Times New Roman"/>
                <w:sz w:val="18"/>
              </w:rPr>
              <w:t>NABAVU NEFINANCIJSKE IMOVINE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65.163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24.555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3.715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5,7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15,1</w:t>
            </w:r>
          </w:p>
        </w:tc>
      </w:tr>
      <w:tr w:rsidR="00F54527">
        <w:tc>
          <w:tcPr>
            <w:tcW w:w="14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619.337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1.299.342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576.361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93,1</w:t>
            </w:r>
          </w:p>
        </w:tc>
        <w:tc>
          <w:tcPr>
            <w:tcW w:w="5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44,4</w:t>
            </w:r>
          </w:p>
        </w:tc>
      </w:tr>
    </w:tbl>
    <w:p w:rsidR="00F54527" w:rsidRDefault="00F54527">
      <w:pPr>
        <w:spacing w:after="0" w:line="240" w:lineRule="auto"/>
      </w:pP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Ukupni rashodi Agencije u prvom polugodištu 2024. godine iznose 576.360,91 EUR, što predstavlja pad od 6,94% u </w:t>
      </w:r>
      <w:r>
        <w:rPr>
          <w:rFonts w:ascii="Times New Roman" w:hAnsi="Times New Roman" w:cs="Times New Roman"/>
          <w:sz w:val="24"/>
        </w:rPr>
        <w:t>odnosu na isto razdoblje prethodne godine. 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Ukupne rashode Agencije čine rashodi poslovanja i rashodi za nabavu nefinancijske imovine. 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1.    Rashodi poslovanja u prvom polugodištu 2024. godine iznose 572.645,91 EUR, što predstavlja rast od  3,33% u odnosu</w:t>
      </w:r>
      <w:r>
        <w:rPr>
          <w:rFonts w:ascii="Times New Roman" w:hAnsi="Times New Roman" w:cs="Times New Roman"/>
          <w:sz w:val="24"/>
        </w:rPr>
        <w:t xml:space="preserve"> na isto razdoblje prethodne godine. 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poslovanja proizlaze iz kontinuiranog djelovanja Agencije, a odnose se na: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Rashode za zaposlene u iznosu od 392.092,01 EUR (rast od 22,36% u odnosu na prethodno izvještajno razdoblje)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Materijalni rashodi u iznosu od 171.448,20 EUR (rast od 7,12% u odnosu na prethodno izvještajno razdoblje)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Financijski rashodi u iznosu od 6.918,20 EUR (rast od 121,79% u odnosu na prethodno izvještajno razdoblje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Ostali rashod</w:t>
      </w:r>
      <w:r>
        <w:rPr>
          <w:rFonts w:ascii="Times New Roman" w:hAnsi="Times New Roman" w:cs="Times New Roman"/>
          <w:sz w:val="24"/>
        </w:rPr>
        <w:t>i u iznosu 2.187,50 EUR (pad od 96,90% u odnosu na prethodno izvještajno razdoblje 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Realizacija plana rashoda poslovanja iznosi 44,92% u ovom izvještajnom razdoblju. 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2.    Rashodi za nabavu nefinancijske imovine u prvom polugodištu 2024. godine iznose 3.7</w:t>
      </w:r>
      <w:r>
        <w:rPr>
          <w:rFonts w:ascii="Times New Roman" w:hAnsi="Times New Roman" w:cs="Times New Roman"/>
          <w:sz w:val="24"/>
        </w:rPr>
        <w:t>15,00 EUR i odnose se na nabavu dugotrajne materijalne imovine te čine 15,13% plana.</w:t>
      </w:r>
    </w:p>
    <w:p w:rsidR="00F54527" w:rsidRDefault="001E3865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RAČUN FINANCIRANJA</w:t>
      </w:r>
    </w:p>
    <w:p w:rsidR="00F54527" w:rsidRDefault="001E3865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F54527">
        <w:tc>
          <w:tcPr>
            <w:tcW w:w="2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F54527">
        <w:tc>
          <w:tcPr>
            <w:tcW w:w="2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F54527">
        <w:tc>
          <w:tcPr>
            <w:tcW w:w="2500" w:type="pct"/>
            <w:vAlign w:val="center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34.990.560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22.684.637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64,8</w:t>
            </w:r>
          </w:p>
        </w:tc>
      </w:tr>
      <w:tr w:rsidR="00F54527">
        <w:tc>
          <w:tcPr>
            <w:tcW w:w="25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1.299.342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576.361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44,4</w:t>
            </w:r>
          </w:p>
        </w:tc>
      </w:tr>
      <w:tr w:rsidR="00F54527">
        <w:tc>
          <w:tcPr>
            <w:tcW w:w="25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33.691.218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22.108.276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65,6</w:t>
            </w:r>
          </w:p>
        </w:tc>
      </w:tr>
    </w:tbl>
    <w:p w:rsidR="00F54527" w:rsidRDefault="00F54527">
      <w:pPr>
        <w:spacing w:after="0" w:line="240" w:lineRule="auto"/>
      </w:pPr>
    </w:p>
    <w:p w:rsidR="001E3865" w:rsidRDefault="001E3865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1E3865" w:rsidRDefault="001E3865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F54527" w:rsidRDefault="001E3865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F54527">
        <w:tc>
          <w:tcPr>
            <w:tcW w:w="2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F54527">
        <w:tc>
          <w:tcPr>
            <w:tcW w:w="25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F54527" w:rsidRDefault="001E386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F54527">
        <w:tc>
          <w:tcPr>
            <w:tcW w:w="2500" w:type="pct"/>
            <w:vAlign w:val="center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2.454.688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385.423.576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15701,5</w:t>
            </w:r>
          </w:p>
        </w:tc>
      </w:tr>
      <w:tr w:rsidR="00F54527">
        <w:tc>
          <w:tcPr>
            <w:tcW w:w="25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54527" w:rsidRDefault="00F54527">
            <w:pPr>
              <w:spacing w:after="0" w:line="240" w:lineRule="auto"/>
              <w:jc w:val="right"/>
            </w:pPr>
          </w:p>
        </w:tc>
      </w:tr>
      <w:tr w:rsidR="00F54527">
        <w:tc>
          <w:tcPr>
            <w:tcW w:w="25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2.454.688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385.423.576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15701,5</w:t>
            </w:r>
          </w:p>
        </w:tc>
      </w:tr>
      <w:tr w:rsidR="00F54527">
        <w:tc>
          <w:tcPr>
            <w:tcW w:w="25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25.583.778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307.995.118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1203,9</w:t>
            </w:r>
          </w:p>
        </w:tc>
      </w:tr>
      <w:tr w:rsidR="00F54527">
        <w:tc>
          <w:tcPr>
            <w:tcW w:w="25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-61.729.684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-715.526.970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1159,1</w:t>
            </w:r>
          </w:p>
        </w:tc>
      </w:tr>
      <w:tr w:rsidR="00F54527">
        <w:tc>
          <w:tcPr>
            <w:tcW w:w="25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-33.691.218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-22.108.276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65,6</w:t>
            </w:r>
          </w:p>
        </w:tc>
      </w:tr>
      <w:tr w:rsidR="00F54527">
        <w:tc>
          <w:tcPr>
            <w:tcW w:w="2500" w:type="pct"/>
            <w:vAlign w:val="bottom"/>
          </w:tcPr>
          <w:p w:rsidR="00F54527" w:rsidRDefault="001E3865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54527" w:rsidRDefault="001E3865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F54527" w:rsidRDefault="00F54527">
            <w:pPr>
              <w:spacing w:after="0" w:line="240" w:lineRule="auto"/>
              <w:jc w:val="right"/>
            </w:pPr>
          </w:p>
        </w:tc>
      </w:tr>
    </w:tbl>
    <w:p w:rsidR="00F54527" w:rsidRDefault="00F54527">
      <w:pPr>
        <w:spacing w:after="0" w:line="240" w:lineRule="auto"/>
      </w:pP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računu financiranja Agencija bilježi realizaciju u iznosu 385.423.576,00 EUR.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Sukladno EU Direktivi o sustavima osiguranja </w:t>
      </w:r>
      <w:r>
        <w:rPr>
          <w:rFonts w:ascii="Times New Roman" w:hAnsi="Times New Roman" w:cs="Times New Roman"/>
          <w:sz w:val="24"/>
        </w:rPr>
        <w:t xml:space="preserve">depozita kao i temeljem Zakona o sustavu osiguranja depozita, sredstva Fonda osiguranja depozita koriste se isključivo za namjene utvrđene Zakonom o sustavu osiguranja depozita. 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Što se tiče raspoloživih sredstava prikupljenih u Fond osiguranja depozita, t</w:t>
      </w:r>
      <w:r>
        <w:rPr>
          <w:rFonts w:ascii="Times New Roman" w:hAnsi="Times New Roman" w:cs="Times New Roman"/>
          <w:sz w:val="24"/>
        </w:rPr>
        <w:t>emeljem navedenog zakonskog okvira te investicijske politike Agencije, ista se ulažu isključivo u vrijednosne papire (trezorske zapise) Ministarstva financija i/ili obveznice Republike Hrvatske. Razlog tome je što navedena sredstva moraju u svakom trenutku</w:t>
      </w:r>
      <w:r>
        <w:rPr>
          <w:rFonts w:ascii="Times New Roman" w:hAnsi="Times New Roman" w:cs="Times New Roman"/>
          <w:sz w:val="24"/>
        </w:rPr>
        <w:t xml:space="preserve"> biti raspoloživa za isplatu osiguranih depozita i zaštićena od bilo kakvih rizika propadanja kreditnih institucija, te u strukturi izdataka bilježi izvršenje u iznosu 385.423.576,00 EUR. Naime, u prvom polugodištu 2024. godine Agencija je uložila u trezor</w:t>
      </w:r>
      <w:r>
        <w:rPr>
          <w:rFonts w:ascii="Times New Roman" w:hAnsi="Times New Roman" w:cs="Times New Roman"/>
          <w:sz w:val="24"/>
        </w:rPr>
        <w:t>ske zapise Ministarstva financija 88.460.400,00 EUR, dok u istom razdoblju bilježi primitak od trezorskih zapisa Ministarstva financija u iznosu 473.883.976,00 EUR.</w:t>
      </w:r>
    </w:p>
    <w:p w:rsidR="00F54527" w:rsidRPr="001E3865" w:rsidRDefault="001E3865">
      <w:pPr>
        <w:spacing w:line="240" w:lineRule="auto"/>
        <w:jc w:val="both"/>
      </w:pPr>
      <w:bookmarkStart w:id="0" w:name="_GoBack"/>
      <w:bookmarkEnd w:id="0"/>
      <w:r w:rsidRPr="001E3865">
        <w:rPr>
          <w:rFonts w:ascii="Times New Roman" w:hAnsi="Times New Roman" w:cs="Times New Roman"/>
          <w:sz w:val="24"/>
        </w:rPr>
        <w:t>PRIJENOS SREDSTAVA</w:t>
      </w:r>
    </w:p>
    <w:p w:rsidR="00F54527" w:rsidRDefault="001E3865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Prijenos sredstava iz prethodne godine iznose 307.995.118,22 EUR, a </w:t>
      </w:r>
      <w:r>
        <w:rPr>
          <w:rFonts w:ascii="Times New Roman" w:hAnsi="Times New Roman" w:cs="Times New Roman"/>
          <w:sz w:val="24"/>
        </w:rPr>
        <w:t>sredstva raspoloživa za prijenos u sljedeće razdoblje iznose 715.526.969,93 EUR i predstavljaju sredstva Fonda osiguranja depozita. </w:t>
      </w:r>
    </w:p>
    <w:p w:rsidR="00F54527" w:rsidRDefault="001E3865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>IZVJEŠTAJ O ZADUŽIVANJU NA DOMAĆEM I STRANOM TRŽIŠTU NOVCA I KAPITALA</w:t>
      </w:r>
    </w:p>
    <w:p w:rsidR="00F54527" w:rsidRDefault="001E3865">
      <w:pPr>
        <w:spacing w:line="240" w:lineRule="auto"/>
        <w:ind w:left="45"/>
        <w:jc w:val="both"/>
      </w:pPr>
      <w:r>
        <w:rPr>
          <w:rFonts w:ascii="Times New Roman" w:hAnsi="Times New Roman" w:cs="Times New Roman"/>
          <w:sz w:val="24"/>
        </w:rPr>
        <w:t xml:space="preserve">U ovom izvještajnom razdoblju Hrvatska </w:t>
      </w:r>
      <w:r>
        <w:rPr>
          <w:rFonts w:ascii="Times New Roman" w:hAnsi="Times New Roman" w:cs="Times New Roman"/>
          <w:sz w:val="24"/>
        </w:rPr>
        <w:t>agencija za osiguranje depozita se nije zaduživala na domaćem i stranom tržištu novca i kapitala.</w:t>
      </w:r>
    </w:p>
    <w:p w:rsidR="00F54527" w:rsidRDefault="001E3865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</w:r>
      <w:r>
        <w:rPr>
          <w:rFonts w:ascii="Times New Roman" w:hAnsi="Times New Roman" w:cs="Times New Roman"/>
          <w:b/>
          <w:sz w:val="24"/>
        </w:rPr>
        <w:t xml:space="preserve">IZVJEŠTAJ O DANIM JAMSTVIMA I PLAĆANJIMA PO PROTESTIRANIM JAMSTVIMA </w:t>
      </w:r>
    </w:p>
    <w:p w:rsidR="00F54527" w:rsidRDefault="001E3865">
      <w:pPr>
        <w:spacing w:line="240" w:lineRule="auto"/>
        <w:ind w:left="45"/>
        <w:jc w:val="both"/>
      </w:pPr>
      <w:r>
        <w:rPr>
          <w:rFonts w:ascii="Times New Roman" w:hAnsi="Times New Roman" w:cs="Times New Roman"/>
          <w:sz w:val="24"/>
        </w:rPr>
        <w:t>U ovom izvještajnom razdoblju Hrvatska agencija za osiguranje depozita nije izdala jamst</w:t>
      </w:r>
      <w:r>
        <w:rPr>
          <w:rFonts w:ascii="Times New Roman" w:hAnsi="Times New Roman" w:cs="Times New Roman"/>
          <w:sz w:val="24"/>
        </w:rPr>
        <w:t>va niti izvršila plaćanja po protestiranim jamstvima.</w:t>
      </w:r>
    </w:p>
    <w:sectPr w:rsidR="00F54527" w:rsidSect="001E3865">
      <w:footerReference w:type="default" r:id="rId6"/>
      <w:pgSz w:w="12240" w:h="15840"/>
      <w:pgMar w:top="1417" w:right="1417" w:bottom="1417" w:left="1417" w:header="720" w:footer="720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865" w:rsidRDefault="001E3865" w:rsidP="001E3865">
      <w:pPr>
        <w:spacing w:after="0" w:line="240" w:lineRule="auto"/>
      </w:pPr>
      <w:r>
        <w:separator/>
      </w:r>
    </w:p>
  </w:endnote>
  <w:endnote w:type="continuationSeparator" w:id="0">
    <w:p w:rsidR="001E3865" w:rsidRDefault="001E3865" w:rsidP="001E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762102196"/>
      <w:docPartObj>
        <w:docPartGallery w:val="Page Numbers (Bottom of Page)"/>
        <w:docPartUnique/>
      </w:docPartObj>
    </w:sdtPr>
    <w:sdtContent>
      <w:p w:rsidR="001E3865" w:rsidRPr="001E3865" w:rsidRDefault="001E3865">
        <w:pPr>
          <w:pStyle w:val="Podnoje"/>
          <w:jc w:val="center"/>
          <w:rPr>
            <w:sz w:val="24"/>
            <w:szCs w:val="24"/>
          </w:rPr>
        </w:pPr>
        <w:r w:rsidRPr="001E38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38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38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1E38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3865" w:rsidRDefault="001E386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865" w:rsidRDefault="001E3865" w:rsidP="001E3865">
      <w:pPr>
        <w:spacing w:after="0" w:line="240" w:lineRule="auto"/>
      </w:pPr>
      <w:r>
        <w:separator/>
      </w:r>
    </w:p>
  </w:footnote>
  <w:footnote w:type="continuationSeparator" w:id="0">
    <w:p w:rsidR="001E3865" w:rsidRDefault="001E3865" w:rsidP="001E38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4527"/>
    <w:rsid w:val="001E3865"/>
    <w:rsid w:val="00F5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9414"/>
  <w15:docId w15:val="{71D3671B-570F-4309-975C-276685CC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E3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E3865"/>
  </w:style>
  <w:style w:type="paragraph" w:styleId="Podnoje">
    <w:name w:val="footer"/>
    <w:basedOn w:val="Normal"/>
    <w:link w:val="PodnojeChar"/>
    <w:uiPriority w:val="99"/>
    <w:unhideWhenUsed/>
    <w:rsid w:val="001E3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E3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1367</Words>
  <Characters>7795</Characters>
  <Application>Microsoft Office Word</Application>
  <DocSecurity>0</DocSecurity>
  <Lines>64</Lines>
  <Paragraphs>18</Paragraphs>
  <ScaleCrop>false</ScaleCrop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2024-08-28T11:05:00Z</dcterms:created>
  <dcterms:modified xsi:type="dcterms:W3CDTF">2024-08-28T11:07:00Z</dcterms:modified>
</cp:coreProperties>
</file>