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70F1" w:rsidRDefault="00574AFF">
      <w:pPr>
        <w:spacing w:line="360" w:lineRule="auto"/>
        <w:jc w:val="center"/>
      </w:pPr>
      <w:r>
        <w:rPr>
          <w:rFonts w:ascii="Times New Roman" w:hAnsi="Times New Roman" w:cs="Times New Roman"/>
          <w:b/>
          <w:sz w:val="24"/>
        </w:rPr>
        <w:t>OBRAZLOŽENJE IZVRŠENJA FINANCIJSKOG PLANA HRVATSKOG ZAVODA ZA ZDRAVSTVENO OSIGURANJE ZA PRVO POLUGODIŠTE 2024. GODINE</w:t>
      </w:r>
    </w:p>
    <w:p w:rsidR="005C70F1" w:rsidRDefault="00574AFF">
      <w:pPr>
        <w:spacing w:line="360" w:lineRule="auto"/>
      </w:pPr>
      <w:r>
        <w:rPr>
          <w:rFonts w:ascii="Times New Roman" w:hAnsi="Times New Roman" w:cs="Times New Roman"/>
          <w:b/>
          <w:sz w:val="24"/>
          <w:u w:val="single"/>
        </w:rPr>
        <w:br/>
        <w:t>UVOD</w:t>
      </w:r>
    </w:p>
    <w:p w:rsidR="005C70F1" w:rsidRDefault="00574AFF">
      <w:pPr>
        <w:spacing w:line="240" w:lineRule="auto"/>
        <w:jc w:val="both"/>
      </w:pPr>
      <w:r>
        <w:rPr>
          <w:rFonts w:ascii="Times New Roman" w:hAnsi="Times New Roman" w:cs="Times New Roman"/>
          <w:color w:val="262626"/>
          <w:sz w:val="24"/>
        </w:rPr>
        <w:t>Daljnji rast gospodarskih aktivnosti utjecao je na nastavak rasta broja zaposlenih osoba u Republici Hrvatskoj u prvoj polovici 2024. godine. U travnju 2024. došlo je do snažnog porasta bruto plaća, kao rezultat provedene sveobuhvatne reforme sustava plaća u državnim i javnim službama, što se odrazilo i na povećanje rasta prihoda od doprinosa. Prema zadnje dostupnim podacima Državnog zavoda za statistiku, za razdoblje siječanj-svibanj 2024. prosječna mjesečna bruto plaća po zaposlenome u pravnim osobama u Republici Hrvatskoj bilježi rast od 15,8 % u odnosu na isto razdoblje prethodne godine. Naime, od 1. ožujka 2024. godine na snazi je Temeljni kolektivni ugovor za zaposlenike u javnim službama („Narodne novine“ broj 29/2024), kao i Izmjene i dopune Kolektivnog ugovora za državne službenike i namještenike („Narodne novine“ broj 29/2024), čime je, nakon donošenja Zakona o plaćama u državnoj službi i javnim službama  („Narodne novine“ broj 155/2023) i Uredbe o nazivima radnih mjesta, uvjetima za raspored i koeficijentima za obračun plaće u javnim službama („Narodne novine“ broj 22/2024; u daljnjem tekstu: Uredba), kao i ostalih uredbi koje su temeljem Zakona o plaćama u državnoj i javnim službama donesene, zaokružen proces reforme sustava plaća u Republici Hrvatskoj. Donošenjem navedenog Zakona i uredbi, prestaje s važenjem Odluka o isplati privremenog dodatka na plaće državnim službenicima i namještenicima te službenicima i namještenicima u javnim službama („Narodne novine“ 65/2023), a koju je za sektor zdravstva, odnosno na sve pružatelje zdravstvene zaštite u Mreži javnozdravstvene zaštite na primarnoj, sekundarnoj i tercijarnoj razini od srpnja 2023. godine provodio Hrvatski zavod za zdravstveno osiguranje (u daljnjem tekstu: HZZO).</w:t>
      </w:r>
    </w:p>
    <w:p w:rsidR="005C70F1" w:rsidRDefault="00574AFF">
      <w:pPr>
        <w:spacing w:line="240" w:lineRule="auto"/>
        <w:jc w:val="both"/>
      </w:pPr>
      <w:r>
        <w:rPr>
          <w:rFonts w:ascii="Times New Roman" w:hAnsi="Times New Roman" w:cs="Times New Roman"/>
          <w:color w:val="262626"/>
          <w:sz w:val="24"/>
        </w:rPr>
        <w:t>Tijekom prvih šest mjeseci 2024. godine, u cilju osiguranja dostupnosti i kontinuiranosti zdravstvene zaštite osiguranim osobama HZZO-a, u dva su navrata Odlukama Upravnog vijeća HZZO-a povećavani maksimalni iznosi sredstava za provođenje bolničke i specijalističko-konzilijarne zdravstvene zaštite iz obveznog zdravstvenog osiguranja (ukupno 18 %), te je ujedno i iznos sredstava za provođenje određenih postupaka (9 posebno ugovorenih postupaka) usklađivan s novom vrijednošću osnovice za izračun dijagnostičko-terapijskih postupaka (DTP).</w:t>
      </w:r>
    </w:p>
    <w:p w:rsidR="005C70F1" w:rsidRDefault="00574AFF">
      <w:pPr>
        <w:spacing w:line="240" w:lineRule="auto"/>
        <w:jc w:val="both"/>
      </w:pPr>
      <w:r>
        <w:rPr>
          <w:rFonts w:ascii="Times New Roman" w:hAnsi="Times New Roman" w:cs="Times New Roman"/>
          <w:color w:val="262626"/>
          <w:sz w:val="24"/>
        </w:rPr>
        <w:t>U djelatnostima primarne zdravstvene zaštite tijekom prvog polugodišta kroz tri Odluke Upravnog vijeća povećane su vrijednosti standardnih timova i cijene zdravstvene zaštite u dijelu kalkulativnog iznosa koji se odnosi na vrijednost rada, a u skladu s Uredbom. Isto tako, u bolničkoj i specijalističko-konzilijarnoj zdravstvenoj zaštiti korigirane su vrijednosti koeficijenata za dijagnostičko-terapijske skupine (DTS), dijagnostičko-terapijske postupke (DTP) i dan bolničkog liječenja (DBL) prema provedenim analizama i utvrđenom utjecaju vrijednosti rada na cijene usluga/postupaka kao i cijene dijagnostičko-terapijskih postupaka (DTP) – nacionalnih programa preventivne zdravstvene zaštite. Također u skladu s Uredbom, Odlukom o izmjenama Odluke o osnovama za sklapanje ugovora o provođenju specifične zdravstvene zaštite korigirane su cijene preventivnih (prethodnih i periodičnih) pregleda te postupaka u ordinaciji medicine rada, kao i cijene preventivnih (prethodnih i periodičnih) pregleda te postupaka u ordinaciji medicine rada (po posebnom standardu).</w:t>
      </w:r>
    </w:p>
    <w:p w:rsidR="005C70F1" w:rsidRDefault="00574AFF">
      <w:pPr>
        <w:spacing w:line="240" w:lineRule="auto"/>
        <w:jc w:val="both"/>
      </w:pPr>
      <w:r>
        <w:rPr>
          <w:rFonts w:ascii="Times New Roman" w:hAnsi="Times New Roman" w:cs="Times New Roman"/>
          <w:color w:val="262626"/>
          <w:sz w:val="24"/>
        </w:rPr>
        <w:lastRenderedPageBreak/>
        <w:t>Potrebno je naglasiti i da je HZZO, s ciljem uspostave efikasnijeg upravljanja i nadzora u zdravstvenom sustavu, krajem svibnja 2024. godine započeo s produkcijom novog poslovnog informatičkog sustava eHZZO s digitalnom razmjenom podataka s nacionalnim i međunarodnim institucijama. Novi sustav je integriran s 213 sustava (MUP, HZMO, HZZ, Porezna Uprava, matica rođenih, matica umrlih, Obrtni registar, Sudski registar, CEZIH i dr.) što omogućuje lakšu komunikaciju prema vanjskim korisnicima, visoku dostupnost podataka nužnih za upravljanje poslovnim procesima i izvješćivanje, kao i razvoj novih e-usluga za osiguranike.</w:t>
      </w:r>
      <w:r>
        <w:rPr>
          <w:rFonts w:ascii="Times New Roman" w:hAnsi="Times New Roman" w:cs="Times New Roman"/>
          <w:sz w:val="24"/>
        </w:rPr>
        <w:br/>
      </w:r>
      <w:r>
        <w:rPr>
          <w:rFonts w:ascii="Times New Roman" w:hAnsi="Times New Roman" w:cs="Times New Roman"/>
          <w:color w:val="262626"/>
          <w:sz w:val="24"/>
        </w:rPr>
        <w:t>Financijskim planom HZZO-a za 2024. godinu usvojenim od Hrvatskog Sabora 30. studenog 2023. godine i objavljenim u „Narodnim novinama“ broj 149/2023, ukupni prihodi planirani su u iznosu od 5.567.171.600 EUR, ukupni rashodi u iznosu od 5.557.919.183 EUR, a višak prihoda u iznosu od 9.252.417 EUR predviđen je za otplatu dijela beskamatnog zajma.</w:t>
      </w:r>
    </w:p>
    <w:p w:rsidR="005C70F1" w:rsidRDefault="00574AFF">
      <w:pPr>
        <w:spacing w:line="360" w:lineRule="auto"/>
      </w:pPr>
      <w:r>
        <w:rPr>
          <w:rFonts w:ascii="Times New Roman" w:hAnsi="Times New Roman" w:cs="Times New Roman"/>
          <w:b/>
          <w:sz w:val="24"/>
          <w:u w:val="single"/>
        </w:rPr>
        <w:br/>
        <w:t>PRIHODI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2718"/>
        <w:gridCol w:w="1553"/>
        <w:gridCol w:w="1553"/>
        <w:gridCol w:w="1552"/>
        <w:gridCol w:w="971"/>
        <w:gridCol w:w="971"/>
      </w:tblGrid>
      <w:tr w:rsidR="005C70F1">
        <w:tc>
          <w:tcPr>
            <w:tcW w:w="1400" w:type="pct"/>
            <w:shd w:val="clear" w:color="auto" w:fill="BCDFFB"/>
            <w:vAlign w:val="center"/>
          </w:tcPr>
          <w:p w:rsidR="005C70F1" w:rsidRDefault="00574AFF">
            <w:pPr>
              <w:spacing w:after="0" w:line="240" w:lineRule="auto"/>
              <w:jc w:val="center"/>
            </w:pPr>
            <w:r>
              <w:rPr>
                <w:rFonts w:ascii="Times New Roman" w:hAnsi="Times New Roman" w:cs="Times New Roman"/>
                <w:b/>
                <w:sz w:val="18"/>
              </w:rPr>
              <w:t>BROJČANA OZNAKA I NAZIV</w:t>
            </w:r>
          </w:p>
        </w:tc>
        <w:tc>
          <w:tcPr>
            <w:tcW w:w="800" w:type="pct"/>
            <w:shd w:val="clear" w:color="auto" w:fill="BCDFFB"/>
            <w:vAlign w:val="center"/>
          </w:tcPr>
          <w:p w:rsidR="005C70F1" w:rsidRDefault="00574AFF">
            <w:pPr>
              <w:spacing w:after="0" w:line="240" w:lineRule="auto"/>
              <w:jc w:val="center"/>
            </w:pPr>
            <w:r>
              <w:rPr>
                <w:rFonts w:ascii="Times New Roman" w:hAnsi="Times New Roman" w:cs="Times New Roman"/>
                <w:b/>
                <w:sz w:val="18"/>
              </w:rPr>
              <w:t>OSTVARENJE</w:t>
            </w:r>
            <w:r>
              <w:rPr>
                <w:rFonts w:ascii="Times New Roman" w:hAnsi="Times New Roman" w:cs="Times New Roman"/>
                <w:b/>
                <w:sz w:val="18"/>
              </w:rPr>
              <w:br/>
              <w:t>1.-6. 2023.</w:t>
            </w:r>
          </w:p>
        </w:tc>
        <w:tc>
          <w:tcPr>
            <w:tcW w:w="800" w:type="pct"/>
            <w:shd w:val="clear" w:color="auto" w:fill="BCDFFB"/>
            <w:vAlign w:val="center"/>
          </w:tcPr>
          <w:p w:rsidR="005C70F1" w:rsidRDefault="00574AFF">
            <w:pPr>
              <w:spacing w:after="0" w:line="240" w:lineRule="auto"/>
              <w:jc w:val="center"/>
            </w:pPr>
            <w:r>
              <w:rPr>
                <w:rFonts w:ascii="Times New Roman" w:hAnsi="Times New Roman" w:cs="Times New Roman"/>
                <w:b/>
                <w:sz w:val="18"/>
              </w:rPr>
              <w:t>PLAN</w:t>
            </w:r>
            <w:r>
              <w:rPr>
                <w:rFonts w:ascii="Times New Roman" w:hAnsi="Times New Roman" w:cs="Times New Roman"/>
                <w:b/>
                <w:sz w:val="18"/>
              </w:rPr>
              <w:br/>
              <w:t>2024.</w:t>
            </w:r>
          </w:p>
        </w:tc>
        <w:tc>
          <w:tcPr>
            <w:tcW w:w="800" w:type="pct"/>
            <w:shd w:val="clear" w:color="auto" w:fill="BCDFFB"/>
            <w:vAlign w:val="center"/>
          </w:tcPr>
          <w:p w:rsidR="005C70F1" w:rsidRDefault="00574AFF">
            <w:pPr>
              <w:spacing w:after="0" w:line="240" w:lineRule="auto"/>
              <w:jc w:val="center"/>
            </w:pPr>
            <w:r>
              <w:rPr>
                <w:rFonts w:ascii="Times New Roman" w:hAnsi="Times New Roman" w:cs="Times New Roman"/>
                <w:b/>
                <w:sz w:val="18"/>
              </w:rPr>
              <w:t>OSTVARENJE</w:t>
            </w:r>
            <w:r>
              <w:rPr>
                <w:rFonts w:ascii="Times New Roman" w:hAnsi="Times New Roman" w:cs="Times New Roman"/>
                <w:b/>
                <w:sz w:val="18"/>
              </w:rPr>
              <w:br/>
              <w:t>1.-6. 2024.</w:t>
            </w:r>
          </w:p>
        </w:tc>
        <w:tc>
          <w:tcPr>
            <w:tcW w:w="500" w:type="pct"/>
            <w:shd w:val="clear" w:color="auto" w:fill="BCDFFB"/>
            <w:vAlign w:val="center"/>
          </w:tcPr>
          <w:p w:rsidR="005C70F1" w:rsidRDefault="00574AFF">
            <w:pPr>
              <w:spacing w:after="0" w:line="240" w:lineRule="auto"/>
              <w:jc w:val="center"/>
            </w:pPr>
            <w:r>
              <w:rPr>
                <w:rFonts w:ascii="Times New Roman" w:hAnsi="Times New Roman" w:cs="Times New Roman"/>
                <w:b/>
                <w:sz w:val="18"/>
              </w:rPr>
              <w:t>INDEKS</w:t>
            </w:r>
          </w:p>
        </w:tc>
        <w:tc>
          <w:tcPr>
            <w:tcW w:w="500" w:type="pct"/>
            <w:shd w:val="clear" w:color="auto" w:fill="BCDFFB"/>
            <w:vAlign w:val="center"/>
          </w:tcPr>
          <w:p w:rsidR="005C70F1" w:rsidRDefault="00574AFF">
            <w:pPr>
              <w:spacing w:after="0" w:line="240" w:lineRule="auto"/>
              <w:jc w:val="center"/>
            </w:pPr>
            <w:r>
              <w:rPr>
                <w:rFonts w:ascii="Times New Roman" w:hAnsi="Times New Roman" w:cs="Times New Roman"/>
                <w:b/>
                <w:sz w:val="18"/>
              </w:rPr>
              <w:t>INDEKS</w:t>
            </w:r>
          </w:p>
        </w:tc>
      </w:tr>
      <w:tr w:rsidR="005C70F1">
        <w:tc>
          <w:tcPr>
            <w:tcW w:w="1400" w:type="pct"/>
            <w:shd w:val="clear" w:color="auto" w:fill="BCDFFB"/>
            <w:vAlign w:val="center"/>
          </w:tcPr>
          <w:p w:rsidR="005C70F1" w:rsidRDefault="00574AFF">
            <w:pPr>
              <w:spacing w:after="0" w:line="240" w:lineRule="auto"/>
              <w:jc w:val="center"/>
            </w:pPr>
            <w:r>
              <w:rPr>
                <w:rFonts w:ascii="Times New Roman" w:hAnsi="Times New Roman" w:cs="Times New Roman"/>
                <w:sz w:val="14"/>
              </w:rPr>
              <w:t>1</w:t>
            </w:r>
          </w:p>
        </w:tc>
        <w:tc>
          <w:tcPr>
            <w:tcW w:w="800" w:type="pct"/>
            <w:shd w:val="clear" w:color="auto" w:fill="BCDFFB"/>
            <w:vAlign w:val="center"/>
          </w:tcPr>
          <w:p w:rsidR="005C70F1" w:rsidRDefault="00574AFF">
            <w:pPr>
              <w:spacing w:after="0" w:line="240" w:lineRule="auto"/>
              <w:jc w:val="center"/>
            </w:pPr>
            <w:r>
              <w:rPr>
                <w:rFonts w:ascii="Times New Roman" w:hAnsi="Times New Roman" w:cs="Times New Roman"/>
                <w:sz w:val="14"/>
              </w:rPr>
              <w:t>2</w:t>
            </w:r>
          </w:p>
        </w:tc>
        <w:tc>
          <w:tcPr>
            <w:tcW w:w="800" w:type="pct"/>
            <w:shd w:val="clear" w:color="auto" w:fill="BCDFFB"/>
            <w:vAlign w:val="center"/>
          </w:tcPr>
          <w:p w:rsidR="005C70F1" w:rsidRDefault="00574AFF">
            <w:pPr>
              <w:spacing w:after="0" w:line="240" w:lineRule="auto"/>
              <w:jc w:val="center"/>
            </w:pPr>
            <w:r>
              <w:rPr>
                <w:rFonts w:ascii="Times New Roman" w:hAnsi="Times New Roman" w:cs="Times New Roman"/>
                <w:sz w:val="14"/>
              </w:rPr>
              <w:t>3</w:t>
            </w:r>
          </w:p>
        </w:tc>
        <w:tc>
          <w:tcPr>
            <w:tcW w:w="800" w:type="pct"/>
            <w:shd w:val="clear" w:color="auto" w:fill="BCDFFB"/>
            <w:vAlign w:val="center"/>
          </w:tcPr>
          <w:p w:rsidR="005C70F1" w:rsidRDefault="00574AFF">
            <w:pPr>
              <w:spacing w:after="0" w:line="240" w:lineRule="auto"/>
              <w:jc w:val="center"/>
            </w:pPr>
            <w:r>
              <w:rPr>
                <w:rFonts w:ascii="Times New Roman" w:hAnsi="Times New Roman" w:cs="Times New Roman"/>
                <w:sz w:val="14"/>
              </w:rPr>
              <w:t>4</w:t>
            </w:r>
          </w:p>
        </w:tc>
        <w:tc>
          <w:tcPr>
            <w:tcW w:w="500" w:type="pct"/>
            <w:shd w:val="clear" w:color="auto" w:fill="BCDFFB"/>
            <w:vAlign w:val="center"/>
          </w:tcPr>
          <w:p w:rsidR="005C70F1" w:rsidRDefault="00574AFF">
            <w:pPr>
              <w:spacing w:after="0" w:line="240" w:lineRule="auto"/>
              <w:jc w:val="center"/>
            </w:pPr>
            <w:r>
              <w:rPr>
                <w:rFonts w:ascii="Times New Roman" w:hAnsi="Times New Roman" w:cs="Times New Roman"/>
                <w:sz w:val="14"/>
              </w:rPr>
              <w:t>5=4/2</w:t>
            </w:r>
          </w:p>
        </w:tc>
        <w:tc>
          <w:tcPr>
            <w:tcW w:w="500" w:type="pct"/>
            <w:shd w:val="clear" w:color="auto" w:fill="BCDFFB"/>
            <w:vAlign w:val="center"/>
          </w:tcPr>
          <w:p w:rsidR="005C70F1" w:rsidRDefault="00574AFF">
            <w:pPr>
              <w:spacing w:after="0" w:line="240" w:lineRule="auto"/>
              <w:jc w:val="center"/>
            </w:pPr>
            <w:r>
              <w:rPr>
                <w:rFonts w:ascii="Times New Roman" w:hAnsi="Times New Roman" w:cs="Times New Roman"/>
                <w:sz w:val="14"/>
              </w:rPr>
              <w:t>6=4/3</w:t>
            </w:r>
          </w:p>
        </w:tc>
      </w:tr>
      <w:tr w:rsidR="005C70F1">
        <w:tc>
          <w:tcPr>
            <w:tcW w:w="1400" w:type="pct"/>
            <w:vAlign w:val="bottom"/>
          </w:tcPr>
          <w:p w:rsidR="005C70F1" w:rsidRDefault="00574AFF">
            <w:pPr>
              <w:spacing w:after="0" w:line="240" w:lineRule="auto"/>
            </w:pPr>
            <w:r>
              <w:rPr>
                <w:rFonts w:ascii="Times New Roman" w:hAnsi="Times New Roman" w:cs="Times New Roman"/>
                <w:sz w:val="18"/>
              </w:rPr>
              <w:t>6 PRIHODI POSLOVANJA</w:t>
            </w:r>
          </w:p>
        </w:tc>
        <w:tc>
          <w:tcPr>
            <w:tcW w:w="800" w:type="pct"/>
            <w:vAlign w:val="bottom"/>
          </w:tcPr>
          <w:p w:rsidR="005C70F1" w:rsidRDefault="00574AFF">
            <w:pPr>
              <w:spacing w:after="0" w:line="240" w:lineRule="auto"/>
              <w:jc w:val="right"/>
            </w:pPr>
            <w:r>
              <w:rPr>
                <w:rFonts w:ascii="Times New Roman" w:hAnsi="Times New Roman" w:cs="Times New Roman"/>
                <w:sz w:val="18"/>
              </w:rPr>
              <w:t>2.463.902.843</w:t>
            </w:r>
          </w:p>
        </w:tc>
        <w:tc>
          <w:tcPr>
            <w:tcW w:w="800" w:type="pct"/>
            <w:vAlign w:val="bottom"/>
          </w:tcPr>
          <w:p w:rsidR="005C70F1" w:rsidRDefault="00574AFF">
            <w:pPr>
              <w:spacing w:after="0" w:line="240" w:lineRule="auto"/>
              <w:jc w:val="right"/>
            </w:pPr>
            <w:r>
              <w:rPr>
                <w:rFonts w:ascii="Times New Roman" w:hAnsi="Times New Roman" w:cs="Times New Roman"/>
                <w:sz w:val="18"/>
              </w:rPr>
              <w:t>5.564.671.600</w:t>
            </w:r>
          </w:p>
        </w:tc>
        <w:tc>
          <w:tcPr>
            <w:tcW w:w="800" w:type="pct"/>
            <w:vAlign w:val="bottom"/>
          </w:tcPr>
          <w:p w:rsidR="005C70F1" w:rsidRDefault="00574AFF">
            <w:pPr>
              <w:spacing w:after="0" w:line="240" w:lineRule="auto"/>
              <w:jc w:val="right"/>
            </w:pPr>
            <w:r>
              <w:rPr>
                <w:rFonts w:ascii="Times New Roman" w:hAnsi="Times New Roman" w:cs="Times New Roman"/>
                <w:sz w:val="18"/>
              </w:rPr>
              <w:t>2.840.303.472</w:t>
            </w:r>
          </w:p>
        </w:tc>
        <w:tc>
          <w:tcPr>
            <w:tcW w:w="500" w:type="pct"/>
            <w:vAlign w:val="bottom"/>
          </w:tcPr>
          <w:p w:rsidR="005C70F1" w:rsidRDefault="00574AFF">
            <w:pPr>
              <w:spacing w:after="0" w:line="240" w:lineRule="auto"/>
              <w:jc w:val="right"/>
            </w:pPr>
            <w:r>
              <w:rPr>
                <w:rFonts w:ascii="Times New Roman" w:hAnsi="Times New Roman" w:cs="Times New Roman"/>
                <w:sz w:val="18"/>
              </w:rPr>
              <w:t>115,3</w:t>
            </w:r>
          </w:p>
        </w:tc>
        <w:tc>
          <w:tcPr>
            <w:tcW w:w="500" w:type="pct"/>
            <w:vAlign w:val="bottom"/>
          </w:tcPr>
          <w:p w:rsidR="005C70F1" w:rsidRDefault="00574AFF">
            <w:pPr>
              <w:spacing w:after="0" w:line="240" w:lineRule="auto"/>
              <w:jc w:val="right"/>
            </w:pPr>
            <w:r>
              <w:rPr>
                <w:rFonts w:ascii="Times New Roman" w:hAnsi="Times New Roman" w:cs="Times New Roman"/>
                <w:sz w:val="18"/>
              </w:rPr>
              <w:t>51,0</w:t>
            </w:r>
          </w:p>
        </w:tc>
      </w:tr>
      <w:tr w:rsidR="005C70F1">
        <w:tc>
          <w:tcPr>
            <w:tcW w:w="1400" w:type="pct"/>
            <w:vAlign w:val="bottom"/>
          </w:tcPr>
          <w:p w:rsidR="005C70F1" w:rsidRDefault="00574AFF">
            <w:pPr>
              <w:spacing w:after="0" w:line="240" w:lineRule="auto"/>
            </w:pPr>
            <w:r>
              <w:rPr>
                <w:rFonts w:ascii="Times New Roman" w:hAnsi="Times New Roman" w:cs="Times New Roman"/>
                <w:sz w:val="18"/>
              </w:rPr>
              <w:t>7 PRIHODI OD PRODAJE NEFINANCIJSKE IMOVINE</w:t>
            </w:r>
          </w:p>
        </w:tc>
        <w:tc>
          <w:tcPr>
            <w:tcW w:w="800" w:type="pct"/>
            <w:vAlign w:val="bottom"/>
          </w:tcPr>
          <w:p w:rsidR="005C70F1" w:rsidRDefault="00574AFF">
            <w:pPr>
              <w:spacing w:after="0" w:line="240" w:lineRule="auto"/>
              <w:jc w:val="right"/>
            </w:pPr>
            <w:r>
              <w:rPr>
                <w:rFonts w:ascii="Times New Roman" w:hAnsi="Times New Roman" w:cs="Times New Roman"/>
                <w:sz w:val="18"/>
              </w:rPr>
              <w:t>68.097</w:t>
            </w:r>
          </w:p>
        </w:tc>
        <w:tc>
          <w:tcPr>
            <w:tcW w:w="800" w:type="pct"/>
            <w:vAlign w:val="bottom"/>
          </w:tcPr>
          <w:p w:rsidR="005C70F1" w:rsidRDefault="00574AFF">
            <w:pPr>
              <w:spacing w:after="0" w:line="240" w:lineRule="auto"/>
              <w:jc w:val="right"/>
            </w:pPr>
            <w:r>
              <w:rPr>
                <w:rFonts w:ascii="Times New Roman" w:hAnsi="Times New Roman" w:cs="Times New Roman"/>
                <w:sz w:val="18"/>
              </w:rPr>
              <w:t>2.500.000</w:t>
            </w:r>
          </w:p>
        </w:tc>
        <w:tc>
          <w:tcPr>
            <w:tcW w:w="800" w:type="pct"/>
            <w:vAlign w:val="bottom"/>
          </w:tcPr>
          <w:p w:rsidR="005C70F1" w:rsidRDefault="00574AFF">
            <w:pPr>
              <w:spacing w:after="0" w:line="240" w:lineRule="auto"/>
              <w:jc w:val="right"/>
            </w:pPr>
            <w:r>
              <w:rPr>
                <w:rFonts w:ascii="Times New Roman" w:hAnsi="Times New Roman" w:cs="Times New Roman"/>
                <w:sz w:val="18"/>
              </w:rPr>
              <w:t>48.845</w:t>
            </w:r>
          </w:p>
        </w:tc>
        <w:tc>
          <w:tcPr>
            <w:tcW w:w="500" w:type="pct"/>
            <w:vAlign w:val="bottom"/>
          </w:tcPr>
          <w:p w:rsidR="005C70F1" w:rsidRDefault="00574AFF">
            <w:pPr>
              <w:spacing w:after="0" w:line="240" w:lineRule="auto"/>
              <w:jc w:val="right"/>
            </w:pPr>
            <w:r>
              <w:rPr>
                <w:rFonts w:ascii="Times New Roman" w:hAnsi="Times New Roman" w:cs="Times New Roman"/>
                <w:sz w:val="18"/>
              </w:rPr>
              <w:t>71,7</w:t>
            </w:r>
          </w:p>
        </w:tc>
        <w:tc>
          <w:tcPr>
            <w:tcW w:w="500" w:type="pct"/>
            <w:vAlign w:val="bottom"/>
          </w:tcPr>
          <w:p w:rsidR="005C70F1" w:rsidRDefault="00574AFF">
            <w:pPr>
              <w:spacing w:after="0" w:line="240" w:lineRule="auto"/>
              <w:jc w:val="right"/>
            </w:pPr>
            <w:r>
              <w:rPr>
                <w:rFonts w:ascii="Times New Roman" w:hAnsi="Times New Roman" w:cs="Times New Roman"/>
                <w:sz w:val="18"/>
              </w:rPr>
              <w:t>2,0</w:t>
            </w:r>
          </w:p>
        </w:tc>
      </w:tr>
      <w:tr w:rsidR="005C70F1">
        <w:tc>
          <w:tcPr>
            <w:tcW w:w="1400" w:type="pct"/>
            <w:vAlign w:val="bottom"/>
          </w:tcPr>
          <w:p w:rsidR="005C70F1" w:rsidRDefault="00574AFF">
            <w:pPr>
              <w:spacing w:after="0" w:line="240" w:lineRule="auto"/>
            </w:pPr>
            <w:r>
              <w:rPr>
                <w:rFonts w:ascii="Times New Roman" w:hAnsi="Times New Roman" w:cs="Times New Roman"/>
                <w:b/>
                <w:sz w:val="18"/>
              </w:rPr>
              <w:t>UKUPNI PRIHODI</w:t>
            </w:r>
          </w:p>
        </w:tc>
        <w:tc>
          <w:tcPr>
            <w:tcW w:w="800" w:type="pct"/>
            <w:vAlign w:val="bottom"/>
          </w:tcPr>
          <w:p w:rsidR="005C70F1" w:rsidRDefault="00574AFF">
            <w:pPr>
              <w:spacing w:after="0" w:line="240" w:lineRule="auto"/>
              <w:jc w:val="right"/>
            </w:pPr>
            <w:r>
              <w:rPr>
                <w:rFonts w:ascii="Times New Roman" w:hAnsi="Times New Roman" w:cs="Times New Roman"/>
                <w:b/>
                <w:sz w:val="18"/>
              </w:rPr>
              <w:t>2.463.970.940</w:t>
            </w:r>
          </w:p>
        </w:tc>
        <w:tc>
          <w:tcPr>
            <w:tcW w:w="800" w:type="pct"/>
            <w:vAlign w:val="bottom"/>
          </w:tcPr>
          <w:p w:rsidR="005C70F1" w:rsidRDefault="00574AFF">
            <w:pPr>
              <w:spacing w:after="0" w:line="240" w:lineRule="auto"/>
              <w:jc w:val="right"/>
            </w:pPr>
            <w:r>
              <w:rPr>
                <w:rFonts w:ascii="Times New Roman" w:hAnsi="Times New Roman" w:cs="Times New Roman"/>
                <w:b/>
                <w:sz w:val="18"/>
              </w:rPr>
              <w:t>5.567.171.600</w:t>
            </w:r>
          </w:p>
        </w:tc>
        <w:tc>
          <w:tcPr>
            <w:tcW w:w="800" w:type="pct"/>
            <w:vAlign w:val="bottom"/>
          </w:tcPr>
          <w:p w:rsidR="005C70F1" w:rsidRDefault="00574AFF">
            <w:pPr>
              <w:spacing w:after="0" w:line="240" w:lineRule="auto"/>
              <w:jc w:val="right"/>
            </w:pPr>
            <w:r>
              <w:rPr>
                <w:rFonts w:ascii="Times New Roman" w:hAnsi="Times New Roman" w:cs="Times New Roman"/>
                <w:b/>
                <w:sz w:val="18"/>
              </w:rPr>
              <w:t>2.840.352.317</w:t>
            </w:r>
          </w:p>
        </w:tc>
        <w:tc>
          <w:tcPr>
            <w:tcW w:w="500" w:type="pct"/>
            <w:vAlign w:val="bottom"/>
          </w:tcPr>
          <w:p w:rsidR="005C70F1" w:rsidRDefault="00574AFF">
            <w:pPr>
              <w:spacing w:after="0" w:line="240" w:lineRule="auto"/>
              <w:jc w:val="right"/>
            </w:pPr>
            <w:r>
              <w:rPr>
                <w:rFonts w:ascii="Times New Roman" w:hAnsi="Times New Roman" w:cs="Times New Roman"/>
                <w:b/>
                <w:sz w:val="18"/>
              </w:rPr>
              <w:t>115,3</w:t>
            </w:r>
          </w:p>
        </w:tc>
        <w:tc>
          <w:tcPr>
            <w:tcW w:w="500" w:type="pct"/>
            <w:vAlign w:val="bottom"/>
          </w:tcPr>
          <w:p w:rsidR="005C70F1" w:rsidRDefault="00574AFF">
            <w:pPr>
              <w:spacing w:after="0" w:line="240" w:lineRule="auto"/>
              <w:jc w:val="right"/>
            </w:pPr>
            <w:r>
              <w:rPr>
                <w:rFonts w:ascii="Times New Roman" w:hAnsi="Times New Roman" w:cs="Times New Roman"/>
                <w:b/>
                <w:sz w:val="18"/>
              </w:rPr>
              <w:t>51,0</w:t>
            </w:r>
          </w:p>
        </w:tc>
      </w:tr>
    </w:tbl>
    <w:p w:rsidR="005C70F1" w:rsidRDefault="005C70F1">
      <w:pPr>
        <w:spacing w:after="0" w:line="240" w:lineRule="auto"/>
      </w:pPr>
    </w:p>
    <w:p w:rsidR="005C70F1" w:rsidRDefault="00574AFF">
      <w:pPr>
        <w:spacing w:line="240" w:lineRule="auto"/>
        <w:jc w:val="both"/>
      </w:pPr>
      <w:r>
        <w:rPr>
          <w:rFonts w:ascii="Times New Roman" w:hAnsi="Times New Roman" w:cs="Times New Roman"/>
          <w:color w:val="262626"/>
          <w:sz w:val="24"/>
        </w:rPr>
        <w:t>U prvom polugodištu 2024. godine ukupni prihodi, planirani na godišnjoj razini u iznosu od 5.567.171.600 EUR, ostvareni su u iznosu od 2.840.352.316,60 EUR, odnosno 51,02 % planiranih godišnjih prihoda. U odnosu na isto razdoblje prethodne godine, ostvarenje u prvih šest mjeseci 2024. godine veće je za 15,28 % ili 376.381.377,09 EUR.</w:t>
      </w:r>
    </w:p>
    <w:p w:rsidR="005C70F1" w:rsidRDefault="00574AFF">
      <w:pPr>
        <w:spacing w:line="240" w:lineRule="auto"/>
        <w:jc w:val="both"/>
      </w:pPr>
      <w:r>
        <w:rPr>
          <w:rFonts w:ascii="Times New Roman" w:hAnsi="Times New Roman" w:cs="Times New Roman"/>
          <w:color w:val="262626"/>
          <w:sz w:val="24"/>
        </w:rPr>
        <w:t>Prihodi poslovanja, planirani na godišnjoj razini u visini od 5.564.671.600 EUR, bilježe brže ostvarenje od planiranog, odnosno čine 51,04 % planiranih sredstava ili 2.840.303.472,03 EUR.</w:t>
      </w:r>
    </w:p>
    <w:p w:rsidR="005C70F1" w:rsidRDefault="00574AFF">
      <w:pPr>
        <w:spacing w:line="240" w:lineRule="auto"/>
        <w:jc w:val="both"/>
      </w:pPr>
      <w:r>
        <w:rPr>
          <w:rFonts w:ascii="Times New Roman" w:hAnsi="Times New Roman" w:cs="Times New Roman"/>
          <w:color w:val="262626"/>
          <w:sz w:val="24"/>
        </w:rPr>
        <w:t>Posljedica je to rasta najveće stavke u strukturi prihoda od poslovanja - prihoda od doprinosa, uzrokovane snažnim porastom bruto plaća. Tako su prihodi od doprinosa, planirani na godišnjoj razini u iznosu od 4.336.521.900 EUR, ostvareni 52,44 %, odnosno u iznosu od 2.274.098.041,57 EUR. U odnosu na prvih šest mjeseci prethodne godine, prihodi od doprinosa su rasli 19,02% ili u nominalnom iznosu za 363.441.825,41 EUR.</w:t>
      </w:r>
    </w:p>
    <w:p w:rsidR="005C70F1" w:rsidRDefault="00574AFF">
      <w:pPr>
        <w:spacing w:line="240" w:lineRule="auto"/>
        <w:jc w:val="both"/>
      </w:pPr>
      <w:r>
        <w:rPr>
          <w:rFonts w:ascii="Times New Roman" w:hAnsi="Times New Roman" w:cs="Times New Roman"/>
          <w:color w:val="262626"/>
          <w:sz w:val="24"/>
        </w:rPr>
        <w:t>Pomoći iz inozemstva i od subjekata unutar općeg proračuna ostvarene su u iznosu od 396.554.371,36 EUR, odnosno 50,52 % planiranog godišnjeg iznosa i veće su za 11,60 % u odnosu na isto razdoblje prošle godine. Najvećim dijelom se sastoje od prihoda od proračuna temeljem članka 72. i 82. Zakona o obveznom zdravstvenom osiguranju koji su ostvareni u iznosu od 392.500.001,00 EUR. Tekuće pomoći temeljem prijenosa EU sredstava iznose 4.009.464,83 EUR i odnose se na uplate za projekte eHZZO, eLijekovi kao i na Sporazum o partnerstvu s Hrvatskim zavodom za javno zdravstvo na projektu „Establishment of Croatian Health Data Access Body: Croatian Health Data Centre-CHDC“. Tekuće pomoći od institucija i tijela EU ostvarene su u iznosu od 44.905,53 EUR,  a odnose se na projekt „Extended EHR@EU Data Space for Primary Use“ i na refundacije Europske komisije.</w:t>
      </w:r>
    </w:p>
    <w:p w:rsidR="005C70F1" w:rsidRDefault="00574AFF">
      <w:pPr>
        <w:spacing w:line="240" w:lineRule="auto"/>
        <w:jc w:val="both"/>
      </w:pPr>
      <w:r>
        <w:rPr>
          <w:rFonts w:ascii="Times New Roman" w:hAnsi="Times New Roman" w:cs="Times New Roman"/>
          <w:color w:val="262626"/>
          <w:sz w:val="24"/>
        </w:rPr>
        <w:t xml:space="preserve">Prihode po posebnim propisima čine prihodi od sufinanciranja cijene zdravstvenih usluga u primarnoj zdravstvenoj zaštiti, prihodi od dopunskog zdravstvenog osiguranja temeljem </w:t>
      </w:r>
      <w:r>
        <w:rPr>
          <w:rFonts w:ascii="Times New Roman" w:hAnsi="Times New Roman" w:cs="Times New Roman"/>
          <w:color w:val="262626"/>
          <w:sz w:val="24"/>
        </w:rPr>
        <w:lastRenderedPageBreak/>
        <w:t>zaključenih polica, prihodi od inozemnog osiguranja temeljem međunarodnih ugovora,  prihodi koje uplaćuju osiguravajuća društva temeljem obveznog osiguranja od automobilske odgovornosti u visini od 5 % naplaćene funkcionalne premije osiguranja i ostali nespomenuti prihodi po posebnim propisima. Ukupno planirani prihodi po posebnim propisima za 2024. godinu  iznose  434.700.000 EUR, a u prvih šest mjeseci ostvareni su u iznosu od 165.416.038,18 EUR, odnosno 38,05 % planiranog godišnjeg iznosa, te su manji 15,27 % u odnosu na isto razdoblje prošle godine. Razlog je to manjeg ostvarenja prihoda od rabata na lijekove i naknada za stavljanje lijekova na Listu lijekova na recepte i Popis posebno skupih lijekova koji se evidentiraju u okviru stavke Ostali nespomenuti prihodi po posebnim propisima. Naime, zbog uvođenja novog sustava eHZZO kojim se uvode novi moduli vještačenja posebno skupih lijekova, došlo je do smanjenja ovih prihoda te je za očekivati da će tijekom godine, uspostavom redovitog postupanja u vještačenjima, doći i do normalizacije u priljevu prihoda. Prihodi od inozemnog osiguranja na temelju sklopljenih međunarodnih ugovora o zdravstvenom osiguranju i prihodi od premije obveznog osiguranja od automobilske odgovornosti bilježe nešto veće ostvarenje od polugodišnje planiranog (51,35 % odnosno 50,13 %). Prihodi od premija dopunskog zdravstvenog osiguranja veći su od prošlogodišnjih za 23,05 % i gotovo na razini polugodišnje planiranog (49,57%), dok su prihodi od dopunskog zdravstvenog osiguranja za sufinanciranje cijene usluga posljedično manji 11,19 % u odnosu na prethodnu godinu i iznose 40,34 % od planiranog godišnjeg iznosa.</w:t>
      </w:r>
    </w:p>
    <w:p w:rsidR="005C70F1" w:rsidRDefault="00574AFF">
      <w:pPr>
        <w:spacing w:line="240" w:lineRule="auto"/>
        <w:jc w:val="both"/>
      </w:pPr>
      <w:r>
        <w:rPr>
          <w:rFonts w:ascii="Times New Roman" w:hAnsi="Times New Roman" w:cs="Times New Roman"/>
          <w:color w:val="262626"/>
          <w:sz w:val="24"/>
        </w:rPr>
        <w:t xml:space="preserve">Prihodi od imovine ostvareni su u iznosu od 4.065.436,75 EUR, 62,22 % više od ostvarenja u prvom polugodištu prošle godine, a na razini planiranog (50,31%). Najveći dio ovih prihoda čine prihodi od kamata na novčana sredstva na računu Zavoda sukladno Odluci o kamatnim stopama na novčana sredstva subjekata javnog sektora kod HNB-a („Narodne novine“ broj 154/2022). U prvih šest mjeseci 2024. godine ostvareno je 3.593.240,85 EUR prihoda po ovoj osnovi. </w:t>
      </w:r>
    </w:p>
    <w:p w:rsidR="005C70F1" w:rsidRDefault="00574AFF">
      <w:pPr>
        <w:spacing w:line="240" w:lineRule="auto"/>
        <w:jc w:val="both"/>
      </w:pPr>
      <w:r>
        <w:rPr>
          <w:rFonts w:ascii="Times New Roman" w:hAnsi="Times New Roman" w:cs="Times New Roman"/>
          <w:color w:val="262626"/>
          <w:sz w:val="24"/>
        </w:rPr>
        <w:t>Prihodi od prodaje proizvoda i roba te pruženih usluga ostvareni su u iznosu od 155.000,40 EUR, veći su 15,39 % u odnosu na prvo polugodište prošle godine i na razini su planiranog polugodišnjeg ostvarenja (50,37 %).</w:t>
      </w:r>
    </w:p>
    <w:p w:rsidR="005C70F1" w:rsidRDefault="00574AFF">
      <w:pPr>
        <w:spacing w:line="240" w:lineRule="auto"/>
        <w:jc w:val="both"/>
      </w:pPr>
      <w:r>
        <w:rPr>
          <w:rFonts w:ascii="Times New Roman" w:hAnsi="Times New Roman" w:cs="Times New Roman"/>
          <w:color w:val="262626"/>
          <w:sz w:val="24"/>
        </w:rPr>
        <w:t>Prihodi od kazna, upravnih mjera i ostali prihodi ostvareni su u iznosu od 14.583,77 EUR, manji su od prošlogodišnjih za 50,98 %, odnosno bilježe 23,52 % ostvarenja od godišnje planiranog.</w:t>
      </w:r>
      <w:r>
        <w:rPr>
          <w:rFonts w:ascii="Times New Roman" w:hAnsi="Times New Roman" w:cs="Times New Roman"/>
          <w:sz w:val="24"/>
        </w:rPr>
        <w:br/>
      </w:r>
      <w:r>
        <w:rPr>
          <w:rFonts w:ascii="Times New Roman" w:hAnsi="Times New Roman" w:cs="Times New Roman"/>
          <w:color w:val="262626"/>
          <w:sz w:val="24"/>
        </w:rPr>
        <w:t>Prihodi od prodaje nefinancijske imovine, planirani u iznosu od 2.500.000 EUR, ostvareni su u iznosu od 48.844,57 EUR ili 1,95 % planiranih sredstava, a odnose se na obročnu otplatu otkupljenih stanova, prodaju stana i automobila.</w:t>
      </w:r>
    </w:p>
    <w:p w:rsidR="005C70F1" w:rsidRDefault="00574AFF">
      <w:pPr>
        <w:spacing w:line="360" w:lineRule="auto"/>
      </w:pPr>
      <w:r>
        <w:rPr>
          <w:rFonts w:ascii="Times New Roman" w:hAnsi="Times New Roman" w:cs="Times New Roman"/>
          <w:b/>
          <w:sz w:val="24"/>
          <w:u w:val="single"/>
        </w:rPr>
        <w:br/>
        <w:t>RASHODI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2718"/>
        <w:gridCol w:w="1553"/>
        <w:gridCol w:w="1553"/>
        <w:gridCol w:w="1552"/>
        <w:gridCol w:w="971"/>
        <w:gridCol w:w="971"/>
      </w:tblGrid>
      <w:tr w:rsidR="005C70F1">
        <w:tc>
          <w:tcPr>
            <w:tcW w:w="1400" w:type="pct"/>
            <w:shd w:val="clear" w:color="auto" w:fill="BCDFFB"/>
            <w:vAlign w:val="center"/>
          </w:tcPr>
          <w:p w:rsidR="005C70F1" w:rsidRDefault="00574AFF">
            <w:pPr>
              <w:spacing w:after="0" w:line="240" w:lineRule="auto"/>
              <w:jc w:val="center"/>
            </w:pPr>
            <w:r>
              <w:rPr>
                <w:rFonts w:ascii="Times New Roman" w:hAnsi="Times New Roman" w:cs="Times New Roman"/>
                <w:b/>
                <w:sz w:val="18"/>
              </w:rPr>
              <w:t>BROJČANA OZNAKA I NAZIV</w:t>
            </w:r>
          </w:p>
        </w:tc>
        <w:tc>
          <w:tcPr>
            <w:tcW w:w="800" w:type="pct"/>
            <w:shd w:val="clear" w:color="auto" w:fill="BCDFFB"/>
            <w:vAlign w:val="center"/>
          </w:tcPr>
          <w:p w:rsidR="005C70F1" w:rsidRDefault="00574AFF">
            <w:pPr>
              <w:spacing w:after="0" w:line="240" w:lineRule="auto"/>
              <w:jc w:val="center"/>
            </w:pPr>
            <w:r>
              <w:rPr>
                <w:rFonts w:ascii="Times New Roman" w:hAnsi="Times New Roman" w:cs="Times New Roman"/>
                <w:b/>
                <w:sz w:val="18"/>
              </w:rPr>
              <w:t>IZVRŠENJE</w:t>
            </w:r>
            <w:r>
              <w:rPr>
                <w:rFonts w:ascii="Times New Roman" w:hAnsi="Times New Roman" w:cs="Times New Roman"/>
                <w:b/>
                <w:sz w:val="18"/>
              </w:rPr>
              <w:br/>
              <w:t>1.-6. 2023.</w:t>
            </w:r>
          </w:p>
        </w:tc>
        <w:tc>
          <w:tcPr>
            <w:tcW w:w="800" w:type="pct"/>
            <w:shd w:val="clear" w:color="auto" w:fill="BCDFFB"/>
            <w:vAlign w:val="center"/>
          </w:tcPr>
          <w:p w:rsidR="005C70F1" w:rsidRDefault="00574AFF">
            <w:pPr>
              <w:spacing w:after="0" w:line="240" w:lineRule="auto"/>
              <w:jc w:val="center"/>
            </w:pPr>
            <w:r>
              <w:rPr>
                <w:rFonts w:ascii="Times New Roman" w:hAnsi="Times New Roman" w:cs="Times New Roman"/>
                <w:b/>
                <w:sz w:val="18"/>
              </w:rPr>
              <w:t>PLAN</w:t>
            </w:r>
            <w:r>
              <w:rPr>
                <w:rFonts w:ascii="Times New Roman" w:hAnsi="Times New Roman" w:cs="Times New Roman"/>
                <w:b/>
                <w:sz w:val="18"/>
              </w:rPr>
              <w:br/>
              <w:t>2024.</w:t>
            </w:r>
          </w:p>
        </w:tc>
        <w:tc>
          <w:tcPr>
            <w:tcW w:w="800" w:type="pct"/>
            <w:shd w:val="clear" w:color="auto" w:fill="BCDFFB"/>
            <w:vAlign w:val="center"/>
          </w:tcPr>
          <w:p w:rsidR="005C70F1" w:rsidRDefault="00574AFF">
            <w:pPr>
              <w:spacing w:after="0" w:line="240" w:lineRule="auto"/>
              <w:jc w:val="center"/>
            </w:pPr>
            <w:r>
              <w:rPr>
                <w:rFonts w:ascii="Times New Roman" w:hAnsi="Times New Roman" w:cs="Times New Roman"/>
                <w:b/>
                <w:sz w:val="18"/>
              </w:rPr>
              <w:t>IZVRŠENJE</w:t>
            </w:r>
            <w:r>
              <w:rPr>
                <w:rFonts w:ascii="Times New Roman" w:hAnsi="Times New Roman" w:cs="Times New Roman"/>
                <w:b/>
                <w:sz w:val="18"/>
              </w:rPr>
              <w:br/>
              <w:t>1.-6. 2024.</w:t>
            </w:r>
          </w:p>
        </w:tc>
        <w:tc>
          <w:tcPr>
            <w:tcW w:w="500" w:type="pct"/>
            <w:shd w:val="clear" w:color="auto" w:fill="BCDFFB"/>
            <w:vAlign w:val="center"/>
          </w:tcPr>
          <w:p w:rsidR="005C70F1" w:rsidRDefault="00574AFF">
            <w:pPr>
              <w:spacing w:after="0" w:line="240" w:lineRule="auto"/>
              <w:jc w:val="center"/>
            </w:pPr>
            <w:r>
              <w:rPr>
                <w:rFonts w:ascii="Times New Roman" w:hAnsi="Times New Roman" w:cs="Times New Roman"/>
                <w:b/>
                <w:sz w:val="18"/>
              </w:rPr>
              <w:t>INDEKS</w:t>
            </w:r>
          </w:p>
        </w:tc>
        <w:tc>
          <w:tcPr>
            <w:tcW w:w="500" w:type="pct"/>
            <w:shd w:val="clear" w:color="auto" w:fill="BCDFFB"/>
            <w:vAlign w:val="center"/>
          </w:tcPr>
          <w:p w:rsidR="005C70F1" w:rsidRDefault="00574AFF">
            <w:pPr>
              <w:spacing w:after="0" w:line="240" w:lineRule="auto"/>
              <w:jc w:val="center"/>
            </w:pPr>
            <w:r>
              <w:rPr>
                <w:rFonts w:ascii="Times New Roman" w:hAnsi="Times New Roman" w:cs="Times New Roman"/>
                <w:b/>
                <w:sz w:val="18"/>
              </w:rPr>
              <w:t>INDEKS</w:t>
            </w:r>
          </w:p>
        </w:tc>
      </w:tr>
      <w:tr w:rsidR="005C70F1">
        <w:tc>
          <w:tcPr>
            <w:tcW w:w="1400" w:type="pct"/>
            <w:shd w:val="clear" w:color="auto" w:fill="BCDFFB"/>
            <w:vAlign w:val="center"/>
          </w:tcPr>
          <w:p w:rsidR="005C70F1" w:rsidRDefault="00574AFF">
            <w:pPr>
              <w:spacing w:after="0" w:line="240" w:lineRule="auto"/>
              <w:jc w:val="center"/>
            </w:pPr>
            <w:r>
              <w:rPr>
                <w:rFonts w:ascii="Times New Roman" w:hAnsi="Times New Roman" w:cs="Times New Roman"/>
                <w:sz w:val="14"/>
              </w:rPr>
              <w:t>1</w:t>
            </w:r>
          </w:p>
        </w:tc>
        <w:tc>
          <w:tcPr>
            <w:tcW w:w="800" w:type="pct"/>
            <w:shd w:val="clear" w:color="auto" w:fill="BCDFFB"/>
            <w:vAlign w:val="center"/>
          </w:tcPr>
          <w:p w:rsidR="005C70F1" w:rsidRDefault="00574AFF">
            <w:pPr>
              <w:spacing w:after="0" w:line="240" w:lineRule="auto"/>
              <w:jc w:val="center"/>
            </w:pPr>
            <w:r>
              <w:rPr>
                <w:rFonts w:ascii="Times New Roman" w:hAnsi="Times New Roman" w:cs="Times New Roman"/>
                <w:sz w:val="14"/>
              </w:rPr>
              <w:t>2</w:t>
            </w:r>
          </w:p>
        </w:tc>
        <w:tc>
          <w:tcPr>
            <w:tcW w:w="800" w:type="pct"/>
            <w:shd w:val="clear" w:color="auto" w:fill="BCDFFB"/>
            <w:vAlign w:val="center"/>
          </w:tcPr>
          <w:p w:rsidR="005C70F1" w:rsidRDefault="00574AFF">
            <w:pPr>
              <w:spacing w:after="0" w:line="240" w:lineRule="auto"/>
              <w:jc w:val="center"/>
            </w:pPr>
            <w:r>
              <w:rPr>
                <w:rFonts w:ascii="Times New Roman" w:hAnsi="Times New Roman" w:cs="Times New Roman"/>
                <w:sz w:val="14"/>
              </w:rPr>
              <w:t>3</w:t>
            </w:r>
          </w:p>
        </w:tc>
        <w:tc>
          <w:tcPr>
            <w:tcW w:w="800" w:type="pct"/>
            <w:shd w:val="clear" w:color="auto" w:fill="BCDFFB"/>
            <w:vAlign w:val="center"/>
          </w:tcPr>
          <w:p w:rsidR="005C70F1" w:rsidRDefault="00574AFF">
            <w:pPr>
              <w:spacing w:after="0" w:line="240" w:lineRule="auto"/>
              <w:jc w:val="center"/>
            </w:pPr>
            <w:r>
              <w:rPr>
                <w:rFonts w:ascii="Times New Roman" w:hAnsi="Times New Roman" w:cs="Times New Roman"/>
                <w:sz w:val="14"/>
              </w:rPr>
              <w:t>4</w:t>
            </w:r>
          </w:p>
        </w:tc>
        <w:tc>
          <w:tcPr>
            <w:tcW w:w="500" w:type="pct"/>
            <w:shd w:val="clear" w:color="auto" w:fill="BCDFFB"/>
            <w:vAlign w:val="center"/>
          </w:tcPr>
          <w:p w:rsidR="005C70F1" w:rsidRDefault="00574AFF">
            <w:pPr>
              <w:spacing w:after="0" w:line="240" w:lineRule="auto"/>
              <w:jc w:val="center"/>
            </w:pPr>
            <w:r>
              <w:rPr>
                <w:rFonts w:ascii="Times New Roman" w:hAnsi="Times New Roman" w:cs="Times New Roman"/>
                <w:sz w:val="14"/>
              </w:rPr>
              <w:t>5=4/2</w:t>
            </w:r>
          </w:p>
        </w:tc>
        <w:tc>
          <w:tcPr>
            <w:tcW w:w="500" w:type="pct"/>
            <w:shd w:val="clear" w:color="auto" w:fill="BCDFFB"/>
            <w:vAlign w:val="center"/>
          </w:tcPr>
          <w:p w:rsidR="005C70F1" w:rsidRDefault="00574AFF">
            <w:pPr>
              <w:spacing w:after="0" w:line="240" w:lineRule="auto"/>
              <w:jc w:val="center"/>
            </w:pPr>
            <w:r>
              <w:rPr>
                <w:rFonts w:ascii="Times New Roman" w:hAnsi="Times New Roman" w:cs="Times New Roman"/>
                <w:sz w:val="14"/>
              </w:rPr>
              <w:t>6=4/3</w:t>
            </w:r>
          </w:p>
        </w:tc>
      </w:tr>
      <w:tr w:rsidR="005C70F1">
        <w:tc>
          <w:tcPr>
            <w:tcW w:w="1400" w:type="pct"/>
            <w:vAlign w:val="center"/>
          </w:tcPr>
          <w:p w:rsidR="005C70F1" w:rsidRDefault="00574AFF">
            <w:pPr>
              <w:spacing w:after="0" w:line="240" w:lineRule="auto"/>
            </w:pPr>
            <w:r>
              <w:rPr>
                <w:rFonts w:ascii="Times New Roman" w:hAnsi="Times New Roman" w:cs="Times New Roman"/>
                <w:sz w:val="18"/>
              </w:rPr>
              <w:t>3 RASHODI POSLOVANJA</w:t>
            </w:r>
          </w:p>
        </w:tc>
        <w:tc>
          <w:tcPr>
            <w:tcW w:w="800" w:type="pct"/>
            <w:vAlign w:val="bottom"/>
          </w:tcPr>
          <w:p w:rsidR="005C70F1" w:rsidRDefault="00574AFF">
            <w:pPr>
              <w:spacing w:after="0" w:line="240" w:lineRule="auto"/>
              <w:jc w:val="right"/>
            </w:pPr>
            <w:r>
              <w:rPr>
                <w:rFonts w:ascii="Times New Roman" w:hAnsi="Times New Roman" w:cs="Times New Roman"/>
                <w:sz w:val="18"/>
              </w:rPr>
              <w:t>2.368.875.541</w:t>
            </w:r>
          </w:p>
        </w:tc>
        <w:tc>
          <w:tcPr>
            <w:tcW w:w="800" w:type="pct"/>
            <w:vAlign w:val="bottom"/>
          </w:tcPr>
          <w:p w:rsidR="005C70F1" w:rsidRDefault="00574AFF">
            <w:pPr>
              <w:spacing w:after="0" w:line="240" w:lineRule="auto"/>
              <w:jc w:val="right"/>
            </w:pPr>
            <w:r>
              <w:rPr>
                <w:rFonts w:ascii="Times New Roman" w:hAnsi="Times New Roman" w:cs="Times New Roman"/>
                <w:sz w:val="18"/>
              </w:rPr>
              <w:t>5.543.396.383</w:t>
            </w:r>
          </w:p>
        </w:tc>
        <w:tc>
          <w:tcPr>
            <w:tcW w:w="800" w:type="pct"/>
            <w:vAlign w:val="bottom"/>
          </w:tcPr>
          <w:p w:rsidR="005C70F1" w:rsidRDefault="00574AFF">
            <w:pPr>
              <w:spacing w:after="0" w:line="240" w:lineRule="auto"/>
              <w:jc w:val="right"/>
            </w:pPr>
            <w:r>
              <w:rPr>
                <w:rFonts w:ascii="Times New Roman" w:hAnsi="Times New Roman" w:cs="Times New Roman"/>
                <w:sz w:val="18"/>
              </w:rPr>
              <w:t>2.796.767.301</w:t>
            </w:r>
          </w:p>
        </w:tc>
        <w:tc>
          <w:tcPr>
            <w:tcW w:w="500" w:type="pct"/>
            <w:vAlign w:val="bottom"/>
          </w:tcPr>
          <w:p w:rsidR="005C70F1" w:rsidRDefault="00574AFF">
            <w:pPr>
              <w:spacing w:after="0" w:line="240" w:lineRule="auto"/>
              <w:jc w:val="right"/>
            </w:pPr>
            <w:r>
              <w:rPr>
                <w:rFonts w:ascii="Times New Roman" w:hAnsi="Times New Roman" w:cs="Times New Roman"/>
                <w:sz w:val="18"/>
              </w:rPr>
              <w:t>118,1</w:t>
            </w:r>
          </w:p>
        </w:tc>
        <w:tc>
          <w:tcPr>
            <w:tcW w:w="500" w:type="pct"/>
            <w:vAlign w:val="bottom"/>
          </w:tcPr>
          <w:p w:rsidR="005C70F1" w:rsidRDefault="00574AFF">
            <w:pPr>
              <w:spacing w:after="0" w:line="240" w:lineRule="auto"/>
              <w:jc w:val="right"/>
            </w:pPr>
            <w:r>
              <w:rPr>
                <w:rFonts w:ascii="Times New Roman" w:hAnsi="Times New Roman" w:cs="Times New Roman"/>
                <w:sz w:val="18"/>
              </w:rPr>
              <w:t>50,5</w:t>
            </w:r>
          </w:p>
        </w:tc>
      </w:tr>
      <w:tr w:rsidR="005C70F1">
        <w:tc>
          <w:tcPr>
            <w:tcW w:w="1400" w:type="pct"/>
            <w:vAlign w:val="bottom"/>
          </w:tcPr>
          <w:p w:rsidR="005C70F1" w:rsidRDefault="00574AFF">
            <w:pPr>
              <w:spacing w:after="0" w:line="240" w:lineRule="auto"/>
            </w:pPr>
            <w:r>
              <w:rPr>
                <w:rFonts w:ascii="Times New Roman" w:hAnsi="Times New Roman" w:cs="Times New Roman"/>
                <w:sz w:val="18"/>
              </w:rPr>
              <w:t>4 RASHODI ZA NABAVU NEFINANCIJSKE IMOVINE</w:t>
            </w:r>
          </w:p>
        </w:tc>
        <w:tc>
          <w:tcPr>
            <w:tcW w:w="800" w:type="pct"/>
            <w:vAlign w:val="bottom"/>
          </w:tcPr>
          <w:p w:rsidR="005C70F1" w:rsidRDefault="00574AFF">
            <w:pPr>
              <w:spacing w:after="0" w:line="240" w:lineRule="auto"/>
              <w:jc w:val="right"/>
            </w:pPr>
            <w:r>
              <w:rPr>
                <w:rFonts w:ascii="Times New Roman" w:hAnsi="Times New Roman" w:cs="Times New Roman"/>
                <w:sz w:val="18"/>
              </w:rPr>
              <w:t>4.545.702</w:t>
            </w:r>
          </w:p>
        </w:tc>
        <w:tc>
          <w:tcPr>
            <w:tcW w:w="800" w:type="pct"/>
            <w:vAlign w:val="bottom"/>
          </w:tcPr>
          <w:p w:rsidR="005C70F1" w:rsidRDefault="00574AFF">
            <w:pPr>
              <w:spacing w:after="0" w:line="240" w:lineRule="auto"/>
              <w:jc w:val="right"/>
            </w:pPr>
            <w:r>
              <w:rPr>
                <w:rFonts w:ascii="Times New Roman" w:hAnsi="Times New Roman" w:cs="Times New Roman"/>
                <w:sz w:val="18"/>
              </w:rPr>
              <w:t>14.522.800</w:t>
            </w:r>
          </w:p>
        </w:tc>
        <w:tc>
          <w:tcPr>
            <w:tcW w:w="800" w:type="pct"/>
            <w:vAlign w:val="bottom"/>
          </w:tcPr>
          <w:p w:rsidR="005C70F1" w:rsidRDefault="00574AFF">
            <w:pPr>
              <w:spacing w:after="0" w:line="240" w:lineRule="auto"/>
              <w:jc w:val="right"/>
            </w:pPr>
            <w:r>
              <w:rPr>
                <w:rFonts w:ascii="Times New Roman" w:hAnsi="Times New Roman" w:cs="Times New Roman"/>
                <w:sz w:val="18"/>
              </w:rPr>
              <w:t>961.035</w:t>
            </w:r>
          </w:p>
        </w:tc>
        <w:tc>
          <w:tcPr>
            <w:tcW w:w="500" w:type="pct"/>
            <w:vAlign w:val="bottom"/>
          </w:tcPr>
          <w:p w:rsidR="005C70F1" w:rsidRDefault="00574AFF">
            <w:pPr>
              <w:spacing w:after="0" w:line="240" w:lineRule="auto"/>
              <w:jc w:val="right"/>
            </w:pPr>
            <w:r>
              <w:rPr>
                <w:rFonts w:ascii="Times New Roman" w:hAnsi="Times New Roman" w:cs="Times New Roman"/>
                <w:sz w:val="18"/>
              </w:rPr>
              <w:t>21,1</w:t>
            </w:r>
          </w:p>
        </w:tc>
        <w:tc>
          <w:tcPr>
            <w:tcW w:w="500" w:type="pct"/>
            <w:vAlign w:val="bottom"/>
          </w:tcPr>
          <w:p w:rsidR="005C70F1" w:rsidRDefault="00574AFF">
            <w:pPr>
              <w:spacing w:after="0" w:line="240" w:lineRule="auto"/>
              <w:jc w:val="right"/>
            </w:pPr>
            <w:r>
              <w:rPr>
                <w:rFonts w:ascii="Times New Roman" w:hAnsi="Times New Roman" w:cs="Times New Roman"/>
                <w:sz w:val="18"/>
              </w:rPr>
              <w:t>6,6</w:t>
            </w:r>
          </w:p>
        </w:tc>
      </w:tr>
      <w:tr w:rsidR="005C70F1">
        <w:tc>
          <w:tcPr>
            <w:tcW w:w="1400" w:type="pct"/>
            <w:vAlign w:val="bottom"/>
          </w:tcPr>
          <w:p w:rsidR="005C70F1" w:rsidRDefault="00574AFF">
            <w:pPr>
              <w:spacing w:after="0" w:line="240" w:lineRule="auto"/>
            </w:pPr>
            <w:r>
              <w:rPr>
                <w:rFonts w:ascii="Times New Roman" w:hAnsi="Times New Roman" w:cs="Times New Roman"/>
                <w:b/>
                <w:sz w:val="18"/>
              </w:rPr>
              <w:t>UKUPNI RASHODI</w:t>
            </w:r>
          </w:p>
        </w:tc>
        <w:tc>
          <w:tcPr>
            <w:tcW w:w="800" w:type="pct"/>
            <w:vAlign w:val="bottom"/>
          </w:tcPr>
          <w:p w:rsidR="005C70F1" w:rsidRDefault="00574AFF">
            <w:pPr>
              <w:spacing w:after="0" w:line="240" w:lineRule="auto"/>
              <w:jc w:val="right"/>
            </w:pPr>
            <w:r>
              <w:rPr>
                <w:rFonts w:ascii="Times New Roman" w:hAnsi="Times New Roman" w:cs="Times New Roman"/>
                <w:b/>
                <w:sz w:val="18"/>
              </w:rPr>
              <w:t>2.373.421.243</w:t>
            </w:r>
          </w:p>
        </w:tc>
        <w:tc>
          <w:tcPr>
            <w:tcW w:w="800" w:type="pct"/>
            <w:vAlign w:val="bottom"/>
          </w:tcPr>
          <w:p w:rsidR="005C70F1" w:rsidRDefault="00574AFF">
            <w:pPr>
              <w:spacing w:after="0" w:line="240" w:lineRule="auto"/>
              <w:jc w:val="right"/>
            </w:pPr>
            <w:r>
              <w:rPr>
                <w:rFonts w:ascii="Times New Roman" w:hAnsi="Times New Roman" w:cs="Times New Roman"/>
                <w:b/>
                <w:sz w:val="18"/>
              </w:rPr>
              <w:t>5.557.919.183</w:t>
            </w:r>
          </w:p>
        </w:tc>
        <w:tc>
          <w:tcPr>
            <w:tcW w:w="800" w:type="pct"/>
            <w:vAlign w:val="bottom"/>
          </w:tcPr>
          <w:p w:rsidR="005C70F1" w:rsidRDefault="00574AFF">
            <w:pPr>
              <w:spacing w:after="0" w:line="240" w:lineRule="auto"/>
              <w:jc w:val="right"/>
            </w:pPr>
            <w:r>
              <w:rPr>
                <w:rFonts w:ascii="Times New Roman" w:hAnsi="Times New Roman" w:cs="Times New Roman"/>
                <w:b/>
                <w:sz w:val="18"/>
              </w:rPr>
              <w:t>2.797.728.336</w:t>
            </w:r>
          </w:p>
        </w:tc>
        <w:tc>
          <w:tcPr>
            <w:tcW w:w="500" w:type="pct"/>
            <w:vAlign w:val="bottom"/>
          </w:tcPr>
          <w:p w:rsidR="005C70F1" w:rsidRDefault="00574AFF">
            <w:pPr>
              <w:spacing w:after="0" w:line="240" w:lineRule="auto"/>
              <w:jc w:val="right"/>
            </w:pPr>
            <w:r>
              <w:rPr>
                <w:rFonts w:ascii="Times New Roman" w:hAnsi="Times New Roman" w:cs="Times New Roman"/>
                <w:b/>
                <w:sz w:val="18"/>
              </w:rPr>
              <w:t>117,9</w:t>
            </w:r>
          </w:p>
        </w:tc>
        <w:tc>
          <w:tcPr>
            <w:tcW w:w="500" w:type="pct"/>
            <w:vAlign w:val="bottom"/>
          </w:tcPr>
          <w:p w:rsidR="005C70F1" w:rsidRDefault="00574AFF">
            <w:pPr>
              <w:spacing w:after="0" w:line="240" w:lineRule="auto"/>
              <w:jc w:val="right"/>
            </w:pPr>
            <w:r>
              <w:rPr>
                <w:rFonts w:ascii="Times New Roman" w:hAnsi="Times New Roman" w:cs="Times New Roman"/>
                <w:b/>
                <w:sz w:val="18"/>
              </w:rPr>
              <w:t>50,3</w:t>
            </w:r>
          </w:p>
        </w:tc>
      </w:tr>
    </w:tbl>
    <w:p w:rsidR="005C70F1" w:rsidRDefault="005C70F1">
      <w:pPr>
        <w:spacing w:after="0" w:line="240" w:lineRule="auto"/>
      </w:pPr>
    </w:p>
    <w:p w:rsidR="005C70F1" w:rsidRDefault="00574AFF">
      <w:pPr>
        <w:spacing w:line="240" w:lineRule="auto"/>
        <w:jc w:val="both"/>
      </w:pPr>
      <w:r>
        <w:rPr>
          <w:rFonts w:ascii="Times New Roman" w:hAnsi="Times New Roman" w:cs="Times New Roman"/>
          <w:color w:val="262626"/>
          <w:sz w:val="24"/>
        </w:rPr>
        <w:t xml:space="preserve">Ukupni rashodi HZZO-a planirani na godišnjoj razini u iznosu od 5.557.919.183 EUR, u prvom polugodištu tekuće godine izvršeni su u iznosu od 2.797.728.336,15 EUR, odnosno 50,34 % </w:t>
      </w:r>
      <w:r>
        <w:rPr>
          <w:rFonts w:ascii="Times New Roman" w:hAnsi="Times New Roman" w:cs="Times New Roman"/>
          <w:color w:val="262626"/>
          <w:sz w:val="24"/>
        </w:rPr>
        <w:lastRenderedPageBreak/>
        <w:t>planiranih godišnjih rashoda. U odnosu na isto razdoblje prethodne godine, izvršenje u prvih šest mjeseci 2024. godine veće je za 17,88 % ili 424.307.093,48 EUR. Sastoje se od rashoda poslovanja koji su izvršeni u iznosu od 2.796.767.300,68 EUR (50,45 % planiranog godišnjeg iznosa i 18,06 % više nego prethodne godine) i rashoda za nabavu nefinancijske imovine u iznosu od 961.035,47 EUR (6,62 % planiranog i 78,86 % manje nego prošle godine).</w:t>
      </w:r>
    </w:p>
    <w:p w:rsidR="005C70F1" w:rsidRDefault="00574AFF">
      <w:pPr>
        <w:spacing w:line="240" w:lineRule="auto"/>
        <w:jc w:val="both"/>
      </w:pPr>
      <w:r>
        <w:rPr>
          <w:rFonts w:ascii="Times New Roman" w:hAnsi="Times New Roman" w:cs="Times New Roman"/>
          <w:color w:val="262626"/>
          <w:sz w:val="24"/>
        </w:rPr>
        <w:t>Rashodi poslovanja HZZO-a odnose se na rashode za zdravstvenu zaštitu obveznog i dopunskog osiguranja, naknade plaća za vrijeme privremene nesposobnosti za rad i rashode za administraciju i upravljanje zdravstvenim osiguranjem. U okviru rashoda poslovanja, većinski dio, koji se odnosi na rashode za zdravstvenu zaštitu obveznog i dopunskog osiguranja te naknade plaća za vrijeme privremene nesposobnosti za rad, evidentiran je u okviru skupine 37 - Naknade građanima i kućanstvima na temelju osiguranja i druge naknade koja je izvršena u iznosu od 2.752.754.599,70 EUR, što je 50,41 % planiranog godišnjeg iznosa, a 20,95 % više nego u prvih šest mjeseci prethodne godine. Vrijednosno najznačajnija stavka unutar zdravstvene zaštitite obveznog zdravstvenog osiguranja je bolnička zdravstvena zaštita koja je planirana u okviru skupine 37 u iznosu od 2.192.119.000 EUR, a u prvom polugodištu 2024. godine izvršena u iznosu od 1.106.545.742,27 EUR, odnosno 50,48 % godišnjeg planiranog iznosa. Kroz ovu aktivnost financira se provođenje bolničke zdravstvene zaštite te bolničke specijalističko–konzilijarne i dijagnostičke zdravstvene zaštite, kao i najsloženiji postupci transplantacijske medicine, eksplantacije, intervencijske kardiologije, neurologije i neuroradiologije te intervencijske gastroenterologije, medicinske oplodnje, umjetne pužnice, personalizirane medicine te troškove posebnih materijala. Sljedeća stavka po veličini su rashodi za primarnu zdravstvenu zaštitu koji su u prvih šest mjeseci u okviru skupine 37 izvršeni u iznosu od 403.619.360,97 EUR, što je 53,14 % godišnjeg planiranog iznosa. Uključuje isplaćene iznose za ugovorene sadržaje u djelatnosti opće/obiteljske medicine, dentalne medicine (polivalentne), zdravstvene zaštite žena, zdravstvene zaštite predškolske djece i laboratorijske dijagnostike, za zdravstvenu njegu u kući te hitnu medicinsku pomoć i sanitetski prijevoz. Lijekovi na recepte izvršeni su u iznosu od 386.155.093,22 EUR što je 56,49 % od godišnjeg iznosa planiranih sredstava. Zbog ravnomjernog mjesečnog priliva prihoda HZZO-a, plaćanja obveza za lijekove odvijala su se u dogovorenim okvirima plaćanja. Posebno skupi lijekovi izvršeni su u iznosu od 177.852.622,30 EUR ili 43,20 % planiranih sredstava. Manje ostvarenje od planiranog za ovaj period rezultat je već spomenutog prelaska na nova postupanja u sklopu eHZZO-a i uvođenja novog modula vještačenja posebno skupih lijekova te se njegovom uspostavom očekuje rast ovih rashoda. Rashodi za aktivnost specijalističko-konzilijarne zdravstvene zaštite u okviru skupine 37 izvršeni su u iznosu od 94.375.285,55 EUR te čine 40,89 % planiranih sredstva na godišnjoj razini. U okviru ove grupe rashoda provodila se redovita specijalističko-konzilijarna zdravstvena zaštita u izvanbolničkim ordinacijama, poliklinikama i domovima zdravlja u skladu s djelatnostima utvrđenim Mrežom javne zdravstvene službe. Tu su također iskazani programi vezani za zdravstvenu zaštitu djece i mladeži i programi za unapređenje zdravstvene zaštite koji bilježe veće izvršenje u odnosu na prethodnu godinu. Aktivnost ortopedski uređaji i pomagala izvršena je u iznosu od 84.039.842,85 EUR, što je 41,91 % godišnje planiranog iznosa. Aktivnost ostala zdravstvena zaštita izvršena je u iznosu od 41.390.788,64 EUR ili 20,42 % godišnje planiranog iznosa zbog planiranih rashoda za nabavu cjepiva protiv bolesti COVID-19 koje su izvršene znatno manje od planom predviđenog.</w:t>
      </w:r>
      <w:r>
        <w:rPr>
          <w:rFonts w:ascii="Times New Roman" w:hAnsi="Times New Roman" w:cs="Times New Roman"/>
          <w:color w:val="FF0000"/>
          <w:sz w:val="24"/>
        </w:rPr>
        <w:t xml:space="preserve"> </w:t>
      </w:r>
      <w:r>
        <w:rPr>
          <w:rFonts w:ascii="Times New Roman" w:hAnsi="Times New Roman" w:cs="Times New Roman"/>
          <w:color w:val="262626"/>
          <w:sz w:val="24"/>
        </w:rPr>
        <w:t xml:space="preserve">Za liječenje osiguranika inozemnih osiguravatelja u Republici Hrvatskoj utrošeno je 48.924.942,14 EUR ili 53,76 % godišnjeg plana, što znači da je dinamika potrošnje u ovom obračunskom razdoblju iznad prosječnog iznosa planiranih sredstava za promatrano razdoblje. Sredstva za zdravstvenu zaštitu dobrovoljnog zdravstvenog osiguranja </w:t>
      </w:r>
      <w:r>
        <w:rPr>
          <w:rFonts w:ascii="Times New Roman" w:hAnsi="Times New Roman" w:cs="Times New Roman"/>
          <w:color w:val="262626"/>
          <w:sz w:val="24"/>
        </w:rPr>
        <w:lastRenderedPageBreak/>
        <w:t xml:space="preserve">predstavljaju iznos koji dopunsko zdravstveno osiguranje plaća zdravstvenim ustanovama temeljem ispostavljenih računa na ime sudjelovanja u cijeni zdravstvene usluge sukladno članku 19. Zakona o obveznom zdravstvenom osiguranju. U prvih šest mjeseci 2024. godine zdravstvenim ustanovama doznačen je iznos od 123.327.995,49 EUR, što je više od planiranog za ovaj period (56,16 %). Na povećanje ovih troškova utjecalo je povećanje minimalnog iznosa sudjelovanja u troškovima zdravstvene zaštite za pojedine zdravstvene usluge koje je u primjeni od 1. siječnja 2024. godine. Naknade plaće za vrijeme privremene nesposobnosti za rad preko 42 dana temeljem zahtjeva poslodavca, u prvom polugodištu 2024. godine isplaćene su u iznosu od 146.149.884,13 EUR i veće su od planiranog za ovaj period (66,70 % godišnjeg plana). Veće izvršenje od planiranog rezultat je podmirenja obveza za refundacije prema korisnicima državnog proračuna za period od 2022. - 2024. u iznosu od 60,7 mil. EUR koje se odrazilo i na veće izvršenje na aktivnostima naknade plaća zbog privremene nesposobnosti za rad zbog priznate ozljede na radu i profesionalne bolesti i naknade braniteljima – privremena nesposobnost za rad. Naknade plaća za rodiljni dopust, koje se isplaćuju u visini 100 % plaće korisnice rodiljnog dopusta, planirane su u iznosu od 175.000.000 EUR, a izvršene su u iznosu od 91.968.535,36 EUR ili 52,55 % godišnjeg plana zbog već spomenutog rasta plaća. Ostale isplate osiguranim osobama izvršene su u iznosu od 13.614.394,03 EUR ili 51,39 % planiranog godišnjeg iznosa. Na ovoj stavci iskazuju se naknade putnih troškova vezano uz korištenje zdravstvene zaštite izvan mjesta prebivališta, odnosno boravišta osigurane osobe zbog nemogućnosti ostvarenja zdravstvene  zaštite u bližoj ugovornoj zdravstvenoj ustanovi. Tu se također iskazuju i izdaci refundacije lijeka, kao i naknada putnih troškova u vezi s hemodijalizom. </w:t>
      </w:r>
    </w:p>
    <w:p w:rsidR="005C70F1" w:rsidRDefault="00574AFF">
      <w:pPr>
        <w:spacing w:line="240" w:lineRule="auto"/>
        <w:jc w:val="both"/>
      </w:pPr>
      <w:r>
        <w:rPr>
          <w:rFonts w:ascii="Times New Roman" w:hAnsi="Times New Roman" w:cs="Times New Roman"/>
          <w:color w:val="262626"/>
          <w:sz w:val="24"/>
        </w:rPr>
        <w:t>U okviru skupine konta 36 - Pomoći dane u inozemstvo i unutar općeg proračuna, plaćena su sredstva za zdravstvene radnike koji skrbe za covid pacijente (na temelju Odluke o posebnom dodatku na plaće za radnike u sustavu zdravstva koji pružaju skrb pacijentima oboljelim od COVID-19) u iznosu od 5.294.236,06 EUR (50,42 % od planiranog godišnjeg iznosa). Uz to, ovdje je evidentiran iznos od 25.547,78 EUR koji se odnosi na plaćanje Hrvatskom zavodu za javno zdravstvo temeljem Sporazuma o partnerstvu na EU projektu XT-EHR.</w:t>
      </w:r>
    </w:p>
    <w:p w:rsidR="005C70F1" w:rsidRDefault="00574AFF">
      <w:pPr>
        <w:spacing w:line="240" w:lineRule="auto"/>
        <w:jc w:val="both"/>
      </w:pPr>
      <w:r>
        <w:rPr>
          <w:rFonts w:ascii="Times New Roman" w:hAnsi="Times New Roman" w:cs="Times New Roman"/>
          <w:color w:val="262626"/>
          <w:sz w:val="24"/>
        </w:rPr>
        <w:t>Rashodi za zaposlene, evidentirani u okviru skupine 31, izvršeni su u iznosu od 30.012.548,36 EUR, ili 56,69% planiranih godišnjih sredstava te su 30,67 % veći od izvršenja u istom razdoblju prethodne godine. Kao što je već u uvodu spomenuto, donošenje Temeljnog kolektivnog ugovora za zaposlenike u javnim službama, Zakona o plaćama u državnoj službi i javnim službama i uredbi koje su temeljem Zakona o plaćama u državnoj i javnim službama donesene, utjecalo je na povećanje ovih rashoda.</w:t>
      </w:r>
    </w:p>
    <w:p w:rsidR="005C70F1" w:rsidRDefault="00574AFF">
      <w:pPr>
        <w:spacing w:line="240" w:lineRule="auto"/>
        <w:jc w:val="both"/>
      </w:pPr>
      <w:r>
        <w:rPr>
          <w:rFonts w:ascii="Times New Roman" w:hAnsi="Times New Roman" w:cs="Times New Roman"/>
          <w:color w:val="262626"/>
          <w:sz w:val="24"/>
        </w:rPr>
        <w:t>Materijalni rashodi, evidentirani u okviru skupine 32, planirani su u iznosu od 15.878.700 EUR, a izvršeni u iznosu od 6.803.529,15 EUR ili 42,85 % planiranog godišnjeg iznosa. U okviru materijalnih rashoda, naknade troškova zaposlenima su nešto više (51,72% godišnjeg plana), dok su rashodi za materijal i energiju, rashodi za usluge i ostali nespomenuti rashodi poslovanja manji od planiranog iznosa za prvo polugodište.</w:t>
      </w:r>
    </w:p>
    <w:p w:rsidR="005C70F1" w:rsidRDefault="00574AFF">
      <w:pPr>
        <w:spacing w:line="240" w:lineRule="auto"/>
        <w:jc w:val="both"/>
      </w:pPr>
      <w:r>
        <w:rPr>
          <w:rFonts w:ascii="Times New Roman" w:hAnsi="Times New Roman" w:cs="Times New Roman"/>
          <w:color w:val="262626"/>
          <w:sz w:val="24"/>
        </w:rPr>
        <w:t xml:space="preserve">Financijski rashodi, evidentirani u okviru skupine 34, planirani su u iznosu od 2.613.000 EUR, a izvršeni su u iznosu od 1.563.801,98 EUR ili 59,85 % planiranog godišnjeg iznosa zbog povećanih troškova za bankarske usluge koji se odnose na usluge platnog prometa te povećanih rashoda za zatezne kamate. </w:t>
      </w:r>
    </w:p>
    <w:p w:rsidR="005C70F1" w:rsidRDefault="00574AFF">
      <w:pPr>
        <w:spacing w:line="240" w:lineRule="auto"/>
        <w:jc w:val="both"/>
      </w:pPr>
      <w:r>
        <w:rPr>
          <w:rFonts w:ascii="Times New Roman" w:hAnsi="Times New Roman" w:cs="Times New Roman"/>
          <w:color w:val="262626"/>
          <w:sz w:val="24"/>
        </w:rPr>
        <w:t xml:space="preserve">Ostali rashodi, evidentirani u okviru skupine 38, planirani su u iznosu od 584.000 EUR, a izvršeni u iznosu od 313.037,65 EUR ili 53,60 % planiranog godišnjeg iznosa. Najveći dio </w:t>
      </w:r>
      <w:r>
        <w:rPr>
          <w:rFonts w:ascii="Times New Roman" w:hAnsi="Times New Roman" w:cs="Times New Roman"/>
          <w:color w:val="262626"/>
          <w:sz w:val="24"/>
        </w:rPr>
        <w:lastRenderedPageBreak/>
        <w:t>ostalih rashoda odnosi se na aktivnost naknada štete – profesionalne bolesti na kojoj se osiguravaju sredstava za isplatu odštetnih zahtjeva radnika oboljelih od profesionalne bolesti zbog izloženosti azbestu koje su izvršene u iznosu od 306.837,65 EUR.</w:t>
      </w:r>
    </w:p>
    <w:p w:rsidR="005C70F1" w:rsidRDefault="00574AFF">
      <w:pPr>
        <w:spacing w:line="240" w:lineRule="auto"/>
        <w:jc w:val="both"/>
      </w:pPr>
      <w:r>
        <w:rPr>
          <w:rFonts w:ascii="Times New Roman" w:hAnsi="Times New Roman" w:cs="Times New Roman"/>
          <w:color w:val="262626"/>
          <w:sz w:val="24"/>
        </w:rPr>
        <w:t>Rashodi za nabavu nefinancijske imovine (skupina 4), planirani u visini od 14.522.800 EUR,  izvršeni su u iznosu od 961.035,47 EUR i predstavljaju izvršenje plana 6,62 %. Ovo je vrsta rashoda koja se ne izvršava ravnomjerno tijekom godine i ovisi o više faktora koji utječu na realizaciju određene investicije. U prvom polugodištu 2024. godine završene su investicije u ispostavama HZZO-a u Puli i Metkoviću, te su isti uredi po završetku radova i opremljeni, završene su i planirane investicije u ispostavama u Požegi, Slatini, Velikoj Gorici i Zaprešiću. U tijeku su investicije na uređenju poslovnog prostora u ispostavi Poreč, Crikvenica, Petrinja i Split, te zajedničke investicije u Makarskoj i Šibeniku, koje provodi Hrvatski zavod za mirovinsko osiguranje (dalje u tekstu: HZMO), a sufinancira HZZO, i Vinkovcima koje provodi HZZO, a sufinancira HZMO. Za planiranu investiciju „I. faza izgradnje nove poslovne zgrade HZZO-a u Zagrebu“ provode se pripremne radnje vezano uz možebitno revidiranje postojećeg projekta, te će možebitna realizacija biti krajem kalendarske godine.</w:t>
      </w:r>
    </w:p>
    <w:p w:rsidR="005C70F1" w:rsidRDefault="00574AFF">
      <w:pPr>
        <w:spacing w:line="360" w:lineRule="auto"/>
      </w:pPr>
      <w:r>
        <w:rPr>
          <w:rFonts w:ascii="Times New Roman" w:hAnsi="Times New Roman" w:cs="Times New Roman"/>
          <w:b/>
          <w:sz w:val="24"/>
          <w:u w:val="single"/>
        </w:rPr>
        <w:br/>
        <w:t>RAČUN FINANCIRANJA</w:t>
      </w:r>
    </w:p>
    <w:p w:rsidR="005C70F1" w:rsidRDefault="00574AFF">
      <w:pPr>
        <w:spacing w:line="360" w:lineRule="auto"/>
      </w:pPr>
      <w:r>
        <w:rPr>
          <w:rFonts w:ascii="Times New Roman" w:hAnsi="Times New Roman" w:cs="Times New Roman"/>
          <w:b/>
          <w:sz w:val="24"/>
          <w:u w:val="single"/>
        </w:rPr>
        <w:t>Račun prihoda i rashoda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4658"/>
        <w:gridCol w:w="1864"/>
        <w:gridCol w:w="1864"/>
        <w:gridCol w:w="932"/>
      </w:tblGrid>
      <w:tr w:rsidR="005C70F1">
        <w:tc>
          <w:tcPr>
            <w:tcW w:w="2500" w:type="pct"/>
            <w:shd w:val="clear" w:color="auto" w:fill="BCDFFB"/>
            <w:vAlign w:val="center"/>
          </w:tcPr>
          <w:p w:rsidR="005C70F1" w:rsidRDefault="00574AFF">
            <w:pPr>
              <w:spacing w:after="0" w:line="240" w:lineRule="auto"/>
              <w:jc w:val="center"/>
            </w:pPr>
            <w:r>
              <w:rPr>
                <w:rFonts w:ascii="Times New Roman" w:hAnsi="Times New Roman" w:cs="Times New Roman"/>
                <w:b/>
                <w:sz w:val="18"/>
              </w:rPr>
              <w:t>BROJČANA OZNAKA I NAZIV</w:t>
            </w:r>
          </w:p>
        </w:tc>
        <w:tc>
          <w:tcPr>
            <w:tcW w:w="1000" w:type="pct"/>
            <w:shd w:val="clear" w:color="auto" w:fill="BCDFFB"/>
            <w:vAlign w:val="center"/>
          </w:tcPr>
          <w:p w:rsidR="005C70F1" w:rsidRDefault="00574AFF">
            <w:pPr>
              <w:spacing w:after="0" w:line="240" w:lineRule="auto"/>
              <w:jc w:val="center"/>
            </w:pPr>
            <w:r>
              <w:rPr>
                <w:rFonts w:ascii="Times New Roman" w:hAnsi="Times New Roman" w:cs="Times New Roman"/>
                <w:b/>
                <w:sz w:val="18"/>
              </w:rPr>
              <w:t>PLAN</w:t>
            </w:r>
            <w:r>
              <w:rPr>
                <w:rFonts w:ascii="Times New Roman" w:hAnsi="Times New Roman" w:cs="Times New Roman"/>
                <w:b/>
                <w:sz w:val="18"/>
              </w:rPr>
              <w:br/>
              <w:t>2024.</w:t>
            </w:r>
          </w:p>
        </w:tc>
        <w:tc>
          <w:tcPr>
            <w:tcW w:w="1000" w:type="pct"/>
            <w:shd w:val="clear" w:color="auto" w:fill="BCDFFB"/>
            <w:vAlign w:val="center"/>
          </w:tcPr>
          <w:p w:rsidR="005C70F1" w:rsidRDefault="00574AFF">
            <w:pPr>
              <w:spacing w:after="0" w:line="240" w:lineRule="auto"/>
              <w:jc w:val="center"/>
            </w:pPr>
            <w:r>
              <w:rPr>
                <w:rFonts w:ascii="Times New Roman" w:hAnsi="Times New Roman" w:cs="Times New Roman"/>
                <w:b/>
                <w:sz w:val="18"/>
              </w:rPr>
              <w:t>OSTVARENJE/</w:t>
            </w:r>
            <w:r>
              <w:rPr>
                <w:rFonts w:ascii="Times New Roman" w:hAnsi="Times New Roman" w:cs="Times New Roman"/>
                <w:b/>
                <w:sz w:val="18"/>
              </w:rPr>
              <w:br/>
              <w:t>IZVRŠENJE 1.-6. 2024.</w:t>
            </w:r>
          </w:p>
        </w:tc>
        <w:tc>
          <w:tcPr>
            <w:tcW w:w="800" w:type="pct"/>
            <w:shd w:val="clear" w:color="auto" w:fill="BCDFFB"/>
            <w:vAlign w:val="center"/>
          </w:tcPr>
          <w:p w:rsidR="005C70F1" w:rsidRDefault="00574AFF">
            <w:pPr>
              <w:spacing w:after="0" w:line="240" w:lineRule="auto"/>
              <w:jc w:val="center"/>
            </w:pPr>
            <w:r>
              <w:rPr>
                <w:rFonts w:ascii="Times New Roman" w:hAnsi="Times New Roman" w:cs="Times New Roman"/>
                <w:b/>
                <w:sz w:val="18"/>
              </w:rPr>
              <w:t>INDEKS</w:t>
            </w:r>
          </w:p>
        </w:tc>
      </w:tr>
      <w:tr w:rsidR="005C70F1">
        <w:tc>
          <w:tcPr>
            <w:tcW w:w="2500" w:type="pct"/>
            <w:shd w:val="clear" w:color="auto" w:fill="BCDFFB"/>
            <w:vAlign w:val="center"/>
          </w:tcPr>
          <w:p w:rsidR="005C70F1" w:rsidRDefault="00574AFF">
            <w:pPr>
              <w:spacing w:after="0" w:line="240" w:lineRule="auto"/>
              <w:jc w:val="center"/>
            </w:pPr>
            <w:r>
              <w:rPr>
                <w:rFonts w:ascii="Times New Roman" w:hAnsi="Times New Roman" w:cs="Times New Roman"/>
                <w:sz w:val="14"/>
              </w:rPr>
              <w:t>1</w:t>
            </w:r>
          </w:p>
        </w:tc>
        <w:tc>
          <w:tcPr>
            <w:tcW w:w="1000" w:type="pct"/>
            <w:shd w:val="clear" w:color="auto" w:fill="BCDFFB"/>
            <w:vAlign w:val="center"/>
          </w:tcPr>
          <w:p w:rsidR="005C70F1" w:rsidRDefault="00574AFF">
            <w:pPr>
              <w:spacing w:after="0" w:line="240" w:lineRule="auto"/>
              <w:jc w:val="center"/>
            </w:pPr>
            <w:r>
              <w:rPr>
                <w:rFonts w:ascii="Times New Roman" w:hAnsi="Times New Roman" w:cs="Times New Roman"/>
                <w:sz w:val="14"/>
              </w:rPr>
              <w:t>2</w:t>
            </w:r>
          </w:p>
        </w:tc>
        <w:tc>
          <w:tcPr>
            <w:tcW w:w="1000" w:type="pct"/>
            <w:shd w:val="clear" w:color="auto" w:fill="BCDFFB"/>
            <w:vAlign w:val="center"/>
          </w:tcPr>
          <w:p w:rsidR="005C70F1" w:rsidRDefault="00574AFF">
            <w:pPr>
              <w:spacing w:after="0" w:line="240" w:lineRule="auto"/>
              <w:jc w:val="center"/>
            </w:pPr>
            <w:r>
              <w:rPr>
                <w:rFonts w:ascii="Times New Roman" w:hAnsi="Times New Roman" w:cs="Times New Roman"/>
                <w:sz w:val="14"/>
              </w:rPr>
              <w:t>3</w:t>
            </w:r>
          </w:p>
        </w:tc>
        <w:tc>
          <w:tcPr>
            <w:tcW w:w="800" w:type="pct"/>
            <w:shd w:val="clear" w:color="auto" w:fill="BCDFFB"/>
            <w:vAlign w:val="center"/>
          </w:tcPr>
          <w:p w:rsidR="005C70F1" w:rsidRDefault="00574AFF">
            <w:pPr>
              <w:spacing w:after="0" w:line="240" w:lineRule="auto"/>
              <w:jc w:val="center"/>
            </w:pPr>
            <w:r>
              <w:rPr>
                <w:rFonts w:ascii="Times New Roman" w:hAnsi="Times New Roman" w:cs="Times New Roman"/>
                <w:sz w:val="14"/>
              </w:rPr>
              <w:t>4=3/2</w:t>
            </w:r>
          </w:p>
        </w:tc>
      </w:tr>
      <w:tr w:rsidR="005C70F1">
        <w:tc>
          <w:tcPr>
            <w:tcW w:w="2500" w:type="pct"/>
            <w:vAlign w:val="center"/>
          </w:tcPr>
          <w:p w:rsidR="005C70F1" w:rsidRDefault="00574AFF">
            <w:pPr>
              <w:spacing w:after="0" w:line="240" w:lineRule="auto"/>
            </w:pPr>
            <w:r>
              <w:rPr>
                <w:rFonts w:ascii="Times New Roman" w:hAnsi="Times New Roman" w:cs="Times New Roman"/>
                <w:sz w:val="18"/>
              </w:rPr>
              <w:t>UKUPNI PRIHODI</w:t>
            </w:r>
          </w:p>
        </w:tc>
        <w:tc>
          <w:tcPr>
            <w:tcW w:w="1000" w:type="pct"/>
            <w:vAlign w:val="bottom"/>
          </w:tcPr>
          <w:p w:rsidR="005C70F1" w:rsidRDefault="00574AFF">
            <w:pPr>
              <w:spacing w:after="0" w:line="240" w:lineRule="auto"/>
              <w:jc w:val="right"/>
            </w:pPr>
            <w:r>
              <w:rPr>
                <w:rFonts w:ascii="Times New Roman" w:hAnsi="Times New Roman" w:cs="Times New Roman"/>
                <w:sz w:val="18"/>
              </w:rPr>
              <w:t>5.567.171.600</w:t>
            </w:r>
          </w:p>
        </w:tc>
        <w:tc>
          <w:tcPr>
            <w:tcW w:w="1000" w:type="pct"/>
            <w:vAlign w:val="bottom"/>
          </w:tcPr>
          <w:p w:rsidR="005C70F1" w:rsidRDefault="00574AFF">
            <w:pPr>
              <w:spacing w:after="0" w:line="240" w:lineRule="auto"/>
              <w:jc w:val="right"/>
            </w:pPr>
            <w:r>
              <w:rPr>
                <w:rFonts w:ascii="Times New Roman" w:hAnsi="Times New Roman" w:cs="Times New Roman"/>
                <w:sz w:val="18"/>
              </w:rPr>
              <w:t>2.840.352.317</w:t>
            </w:r>
          </w:p>
        </w:tc>
        <w:tc>
          <w:tcPr>
            <w:tcW w:w="800" w:type="pct"/>
            <w:vAlign w:val="bottom"/>
          </w:tcPr>
          <w:p w:rsidR="005C70F1" w:rsidRDefault="00574AFF">
            <w:pPr>
              <w:spacing w:after="0" w:line="240" w:lineRule="auto"/>
              <w:jc w:val="right"/>
            </w:pPr>
            <w:r>
              <w:rPr>
                <w:rFonts w:ascii="Times New Roman" w:hAnsi="Times New Roman" w:cs="Times New Roman"/>
                <w:sz w:val="18"/>
              </w:rPr>
              <w:t>51,0</w:t>
            </w:r>
          </w:p>
        </w:tc>
      </w:tr>
      <w:tr w:rsidR="005C70F1">
        <w:tc>
          <w:tcPr>
            <w:tcW w:w="2500" w:type="pct"/>
            <w:vAlign w:val="bottom"/>
          </w:tcPr>
          <w:p w:rsidR="005C70F1" w:rsidRDefault="00574AFF">
            <w:pPr>
              <w:spacing w:after="0" w:line="240" w:lineRule="auto"/>
            </w:pPr>
            <w:r>
              <w:rPr>
                <w:rFonts w:ascii="Times New Roman" w:hAnsi="Times New Roman" w:cs="Times New Roman"/>
                <w:sz w:val="18"/>
              </w:rPr>
              <w:t>UKUPNI RASHODI</w:t>
            </w:r>
          </w:p>
        </w:tc>
        <w:tc>
          <w:tcPr>
            <w:tcW w:w="1000" w:type="pct"/>
            <w:vAlign w:val="bottom"/>
          </w:tcPr>
          <w:p w:rsidR="005C70F1" w:rsidRDefault="00574AFF">
            <w:pPr>
              <w:spacing w:after="0" w:line="240" w:lineRule="auto"/>
              <w:jc w:val="right"/>
            </w:pPr>
            <w:r>
              <w:rPr>
                <w:rFonts w:ascii="Times New Roman" w:hAnsi="Times New Roman" w:cs="Times New Roman"/>
                <w:sz w:val="18"/>
              </w:rPr>
              <w:t>5.557.919.183</w:t>
            </w:r>
          </w:p>
        </w:tc>
        <w:tc>
          <w:tcPr>
            <w:tcW w:w="1000" w:type="pct"/>
            <w:vAlign w:val="bottom"/>
          </w:tcPr>
          <w:p w:rsidR="005C70F1" w:rsidRDefault="00574AFF">
            <w:pPr>
              <w:spacing w:after="0" w:line="240" w:lineRule="auto"/>
              <w:jc w:val="right"/>
            </w:pPr>
            <w:r>
              <w:rPr>
                <w:rFonts w:ascii="Times New Roman" w:hAnsi="Times New Roman" w:cs="Times New Roman"/>
                <w:sz w:val="18"/>
              </w:rPr>
              <w:t>2.797.728.336</w:t>
            </w:r>
          </w:p>
        </w:tc>
        <w:tc>
          <w:tcPr>
            <w:tcW w:w="800" w:type="pct"/>
            <w:vAlign w:val="bottom"/>
          </w:tcPr>
          <w:p w:rsidR="005C70F1" w:rsidRDefault="00574AFF">
            <w:pPr>
              <w:spacing w:after="0" w:line="240" w:lineRule="auto"/>
              <w:jc w:val="right"/>
            </w:pPr>
            <w:r>
              <w:rPr>
                <w:rFonts w:ascii="Times New Roman" w:hAnsi="Times New Roman" w:cs="Times New Roman"/>
                <w:sz w:val="18"/>
              </w:rPr>
              <w:t>50,3</w:t>
            </w:r>
          </w:p>
        </w:tc>
      </w:tr>
      <w:tr w:rsidR="005C70F1">
        <w:tc>
          <w:tcPr>
            <w:tcW w:w="2500" w:type="pct"/>
            <w:vAlign w:val="bottom"/>
          </w:tcPr>
          <w:p w:rsidR="005C70F1" w:rsidRDefault="00574AFF">
            <w:pPr>
              <w:spacing w:after="0" w:line="240" w:lineRule="auto"/>
            </w:pPr>
            <w:r>
              <w:rPr>
                <w:rFonts w:ascii="Times New Roman" w:hAnsi="Times New Roman" w:cs="Times New Roman"/>
                <w:b/>
                <w:sz w:val="18"/>
              </w:rPr>
              <w:t>RAZLIKA - VIŠAK/MANJAK</w:t>
            </w:r>
          </w:p>
        </w:tc>
        <w:tc>
          <w:tcPr>
            <w:tcW w:w="1000" w:type="pct"/>
            <w:vAlign w:val="bottom"/>
          </w:tcPr>
          <w:p w:rsidR="005C70F1" w:rsidRDefault="00574AFF">
            <w:pPr>
              <w:spacing w:after="0" w:line="240" w:lineRule="auto"/>
              <w:jc w:val="right"/>
            </w:pPr>
            <w:r>
              <w:rPr>
                <w:rFonts w:ascii="Times New Roman" w:hAnsi="Times New Roman" w:cs="Times New Roman"/>
                <w:b/>
                <w:sz w:val="18"/>
              </w:rPr>
              <w:t>9.252.417</w:t>
            </w:r>
          </w:p>
        </w:tc>
        <w:tc>
          <w:tcPr>
            <w:tcW w:w="800" w:type="pct"/>
            <w:vAlign w:val="bottom"/>
          </w:tcPr>
          <w:p w:rsidR="005C70F1" w:rsidRDefault="00574AFF">
            <w:pPr>
              <w:spacing w:after="0" w:line="240" w:lineRule="auto"/>
              <w:jc w:val="right"/>
            </w:pPr>
            <w:r>
              <w:rPr>
                <w:rFonts w:ascii="Times New Roman" w:hAnsi="Times New Roman" w:cs="Times New Roman"/>
                <w:b/>
                <w:sz w:val="18"/>
              </w:rPr>
              <w:t>42.623.980</w:t>
            </w:r>
          </w:p>
        </w:tc>
        <w:tc>
          <w:tcPr>
            <w:tcW w:w="800" w:type="pct"/>
            <w:vAlign w:val="bottom"/>
          </w:tcPr>
          <w:p w:rsidR="005C70F1" w:rsidRDefault="00574AFF">
            <w:pPr>
              <w:spacing w:after="0" w:line="240" w:lineRule="auto"/>
              <w:jc w:val="right"/>
            </w:pPr>
            <w:r>
              <w:rPr>
                <w:rFonts w:ascii="Times New Roman" w:hAnsi="Times New Roman" w:cs="Times New Roman"/>
                <w:b/>
                <w:sz w:val="18"/>
              </w:rPr>
              <w:t>460,7</w:t>
            </w:r>
          </w:p>
        </w:tc>
      </w:tr>
    </w:tbl>
    <w:p w:rsidR="005C70F1" w:rsidRDefault="005C70F1">
      <w:pPr>
        <w:spacing w:after="0" w:line="240" w:lineRule="auto"/>
      </w:pPr>
    </w:p>
    <w:p w:rsidR="005C70F1" w:rsidRDefault="00574AFF">
      <w:pPr>
        <w:spacing w:line="360" w:lineRule="auto"/>
      </w:pPr>
      <w:r>
        <w:rPr>
          <w:rFonts w:ascii="Times New Roman" w:hAnsi="Times New Roman" w:cs="Times New Roman"/>
          <w:b/>
          <w:sz w:val="24"/>
          <w:u w:val="single"/>
        </w:rPr>
        <w:t>Račun financiranja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4658"/>
        <w:gridCol w:w="1864"/>
        <w:gridCol w:w="1864"/>
        <w:gridCol w:w="932"/>
      </w:tblGrid>
      <w:tr w:rsidR="005C70F1">
        <w:tc>
          <w:tcPr>
            <w:tcW w:w="2500" w:type="pct"/>
            <w:shd w:val="clear" w:color="auto" w:fill="BCDFFB"/>
            <w:vAlign w:val="center"/>
          </w:tcPr>
          <w:p w:rsidR="005C70F1" w:rsidRDefault="00574AFF">
            <w:pPr>
              <w:spacing w:after="0" w:line="240" w:lineRule="auto"/>
              <w:jc w:val="center"/>
            </w:pPr>
            <w:r>
              <w:rPr>
                <w:rFonts w:ascii="Times New Roman" w:hAnsi="Times New Roman" w:cs="Times New Roman"/>
                <w:b/>
                <w:sz w:val="18"/>
              </w:rPr>
              <w:t>BROJČANA OZNAKA I NAZIV</w:t>
            </w:r>
          </w:p>
        </w:tc>
        <w:tc>
          <w:tcPr>
            <w:tcW w:w="1000" w:type="pct"/>
            <w:shd w:val="clear" w:color="auto" w:fill="BCDFFB"/>
            <w:vAlign w:val="center"/>
          </w:tcPr>
          <w:p w:rsidR="005C70F1" w:rsidRDefault="00574AFF">
            <w:pPr>
              <w:spacing w:after="0" w:line="240" w:lineRule="auto"/>
              <w:jc w:val="center"/>
            </w:pPr>
            <w:r>
              <w:rPr>
                <w:rFonts w:ascii="Times New Roman" w:hAnsi="Times New Roman" w:cs="Times New Roman"/>
                <w:b/>
                <w:sz w:val="18"/>
              </w:rPr>
              <w:t>PLAN</w:t>
            </w:r>
            <w:r>
              <w:rPr>
                <w:rFonts w:ascii="Times New Roman" w:hAnsi="Times New Roman" w:cs="Times New Roman"/>
                <w:b/>
                <w:sz w:val="18"/>
              </w:rPr>
              <w:br/>
              <w:t>2024.</w:t>
            </w:r>
          </w:p>
        </w:tc>
        <w:tc>
          <w:tcPr>
            <w:tcW w:w="1000" w:type="pct"/>
            <w:shd w:val="clear" w:color="auto" w:fill="BCDFFB"/>
            <w:vAlign w:val="center"/>
          </w:tcPr>
          <w:p w:rsidR="005C70F1" w:rsidRDefault="00574AFF">
            <w:pPr>
              <w:spacing w:after="0" w:line="240" w:lineRule="auto"/>
              <w:jc w:val="center"/>
            </w:pPr>
            <w:r>
              <w:rPr>
                <w:rFonts w:ascii="Times New Roman" w:hAnsi="Times New Roman" w:cs="Times New Roman"/>
                <w:b/>
                <w:sz w:val="18"/>
              </w:rPr>
              <w:t>OSTVARENJE/</w:t>
            </w:r>
            <w:r>
              <w:rPr>
                <w:rFonts w:ascii="Times New Roman" w:hAnsi="Times New Roman" w:cs="Times New Roman"/>
                <w:b/>
                <w:sz w:val="18"/>
              </w:rPr>
              <w:br/>
              <w:t>IZVRŠENJE 1.-6. 2024.</w:t>
            </w:r>
          </w:p>
        </w:tc>
        <w:tc>
          <w:tcPr>
            <w:tcW w:w="800" w:type="pct"/>
            <w:shd w:val="clear" w:color="auto" w:fill="BCDFFB"/>
            <w:vAlign w:val="center"/>
          </w:tcPr>
          <w:p w:rsidR="005C70F1" w:rsidRDefault="00574AFF">
            <w:pPr>
              <w:spacing w:after="0" w:line="240" w:lineRule="auto"/>
              <w:jc w:val="center"/>
            </w:pPr>
            <w:r>
              <w:rPr>
                <w:rFonts w:ascii="Times New Roman" w:hAnsi="Times New Roman" w:cs="Times New Roman"/>
                <w:b/>
                <w:sz w:val="18"/>
              </w:rPr>
              <w:t>INDEKS</w:t>
            </w:r>
          </w:p>
        </w:tc>
      </w:tr>
      <w:tr w:rsidR="005C70F1">
        <w:tc>
          <w:tcPr>
            <w:tcW w:w="2500" w:type="pct"/>
            <w:shd w:val="clear" w:color="auto" w:fill="BCDFFB"/>
            <w:vAlign w:val="center"/>
          </w:tcPr>
          <w:p w:rsidR="005C70F1" w:rsidRDefault="00574AFF">
            <w:pPr>
              <w:spacing w:after="0" w:line="240" w:lineRule="auto"/>
              <w:jc w:val="center"/>
            </w:pPr>
            <w:r>
              <w:rPr>
                <w:rFonts w:ascii="Times New Roman" w:hAnsi="Times New Roman" w:cs="Times New Roman"/>
                <w:sz w:val="14"/>
              </w:rPr>
              <w:t>1</w:t>
            </w:r>
          </w:p>
        </w:tc>
        <w:tc>
          <w:tcPr>
            <w:tcW w:w="1000" w:type="pct"/>
            <w:shd w:val="clear" w:color="auto" w:fill="BCDFFB"/>
            <w:vAlign w:val="center"/>
          </w:tcPr>
          <w:p w:rsidR="005C70F1" w:rsidRDefault="00574AFF">
            <w:pPr>
              <w:spacing w:after="0" w:line="240" w:lineRule="auto"/>
              <w:jc w:val="center"/>
            </w:pPr>
            <w:r>
              <w:rPr>
                <w:rFonts w:ascii="Times New Roman" w:hAnsi="Times New Roman" w:cs="Times New Roman"/>
                <w:sz w:val="14"/>
              </w:rPr>
              <w:t>2</w:t>
            </w:r>
          </w:p>
        </w:tc>
        <w:tc>
          <w:tcPr>
            <w:tcW w:w="1000" w:type="pct"/>
            <w:shd w:val="clear" w:color="auto" w:fill="BCDFFB"/>
            <w:vAlign w:val="center"/>
          </w:tcPr>
          <w:p w:rsidR="005C70F1" w:rsidRDefault="00574AFF">
            <w:pPr>
              <w:spacing w:after="0" w:line="240" w:lineRule="auto"/>
              <w:jc w:val="center"/>
            </w:pPr>
            <w:r>
              <w:rPr>
                <w:rFonts w:ascii="Times New Roman" w:hAnsi="Times New Roman" w:cs="Times New Roman"/>
                <w:sz w:val="14"/>
              </w:rPr>
              <w:t>3</w:t>
            </w:r>
          </w:p>
        </w:tc>
        <w:tc>
          <w:tcPr>
            <w:tcW w:w="800" w:type="pct"/>
            <w:shd w:val="clear" w:color="auto" w:fill="BCDFFB"/>
            <w:vAlign w:val="center"/>
          </w:tcPr>
          <w:p w:rsidR="005C70F1" w:rsidRDefault="00574AFF">
            <w:pPr>
              <w:spacing w:after="0" w:line="240" w:lineRule="auto"/>
              <w:jc w:val="center"/>
            </w:pPr>
            <w:r>
              <w:rPr>
                <w:rFonts w:ascii="Times New Roman" w:hAnsi="Times New Roman" w:cs="Times New Roman"/>
                <w:sz w:val="14"/>
              </w:rPr>
              <w:t>4=3/2</w:t>
            </w:r>
          </w:p>
        </w:tc>
      </w:tr>
      <w:tr w:rsidR="005C70F1">
        <w:tc>
          <w:tcPr>
            <w:tcW w:w="2500" w:type="pct"/>
            <w:vAlign w:val="center"/>
          </w:tcPr>
          <w:p w:rsidR="005C70F1" w:rsidRDefault="00574AFF">
            <w:pPr>
              <w:spacing w:after="0" w:line="240" w:lineRule="auto"/>
            </w:pPr>
            <w:r>
              <w:rPr>
                <w:rFonts w:ascii="Times New Roman" w:hAnsi="Times New Roman" w:cs="Times New Roman"/>
                <w:sz w:val="18"/>
              </w:rPr>
              <w:t>8 PRIMICI OD FINANCIJSKE IMOVINE I ZADUŽIVANJA</w:t>
            </w:r>
          </w:p>
        </w:tc>
        <w:tc>
          <w:tcPr>
            <w:tcW w:w="1000" w:type="pct"/>
            <w:vAlign w:val="bottom"/>
          </w:tcPr>
          <w:p w:rsidR="005C70F1" w:rsidRDefault="00574AFF">
            <w:pPr>
              <w:spacing w:after="0" w:line="240" w:lineRule="auto"/>
              <w:jc w:val="right"/>
            </w:pPr>
            <w:r>
              <w:rPr>
                <w:rFonts w:ascii="Times New Roman" w:hAnsi="Times New Roman" w:cs="Times New Roman"/>
                <w:sz w:val="18"/>
              </w:rPr>
              <w:t>0</w:t>
            </w:r>
          </w:p>
        </w:tc>
        <w:tc>
          <w:tcPr>
            <w:tcW w:w="1000" w:type="pct"/>
            <w:vAlign w:val="bottom"/>
          </w:tcPr>
          <w:p w:rsidR="005C70F1" w:rsidRDefault="00574AFF">
            <w:pPr>
              <w:spacing w:after="0" w:line="240" w:lineRule="auto"/>
              <w:jc w:val="right"/>
            </w:pPr>
            <w:r>
              <w:rPr>
                <w:rFonts w:ascii="Times New Roman" w:hAnsi="Times New Roman" w:cs="Times New Roman"/>
                <w:sz w:val="18"/>
              </w:rPr>
              <w:t>0</w:t>
            </w:r>
          </w:p>
        </w:tc>
        <w:tc>
          <w:tcPr>
            <w:tcW w:w="800" w:type="pct"/>
            <w:vAlign w:val="bottom"/>
          </w:tcPr>
          <w:p w:rsidR="005C70F1" w:rsidRDefault="005C70F1">
            <w:pPr>
              <w:spacing w:after="0" w:line="240" w:lineRule="auto"/>
              <w:jc w:val="right"/>
            </w:pPr>
          </w:p>
        </w:tc>
      </w:tr>
      <w:tr w:rsidR="005C70F1">
        <w:tc>
          <w:tcPr>
            <w:tcW w:w="2500" w:type="pct"/>
            <w:vAlign w:val="bottom"/>
          </w:tcPr>
          <w:p w:rsidR="005C70F1" w:rsidRDefault="00574AFF">
            <w:pPr>
              <w:spacing w:after="0" w:line="240" w:lineRule="auto"/>
            </w:pPr>
            <w:r>
              <w:rPr>
                <w:rFonts w:ascii="Times New Roman" w:hAnsi="Times New Roman" w:cs="Times New Roman"/>
                <w:sz w:val="18"/>
              </w:rPr>
              <w:t>5 IZDACI ZA FINANCIJSKU IMOVINU I OTPLATE ZAJMOVA</w:t>
            </w:r>
          </w:p>
        </w:tc>
        <w:tc>
          <w:tcPr>
            <w:tcW w:w="1000" w:type="pct"/>
            <w:vAlign w:val="bottom"/>
          </w:tcPr>
          <w:p w:rsidR="005C70F1" w:rsidRDefault="00574AFF">
            <w:pPr>
              <w:spacing w:after="0" w:line="240" w:lineRule="auto"/>
              <w:jc w:val="right"/>
            </w:pPr>
            <w:r>
              <w:rPr>
                <w:rFonts w:ascii="Times New Roman" w:hAnsi="Times New Roman" w:cs="Times New Roman"/>
                <w:sz w:val="18"/>
              </w:rPr>
              <w:t>9.252.417</w:t>
            </w:r>
          </w:p>
        </w:tc>
        <w:tc>
          <w:tcPr>
            <w:tcW w:w="1000" w:type="pct"/>
            <w:vAlign w:val="bottom"/>
          </w:tcPr>
          <w:p w:rsidR="005C70F1" w:rsidRDefault="00574AFF">
            <w:pPr>
              <w:spacing w:after="0" w:line="240" w:lineRule="auto"/>
              <w:jc w:val="right"/>
            </w:pPr>
            <w:r>
              <w:rPr>
                <w:rFonts w:ascii="Times New Roman" w:hAnsi="Times New Roman" w:cs="Times New Roman"/>
                <w:sz w:val="18"/>
              </w:rPr>
              <w:t>5.000.174</w:t>
            </w:r>
          </w:p>
        </w:tc>
        <w:tc>
          <w:tcPr>
            <w:tcW w:w="800" w:type="pct"/>
            <w:vAlign w:val="bottom"/>
          </w:tcPr>
          <w:p w:rsidR="005C70F1" w:rsidRDefault="00574AFF">
            <w:pPr>
              <w:spacing w:after="0" w:line="240" w:lineRule="auto"/>
              <w:jc w:val="right"/>
            </w:pPr>
            <w:r>
              <w:rPr>
                <w:rFonts w:ascii="Times New Roman" w:hAnsi="Times New Roman" w:cs="Times New Roman"/>
                <w:sz w:val="18"/>
              </w:rPr>
              <w:t>54,0</w:t>
            </w:r>
          </w:p>
        </w:tc>
      </w:tr>
      <w:tr w:rsidR="005C70F1">
        <w:tc>
          <w:tcPr>
            <w:tcW w:w="2500" w:type="pct"/>
            <w:vAlign w:val="bottom"/>
          </w:tcPr>
          <w:p w:rsidR="005C70F1" w:rsidRDefault="00574AFF">
            <w:pPr>
              <w:spacing w:after="0" w:line="240" w:lineRule="auto"/>
            </w:pPr>
            <w:r>
              <w:rPr>
                <w:rFonts w:ascii="Times New Roman" w:hAnsi="Times New Roman" w:cs="Times New Roman"/>
                <w:b/>
                <w:sz w:val="18"/>
              </w:rPr>
              <w:t>RAZLIKA PRIMITAKA I IZDATAKA</w:t>
            </w:r>
          </w:p>
        </w:tc>
        <w:tc>
          <w:tcPr>
            <w:tcW w:w="1000" w:type="pct"/>
            <w:vAlign w:val="bottom"/>
          </w:tcPr>
          <w:p w:rsidR="005C70F1" w:rsidRDefault="00130071">
            <w:pPr>
              <w:spacing w:after="0" w:line="240" w:lineRule="auto"/>
              <w:jc w:val="right"/>
            </w:pPr>
            <w:r>
              <w:rPr>
                <w:rFonts w:ascii="Times New Roman" w:hAnsi="Times New Roman" w:cs="Times New Roman"/>
                <w:b/>
                <w:sz w:val="18"/>
              </w:rPr>
              <w:t>-</w:t>
            </w:r>
            <w:r w:rsidR="00574AFF">
              <w:rPr>
                <w:rFonts w:ascii="Times New Roman" w:hAnsi="Times New Roman" w:cs="Times New Roman"/>
                <w:b/>
                <w:sz w:val="18"/>
              </w:rPr>
              <w:t>9.252.417</w:t>
            </w:r>
          </w:p>
        </w:tc>
        <w:tc>
          <w:tcPr>
            <w:tcW w:w="1000" w:type="pct"/>
            <w:vAlign w:val="bottom"/>
          </w:tcPr>
          <w:p w:rsidR="005C70F1" w:rsidRDefault="00130071">
            <w:pPr>
              <w:spacing w:after="0" w:line="240" w:lineRule="auto"/>
              <w:jc w:val="right"/>
            </w:pPr>
            <w:r>
              <w:rPr>
                <w:rFonts w:ascii="Times New Roman" w:hAnsi="Times New Roman" w:cs="Times New Roman"/>
                <w:b/>
                <w:sz w:val="18"/>
              </w:rPr>
              <w:t>-</w:t>
            </w:r>
            <w:r w:rsidR="00574AFF">
              <w:rPr>
                <w:rFonts w:ascii="Times New Roman" w:hAnsi="Times New Roman" w:cs="Times New Roman"/>
                <w:b/>
                <w:sz w:val="18"/>
              </w:rPr>
              <w:t>5.000.174</w:t>
            </w:r>
          </w:p>
        </w:tc>
        <w:tc>
          <w:tcPr>
            <w:tcW w:w="800" w:type="pct"/>
            <w:vAlign w:val="bottom"/>
          </w:tcPr>
          <w:p w:rsidR="005C70F1" w:rsidRDefault="00574AFF">
            <w:pPr>
              <w:spacing w:after="0" w:line="240" w:lineRule="auto"/>
              <w:jc w:val="right"/>
            </w:pPr>
            <w:r>
              <w:rPr>
                <w:rFonts w:ascii="Times New Roman" w:hAnsi="Times New Roman" w:cs="Times New Roman"/>
                <w:b/>
                <w:sz w:val="18"/>
              </w:rPr>
              <w:t>54,0</w:t>
            </w:r>
          </w:p>
        </w:tc>
      </w:tr>
      <w:tr w:rsidR="005C70F1">
        <w:tc>
          <w:tcPr>
            <w:tcW w:w="2500" w:type="pct"/>
            <w:vAlign w:val="bottom"/>
          </w:tcPr>
          <w:p w:rsidR="005C70F1" w:rsidRDefault="00574AFF">
            <w:pPr>
              <w:spacing w:after="0" w:line="240" w:lineRule="auto"/>
            </w:pPr>
            <w:r>
              <w:rPr>
                <w:rFonts w:ascii="Times New Roman" w:hAnsi="Times New Roman" w:cs="Times New Roman"/>
                <w:sz w:val="18"/>
              </w:rPr>
              <w:t>PRIJENOS SREDSTAVA IZ PRETHODNE GODINE</w:t>
            </w:r>
          </w:p>
        </w:tc>
        <w:tc>
          <w:tcPr>
            <w:tcW w:w="1000" w:type="pct"/>
            <w:vAlign w:val="bottom"/>
          </w:tcPr>
          <w:p w:rsidR="005C70F1" w:rsidRDefault="00574AFF">
            <w:pPr>
              <w:spacing w:after="0" w:line="240" w:lineRule="auto"/>
              <w:jc w:val="right"/>
            </w:pPr>
            <w:r>
              <w:rPr>
                <w:rFonts w:ascii="Times New Roman" w:hAnsi="Times New Roman" w:cs="Times New Roman"/>
                <w:sz w:val="18"/>
              </w:rPr>
              <w:t>162.666.040</w:t>
            </w:r>
          </w:p>
        </w:tc>
        <w:tc>
          <w:tcPr>
            <w:tcW w:w="800" w:type="pct"/>
            <w:vAlign w:val="bottom"/>
          </w:tcPr>
          <w:p w:rsidR="005C70F1" w:rsidRDefault="00574AFF">
            <w:pPr>
              <w:spacing w:after="0" w:line="240" w:lineRule="auto"/>
              <w:jc w:val="right"/>
            </w:pPr>
            <w:r>
              <w:rPr>
                <w:rFonts w:ascii="Times New Roman" w:hAnsi="Times New Roman" w:cs="Times New Roman"/>
                <w:sz w:val="18"/>
              </w:rPr>
              <w:t>174.436.882</w:t>
            </w:r>
          </w:p>
        </w:tc>
        <w:tc>
          <w:tcPr>
            <w:tcW w:w="800" w:type="pct"/>
            <w:vAlign w:val="bottom"/>
          </w:tcPr>
          <w:p w:rsidR="005C70F1" w:rsidRDefault="00574AFF">
            <w:pPr>
              <w:spacing w:after="0" w:line="240" w:lineRule="auto"/>
              <w:jc w:val="right"/>
            </w:pPr>
            <w:r>
              <w:rPr>
                <w:rFonts w:ascii="Times New Roman" w:hAnsi="Times New Roman" w:cs="Times New Roman"/>
                <w:sz w:val="18"/>
              </w:rPr>
              <w:t>107,2</w:t>
            </w:r>
          </w:p>
        </w:tc>
      </w:tr>
      <w:tr w:rsidR="005C70F1">
        <w:tc>
          <w:tcPr>
            <w:tcW w:w="2500" w:type="pct"/>
            <w:vAlign w:val="bottom"/>
          </w:tcPr>
          <w:p w:rsidR="005C70F1" w:rsidRDefault="00574AFF">
            <w:pPr>
              <w:spacing w:after="0" w:line="240" w:lineRule="auto"/>
            </w:pPr>
            <w:r>
              <w:rPr>
                <w:rFonts w:ascii="Times New Roman" w:hAnsi="Times New Roman" w:cs="Times New Roman"/>
                <w:sz w:val="18"/>
              </w:rPr>
              <w:t>PRIJENOS SREDSTAVA U SLJEDEĆE RAZDOBLJE</w:t>
            </w:r>
          </w:p>
        </w:tc>
        <w:tc>
          <w:tcPr>
            <w:tcW w:w="1000" w:type="pct"/>
            <w:vAlign w:val="bottom"/>
          </w:tcPr>
          <w:p w:rsidR="005C70F1" w:rsidRDefault="00574AFF">
            <w:pPr>
              <w:spacing w:after="0" w:line="240" w:lineRule="auto"/>
              <w:jc w:val="right"/>
            </w:pPr>
            <w:r>
              <w:rPr>
                <w:rFonts w:ascii="Times New Roman" w:hAnsi="Times New Roman" w:cs="Times New Roman"/>
                <w:sz w:val="18"/>
              </w:rPr>
              <w:t>-162.666.040</w:t>
            </w:r>
          </w:p>
        </w:tc>
        <w:tc>
          <w:tcPr>
            <w:tcW w:w="800" w:type="pct"/>
            <w:vAlign w:val="bottom"/>
          </w:tcPr>
          <w:p w:rsidR="005C70F1" w:rsidRDefault="00574AFF">
            <w:pPr>
              <w:spacing w:after="0" w:line="240" w:lineRule="auto"/>
              <w:jc w:val="right"/>
            </w:pPr>
            <w:r>
              <w:rPr>
                <w:rFonts w:ascii="Times New Roman" w:hAnsi="Times New Roman" w:cs="Times New Roman"/>
                <w:sz w:val="18"/>
              </w:rPr>
              <w:t>-212.060.688</w:t>
            </w:r>
          </w:p>
        </w:tc>
        <w:tc>
          <w:tcPr>
            <w:tcW w:w="800" w:type="pct"/>
            <w:vAlign w:val="bottom"/>
          </w:tcPr>
          <w:p w:rsidR="005C70F1" w:rsidRDefault="00574AFF">
            <w:pPr>
              <w:spacing w:after="0" w:line="240" w:lineRule="auto"/>
              <w:jc w:val="right"/>
            </w:pPr>
            <w:r>
              <w:rPr>
                <w:rFonts w:ascii="Times New Roman" w:hAnsi="Times New Roman" w:cs="Times New Roman"/>
                <w:sz w:val="18"/>
              </w:rPr>
              <w:t>130,4</w:t>
            </w:r>
          </w:p>
        </w:tc>
      </w:tr>
      <w:tr w:rsidR="005C70F1">
        <w:tc>
          <w:tcPr>
            <w:tcW w:w="2500" w:type="pct"/>
            <w:vAlign w:val="bottom"/>
          </w:tcPr>
          <w:p w:rsidR="005C70F1" w:rsidRDefault="00574AFF">
            <w:pPr>
              <w:spacing w:after="0" w:line="240" w:lineRule="auto"/>
            </w:pPr>
            <w:r>
              <w:rPr>
                <w:rFonts w:ascii="Times New Roman" w:hAnsi="Times New Roman" w:cs="Times New Roman"/>
                <w:sz w:val="18"/>
              </w:rPr>
              <w:t>NETO FINANCIRANJE</w:t>
            </w:r>
          </w:p>
        </w:tc>
        <w:tc>
          <w:tcPr>
            <w:tcW w:w="1000" w:type="pct"/>
            <w:vAlign w:val="bottom"/>
          </w:tcPr>
          <w:p w:rsidR="005C70F1" w:rsidRDefault="00574AFF">
            <w:pPr>
              <w:spacing w:after="0" w:line="240" w:lineRule="auto"/>
              <w:jc w:val="right"/>
            </w:pPr>
            <w:r>
              <w:rPr>
                <w:rFonts w:ascii="Times New Roman" w:hAnsi="Times New Roman" w:cs="Times New Roman"/>
                <w:sz w:val="18"/>
              </w:rPr>
              <w:t>-9.252.417</w:t>
            </w:r>
          </w:p>
        </w:tc>
        <w:tc>
          <w:tcPr>
            <w:tcW w:w="800" w:type="pct"/>
            <w:vAlign w:val="bottom"/>
          </w:tcPr>
          <w:p w:rsidR="005C70F1" w:rsidRDefault="00574AFF">
            <w:pPr>
              <w:spacing w:after="0" w:line="240" w:lineRule="auto"/>
              <w:jc w:val="right"/>
            </w:pPr>
            <w:r>
              <w:rPr>
                <w:rFonts w:ascii="Times New Roman" w:hAnsi="Times New Roman" w:cs="Times New Roman"/>
                <w:sz w:val="18"/>
              </w:rPr>
              <w:t>-42.623.980</w:t>
            </w:r>
          </w:p>
        </w:tc>
        <w:tc>
          <w:tcPr>
            <w:tcW w:w="800" w:type="pct"/>
            <w:vAlign w:val="bottom"/>
          </w:tcPr>
          <w:p w:rsidR="005C70F1" w:rsidRDefault="00574AFF">
            <w:pPr>
              <w:spacing w:after="0" w:line="240" w:lineRule="auto"/>
              <w:jc w:val="right"/>
            </w:pPr>
            <w:r>
              <w:rPr>
                <w:rFonts w:ascii="Times New Roman" w:hAnsi="Times New Roman" w:cs="Times New Roman"/>
                <w:sz w:val="18"/>
              </w:rPr>
              <w:t>460,7</w:t>
            </w:r>
          </w:p>
        </w:tc>
      </w:tr>
      <w:tr w:rsidR="005C70F1">
        <w:tc>
          <w:tcPr>
            <w:tcW w:w="2500" w:type="pct"/>
            <w:vAlign w:val="bottom"/>
          </w:tcPr>
          <w:p w:rsidR="005C70F1" w:rsidRDefault="00574AFF">
            <w:pPr>
              <w:spacing w:after="0" w:line="240" w:lineRule="auto"/>
            </w:pPr>
            <w:r>
              <w:rPr>
                <w:rFonts w:ascii="Times New Roman" w:hAnsi="Times New Roman" w:cs="Times New Roman"/>
                <w:b/>
                <w:sz w:val="18"/>
              </w:rPr>
              <w:t>VIŠAK/MANJAK + NETO FINANCIRANJE</w:t>
            </w:r>
          </w:p>
        </w:tc>
        <w:tc>
          <w:tcPr>
            <w:tcW w:w="1000" w:type="pct"/>
            <w:vAlign w:val="bottom"/>
          </w:tcPr>
          <w:p w:rsidR="005C70F1" w:rsidRDefault="00574AFF">
            <w:pPr>
              <w:spacing w:after="0" w:line="240" w:lineRule="auto"/>
              <w:jc w:val="right"/>
            </w:pPr>
            <w:r>
              <w:rPr>
                <w:rFonts w:ascii="Times New Roman" w:hAnsi="Times New Roman" w:cs="Times New Roman"/>
                <w:b/>
                <w:sz w:val="18"/>
              </w:rPr>
              <w:t>0</w:t>
            </w:r>
          </w:p>
        </w:tc>
        <w:tc>
          <w:tcPr>
            <w:tcW w:w="800" w:type="pct"/>
            <w:vAlign w:val="bottom"/>
          </w:tcPr>
          <w:p w:rsidR="005C70F1" w:rsidRDefault="00574AFF">
            <w:pPr>
              <w:spacing w:after="0" w:line="240" w:lineRule="auto"/>
              <w:jc w:val="right"/>
            </w:pPr>
            <w:r>
              <w:rPr>
                <w:rFonts w:ascii="Times New Roman" w:hAnsi="Times New Roman" w:cs="Times New Roman"/>
                <w:b/>
                <w:sz w:val="18"/>
              </w:rPr>
              <w:t>0</w:t>
            </w:r>
          </w:p>
        </w:tc>
        <w:tc>
          <w:tcPr>
            <w:tcW w:w="800" w:type="pct"/>
            <w:vAlign w:val="bottom"/>
          </w:tcPr>
          <w:p w:rsidR="005C70F1" w:rsidRDefault="005C70F1">
            <w:pPr>
              <w:spacing w:after="0" w:line="240" w:lineRule="auto"/>
              <w:jc w:val="right"/>
            </w:pPr>
          </w:p>
        </w:tc>
      </w:tr>
    </w:tbl>
    <w:p w:rsidR="005C70F1" w:rsidRDefault="005C70F1">
      <w:pPr>
        <w:spacing w:after="0" w:line="240" w:lineRule="auto"/>
      </w:pPr>
    </w:p>
    <w:p w:rsidR="005C70F1" w:rsidRDefault="00574AFF">
      <w:pPr>
        <w:spacing w:line="240" w:lineRule="auto"/>
        <w:jc w:val="both"/>
      </w:pPr>
      <w:r>
        <w:rPr>
          <w:rFonts w:ascii="Times New Roman" w:hAnsi="Times New Roman" w:cs="Times New Roman"/>
          <w:color w:val="262626"/>
          <w:sz w:val="24"/>
        </w:rPr>
        <w:t>Izdaci za financijsku imovinu i otplate zajmova planirani su u 2024. godini u iznosu od 9.252.417 EUR, a u prvom polugodištu 2024. godine izvršeni su u iznosu od 5.000.173,52 EUR, što čini 54,04 % godišnjeg planiranog izvršenja. Odnose se na povrat dijela primljenog zajma od državnog proračuna iz 2020. godine, čija je otplata, Z</w:t>
      </w:r>
      <w:bookmarkStart w:id="0" w:name="_GoBack"/>
      <w:bookmarkEnd w:id="0"/>
      <w:r>
        <w:rPr>
          <w:rFonts w:ascii="Times New Roman" w:hAnsi="Times New Roman" w:cs="Times New Roman"/>
          <w:color w:val="262626"/>
          <w:sz w:val="24"/>
        </w:rPr>
        <w:t xml:space="preserve">akonom o izmjenama i dopunama Zakona o </w:t>
      </w:r>
      <w:r>
        <w:rPr>
          <w:rFonts w:ascii="Times New Roman" w:hAnsi="Times New Roman" w:cs="Times New Roman"/>
          <w:color w:val="262626"/>
          <w:sz w:val="24"/>
        </w:rPr>
        <w:lastRenderedPageBreak/>
        <w:t>izvršavanju državnog proračuna Republike Hrvatske za 2023. godinu („Narodne novine“ broj 129/2023), prolongirana do 2027. godine.</w:t>
      </w:r>
    </w:p>
    <w:p w:rsidR="005C70F1" w:rsidRDefault="00574AFF">
      <w:pPr>
        <w:spacing w:line="240" w:lineRule="auto"/>
        <w:jc w:val="both"/>
      </w:pPr>
      <w:r>
        <w:rPr>
          <w:rFonts w:ascii="Times New Roman" w:hAnsi="Times New Roman" w:cs="Times New Roman"/>
          <w:color w:val="262626"/>
          <w:sz w:val="24"/>
        </w:rPr>
        <w:t>PRIJENOS SREDSTAVA</w:t>
      </w:r>
    </w:p>
    <w:p w:rsidR="005C70F1" w:rsidRDefault="00574AFF">
      <w:pPr>
        <w:spacing w:line="240" w:lineRule="auto"/>
        <w:jc w:val="both"/>
      </w:pPr>
      <w:r>
        <w:rPr>
          <w:rFonts w:ascii="Times New Roman" w:hAnsi="Times New Roman" w:cs="Times New Roman"/>
          <w:color w:val="262626"/>
          <w:sz w:val="24"/>
        </w:rPr>
        <w:t>Prijenos sredstava iz prethodne godine iskazan je u iznosu od 174.436.881,55 EUR te uz ostvareni višak prihoda u iznosu od 42.623.980,45 EUR i umanjenje za otplatu zajma u iznosu od 5.000.173,52 EUR, prijenos sredstava u sljedeće razdoblje iznosi 212.060.688,48 EUR.</w:t>
      </w:r>
    </w:p>
    <w:p w:rsidR="005C70F1" w:rsidRDefault="00574AFF">
      <w:pPr>
        <w:spacing w:line="360" w:lineRule="auto"/>
        <w:jc w:val="center"/>
      </w:pPr>
      <w:r>
        <w:rPr>
          <w:rFonts w:ascii="Times New Roman" w:hAnsi="Times New Roman" w:cs="Times New Roman"/>
          <w:b/>
          <w:sz w:val="24"/>
        </w:rPr>
        <w:br/>
        <w:t>IZVJEŠTAJ O ZADUŽIVANJU NA DOMAĆEM I STRANOM TRŽIŠTU NOVCA I KAPITALA</w:t>
      </w:r>
    </w:p>
    <w:p w:rsidR="005C70F1" w:rsidRDefault="00574AFF">
      <w:pPr>
        <w:spacing w:line="240" w:lineRule="auto"/>
        <w:jc w:val="both"/>
      </w:pPr>
      <w:r>
        <w:rPr>
          <w:rFonts w:ascii="Times New Roman" w:hAnsi="Times New Roman" w:cs="Times New Roman"/>
          <w:color w:val="262626"/>
          <w:sz w:val="24"/>
        </w:rPr>
        <w:t>Hrvatski zavod za zdravstveno osiguranje se u izvještajnom razdoblju nije zaduživao na domaćem i stranom tržištu novca i kapitala. </w:t>
      </w:r>
    </w:p>
    <w:p w:rsidR="005C70F1" w:rsidRDefault="00574AFF">
      <w:pPr>
        <w:spacing w:line="360" w:lineRule="auto"/>
        <w:jc w:val="center"/>
      </w:pPr>
      <w:r>
        <w:rPr>
          <w:rFonts w:ascii="Times New Roman" w:hAnsi="Times New Roman" w:cs="Times New Roman"/>
          <w:b/>
          <w:sz w:val="24"/>
        </w:rPr>
        <w:br/>
        <w:t xml:space="preserve">IZVJEŠTAJ O DANIM JAMSTVIMA I PLAĆANJIMA PO PROTESTIRANIM JAMSTVIMA </w:t>
      </w:r>
    </w:p>
    <w:p w:rsidR="005C70F1" w:rsidRDefault="00574AFF">
      <w:pPr>
        <w:spacing w:line="240" w:lineRule="auto"/>
        <w:jc w:val="both"/>
      </w:pPr>
      <w:r>
        <w:rPr>
          <w:rFonts w:ascii="Times New Roman" w:hAnsi="Times New Roman" w:cs="Times New Roman"/>
          <w:color w:val="262626"/>
          <w:sz w:val="24"/>
        </w:rPr>
        <w:t>Hrvatski zavod za zdravstveno osiguranje u izvještajnom razdoblju nije davao jamstva niti je imao izvršenih plaćanja po protestiranim jamstvima.</w:t>
      </w:r>
    </w:p>
    <w:sectPr w:rsidR="005C70F1" w:rsidSect="00295906">
      <w:footerReference w:type="default" r:id="rId6"/>
      <w:pgSz w:w="12240" w:h="15840"/>
      <w:pgMar w:top="1417" w:right="1417" w:bottom="1417" w:left="1417" w:header="720" w:footer="720" w:gutter="0"/>
      <w:pgNumType w:start="1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4AFF" w:rsidRDefault="00574AFF" w:rsidP="00574AFF">
      <w:pPr>
        <w:spacing w:after="0" w:line="240" w:lineRule="auto"/>
      </w:pPr>
      <w:r>
        <w:separator/>
      </w:r>
    </w:p>
  </w:endnote>
  <w:endnote w:type="continuationSeparator" w:id="0">
    <w:p w:rsidR="00574AFF" w:rsidRDefault="00574AFF" w:rsidP="00574A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3389870"/>
      <w:docPartObj>
        <w:docPartGallery w:val="Page Numbers (Bottom of Page)"/>
        <w:docPartUnique/>
      </w:docPartObj>
    </w:sdtPr>
    <w:sdtEndPr>
      <w:rPr>
        <w:sz w:val="24"/>
        <w:szCs w:val="24"/>
      </w:rPr>
    </w:sdtEndPr>
    <w:sdtContent>
      <w:p w:rsidR="00574AFF" w:rsidRPr="00574AFF" w:rsidRDefault="00574AFF">
        <w:pPr>
          <w:pStyle w:val="Podnoje"/>
          <w:jc w:val="center"/>
          <w:rPr>
            <w:sz w:val="24"/>
            <w:szCs w:val="24"/>
          </w:rPr>
        </w:pPr>
        <w:r w:rsidRPr="00574AFF">
          <w:rPr>
            <w:rFonts w:ascii="Times New Roman" w:hAnsi="Times New Roman" w:cs="Times New Roman"/>
            <w:sz w:val="24"/>
            <w:szCs w:val="24"/>
          </w:rPr>
          <w:fldChar w:fldCharType="begin"/>
        </w:r>
        <w:r w:rsidRPr="00574AFF">
          <w:rPr>
            <w:rFonts w:ascii="Times New Roman" w:hAnsi="Times New Roman" w:cs="Times New Roman"/>
            <w:sz w:val="24"/>
            <w:szCs w:val="24"/>
          </w:rPr>
          <w:instrText>PAGE   \* MERGEFORMAT</w:instrText>
        </w:r>
        <w:r w:rsidRPr="00574AFF">
          <w:rPr>
            <w:rFonts w:ascii="Times New Roman" w:hAnsi="Times New Roman" w:cs="Times New Roman"/>
            <w:sz w:val="24"/>
            <w:szCs w:val="24"/>
          </w:rPr>
          <w:fldChar w:fldCharType="separate"/>
        </w:r>
        <w:r w:rsidR="00130071">
          <w:rPr>
            <w:rFonts w:ascii="Times New Roman" w:hAnsi="Times New Roman" w:cs="Times New Roman"/>
            <w:noProof/>
            <w:sz w:val="24"/>
            <w:szCs w:val="24"/>
          </w:rPr>
          <w:t>17</w:t>
        </w:r>
        <w:r w:rsidRPr="00574AFF">
          <w:rPr>
            <w:rFonts w:ascii="Times New Roman" w:hAnsi="Times New Roman" w:cs="Times New Roman"/>
            <w:sz w:val="24"/>
            <w:szCs w:val="24"/>
          </w:rPr>
          <w:fldChar w:fldCharType="end"/>
        </w:r>
      </w:p>
    </w:sdtContent>
  </w:sdt>
  <w:p w:rsidR="00574AFF" w:rsidRDefault="00574AFF">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4AFF" w:rsidRDefault="00574AFF" w:rsidP="00574AFF">
      <w:pPr>
        <w:spacing w:after="0" w:line="240" w:lineRule="auto"/>
      </w:pPr>
      <w:r>
        <w:separator/>
      </w:r>
    </w:p>
  </w:footnote>
  <w:footnote w:type="continuationSeparator" w:id="0">
    <w:p w:rsidR="00574AFF" w:rsidRDefault="00574AFF" w:rsidP="00574AF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C70F1"/>
    <w:rsid w:val="00130071"/>
    <w:rsid w:val="00295906"/>
    <w:rsid w:val="00574AFF"/>
    <w:rsid w:val="005C70F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687C9C"/>
  <w15:docId w15:val="{CC4E87D4-6D13-4DC8-9928-48C264954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574AFF"/>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574AFF"/>
  </w:style>
  <w:style w:type="paragraph" w:styleId="Podnoje">
    <w:name w:val="footer"/>
    <w:basedOn w:val="Normal"/>
    <w:link w:val="PodnojeChar"/>
    <w:uiPriority w:val="99"/>
    <w:unhideWhenUsed/>
    <w:rsid w:val="00574AFF"/>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574A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7</Pages>
  <Words>3208</Words>
  <Characters>18289</Characters>
  <Application>Microsoft Office Word</Application>
  <DocSecurity>0</DocSecurity>
  <Lines>152</Lines>
  <Paragraphs>42</Paragraphs>
  <ScaleCrop>false</ScaleCrop>
  <Company/>
  <LinksUpToDate>false</LinksUpToDate>
  <CharactersWithSpaces>21455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Ida Hohnjec</cp:lastModifiedBy>
  <cp:revision>4</cp:revision>
  <dcterms:created xsi:type="dcterms:W3CDTF">2024-08-28T12:18:00Z</dcterms:created>
  <dcterms:modified xsi:type="dcterms:W3CDTF">2024-09-03T10:03:00Z</dcterms:modified>
</cp:coreProperties>
</file>