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545" w:rsidRDefault="00204436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HŽ PUTNIČKOG PRIJEVOZA ZA PRVO POLUGODIŠTE 2024. GODINE</w:t>
      </w: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Željeznički putnički prijevoz organizira se na 2.617 kilometara pruga, dnevno se pokreće oko 760 vlakova, a zbog izvođenja radova na pružnoj mreži i stanja infrastrukture vrlo su niske komercijalne brzine prometovanja vlakova. Kako bi se ublažio navedeni negativni utjecaj, Vlada Republike Hrvatske provodi pilot-projekte u svrhu poticanja i stvaranja navike korištenja javnoga željezničkog prijevoza, koji djelomično predstavljaju i kompenzacije za vrijeme radova na željezničkoj infrastrukturi.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Na temelju zaključaka Vlade Republike Hrvatske do 31.12.2024. nastavlja se provedba pilot-projekta besplatnoga javnog željezničkog prijevoza djece i učenika osnovnih i srednjih škola na području Republike Hrvatske i pilot-projekta povoljnijeg prijevoza redovnih studenata kojim se po jedinstvenoj cijeni mjesečne karte od 9,95 eura omogućava neograničeno korištenje željezničkog prijevoza. 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Također, nastavlja se  provođenje mjere besplatnog prijevoza za stanovnike pogođene potresom na području Sisačko-moslavačke županije te besplatan prijevoz ukrajinskih državljana na svim relacijama unutar Republike Hrvatske.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Nadalje, na temelju Zaključka Vlade Republike Hrvatske od 13. prosinca 2023. uveden je  pilot-projekt besplatnoga željezničkog prijevoza umirovljenika i osoba starijih od 65 godina koji im omogućava neograničeno korištenje željezničkog prijevoza na području Republike Hrvatske. Pilot-projekt se provodi od 1. siječnja do 31. prosinca 2024. godine.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Remonti pruga nastavljaju se na značajnom dijelu pružne mreže HŽ-a, a prvenstveno na dionicama sa značajnim udjelima putnika kao što su Zagreb GK - Zaprešić, na pojedinim dionicama od Dugog Sela do Vinkovaca, Križevci - Koprivnica - Botovo DG te na pojedinim dionicama od Zagreba do Rijeke. Tijekom remonta uvodi se zamjenski autobusni prijevoz koji znatno narušava kvalitetu i potražnju za uslugama prijevoza.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Uz to na temelju zaključka sa sastanka Središnjeg ureda za demografiju, Ministarstva mora, prometa i infrastrukture i HŽ Putničkog prijevoza, radi osiguranja bolje prometne povezanosti i sprječavanja iseljavanja stanovništva iz ruralnih krajeva u novom voznom redu 2023./2024. uvedeni su brzi vlakovi na relacijama Zagreb – Požega, Zagreb – Sisak, Zagreb – Zabok, Zagreb – Duga Resa - i Zagreb – Križevci.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Putnički prijevoz je u razdoblju I-VI 2024. prevezao 11.442 tisuće putnika te je ostvareno 483,3 milijuna putničkih kilometara. </w:t>
      </w:r>
    </w:p>
    <w:p w:rsidR="00204436" w:rsidRDefault="00204436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/>
      </w:r>
    </w:p>
    <w:p w:rsidR="00204436" w:rsidRDefault="00204436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740545">
        <w:tc>
          <w:tcPr>
            <w:tcW w:w="14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40545">
        <w:tc>
          <w:tcPr>
            <w:tcW w:w="14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40545">
        <w:tc>
          <w:tcPr>
            <w:tcW w:w="14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117.259.585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159.603.837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56.870.049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48,5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35,6</w:t>
            </w:r>
          </w:p>
        </w:tc>
      </w:tr>
      <w:tr w:rsidR="00740545">
        <w:tc>
          <w:tcPr>
            <w:tcW w:w="14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22.539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50.000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4.500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20,0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9,0</w:t>
            </w:r>
          </w:p>
        </w:tc>
      </w:tr>
      <w:tr w:rsidR="00740545">
        <w:tc>
          <w:tcPr>
            <w:tcW w:w="14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117.282.124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159.653.837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56.874.549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48,5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35,6</w:t>
            </w:r>
          </w:p>
        </w:tc>
      </w:tr>
    </w:tbl>
    <w:p w:rsidR="00740545" w:rsidRDefault="00740545">
      <w:pPr>
        <w:spacing w:after="0" w:line="240" w:lineRule="auto"/>
      </w:pP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>Ukupni prihodi</w:t>
      </w:r>
      <w:r>
        <w:rPr>
          <w:rFonts w:ascii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za prvo polugodište 2024. ostvareni su u iznosu od 56.874.549 eura što čini 35,6 % godišnjeg plana te su za 51,5 % manji u odnosu na isto razdoblje 2023. godine.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poslovanja iznose 56.870.049 eura, što je 35,6 % plana te su za 51,5 % manji u odnosu na isto razdoblje 2023. godine. Prihodi od prodaje nefinancijske imovine iznose 4.500 eura što čini 9,0 % godišnjeg plana te su za  80,0% manji u odnosu na isto razdoblje 2023. godine.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ukupnim prihodima poslovanja HŽ Putničkog prijevoza najveći udio odnosi se na pomoći proračunu iz drugih proračuna i izvanproračunskim korisnicima što uključuje  Ugovor o javnim uslugama od općeg gospodarskog interesa u javnom željezničkom prijevozu u Republici Hrvatskoj u iznosu od 44.191.363 eura.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Pomoći od međunarodnih organizacija te institucija i tijela EU iznose 78.322 eura, a odnose se na bespovratna sredstva iz EU fondova kojima su sufinancirani projekti MIMOSA, YOUMOBILE, ICARUS i REGIAMOBIL.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Ostali prihodi sastoje se od prihoda od financijske imovine u </w:t>
      </w:r>
      <w:r>
        <w:rPr>
          <w:rFonts w:ascii="Times New Roman" w:hAnsi="Times New Roman" w:cs="Times New Roman"/>
          <w:sz w:val="24"/>
        </w:rPr>
        <w:t xml:space="preserve">iznosu od 111.154 eura, prihoda od nefinancijske imovine u iznosu od 1.932.649 eura (prihodi od zakupa vagona i lokomotiva, naknade šteta od osiguranja, naplaćena potraživanja na ispravku vrijednosti, naplaćeni prihodi po sudskim rješenjima), prihoda od prodaje </w:t>
      </w:r>
      <w:r>
        <w:rPr>
          <w:rFonts w:ascii="Times New Roman" w:hAnsi="Times New Roman" w:cs="Times New Roman"/>
          <w:color w:val="000000"/>
          <w:sz w:val="24"/>
        </w:rPr>
        <w:t xml:space="preserve">proizvoda i robe te pruženih usluga u iznosu od 10.556.561 eura (prihodi od prodaje karata u unutarnjem i međunarodnom prijevozu).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>Prihodi od prodaje nefinancijske imovine iznose 4.500 eura.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>Ukupni prihodi manji su u odnosu na 2023., kao i na planske vrijednosti za 2024., temeljem manjih prihoda na stavci kapitalnih i tekućih pomoći iz drugih proračuna i izvanproračunskim korisnicima te prijenosa EU sredstava u prvom polugodištu ove godine. </w:t>
      </w:r>
      <w:r>
        <w:rPr>
          <w:rFonts w:ascii="Times New Roman" w:hAnsi="Times New Roman" w:cs="Times New Roman"/>
          <w:sz w:val="24"/>
        </w:rPr>
        <w:t>Naime, u prvom polugodištu 2023.  isporučeno je i plaćeno 8 elektromotornih vlakova te je plaćen avans za dva baterijska vlaka </w:t>
      </w:r>
      <w:r>
        <w:rPr>
          <w:rFonts w:ascii="Times New Roman" w:hAnsi="Times New Roman" w:cs="Times New Roman"/>
          <w:color w:val="000000"/>
          <w:sz w:val="24"/>
        </w:rPr>
        <w:t xml:space="preserve">dok su u prvom polugodištu 2024. isporučena 4 vlaka koja će biti plaćena u drugom polugodištu 2024. godine.  Nadalje, realizacija investicijskih projekata financiranih iz zajma Europske investicijske banke koji su u 2024. planirani u iznosu od 35.800.000 eura očekuje se drugom polugodištu 2024. godine. Također, avans za 3. kvartal 2024. </w:t>
      </w:r>
      <w:r>
        <w:rPr>
          <w:rFonts w:ascii="Times New Roman" w:hAnsi="Times New Roman" w:cs="Times New Roman"/>
          <w:sz w:val="24"/>
        </w:rPr>
        <w:t xml:space="preserve">temeljem Ugovora o javnim uslugama od općeg gospodarskog interesa u javnom željezničkom prijevozu u Republici Hrvatskoj (Tekuće pomoći proračunu iz drugih proračuna i izvanproračunskim korisnicima) </w:t>
      </w:r>
      <w:r>
        <w:rPr>
          <w:rFonts w:ascii="Times New Roman" w:hAnsi="Times New Roman" w:cs="Times New Roman"/>
          <w:color w:val="000000"/>
          <w:sz w:val="24"/>
        </w:rPr>
        <w:t>doznačen je u srpnju dok je avans za 3. kvartal 2023. doznačen krajem lipnja te je uključen u realizaciju prvog polugodišta 2023. godine.</w:t>
      </w:r>
    </w:p>
    <w:p w:rsidR="00204436" w:rsidRDefault="00204436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/>
      </w:r>
    </w:p>
    <w:p w:rsidR="00204436" w:rsidRDefault="00204436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740545">
        <w:tc>
          <w:tcPr>
            <w:tcW w:w="14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40545">
        <w:tc>
          <w:tcPr>
            <w:tcW w:w="14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40545">
        <w:tc>
          <w:tcPr>
            <w:tcW w:w="1400" w:type="pct"/>
            <w:vAlign w:val="center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46.908.041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98.559.920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47.921.975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102,2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48,6</w:t>
            </w:r>
          </w:p>
        </w:tc>
      </w:tr>
      <w:tr w:rsidR="00740545">
        <w:tc>
          <w:tcPr>
            <w:tcW w:w="14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57.056.130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62.041.344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2.131.055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3,7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3,4</w:t>
            </w:r>
          </w:p>
        </w:tc>
      </w:tr>
      <w:tr w:rsidR="00740545">
        <w:tc>
          <w:tcPr>
            <w:tcW w:w="14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103.964.170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160.601.264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50.053.030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48,1</w:t>
            </w:r>
          </w:p>
        </w:tc>
        <w:tc>
          <w:tcPr>
            <w:tcW w:w="5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31,2</w:t>
            </w:r>
          </w:p>
        </w:tc>
      </w:tr>
    </w:tbl>
    <w:p w:rsidR="00740545" w:rsidRDefault="00740545">
      <w:pPr>
        <w:spacing w:after="0" w:line="240" w:lineRule="auto"/>
      </w:pP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Ukupni rashodi u prvom polugodištu 2024. ostvareni su u iznosu od 50.053.030 eura te čine 31,2 % godišnjeg plana, a za 51,9 % su manji u odnosu na isto razdoblje 2023. godine.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poslovanja iznose 47.921.975 i čine 48,6 % plana te su za 2,2 % veći u odnosu na isto razdoblje 2023. godine.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zaposlene ostvareni su u iznosu od 21.315.264 eura, a čine ih bruto plaće u iznosu od 15.915.949 eura, doprinosi za mirovinsko i zdravstveno osiguranje u iznosu od 3.338.514 eura i ostali rashodi za zaposlene u iznosu od 2.060.802 eura.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Materijalni rashodi ostvareni su u iznosu od 24.690.589 eura i odnose se na naknade troškova zaposlenima u iznosu od 672.166 eura, rashode za materijal i energiju u iznosu od 6.985.098 eura, rashode za usluge u iznosu od 15.435.389 eura, naknade troškova osobama izvan radnog odnosa u iznosu od 46.358 eura i ostale nespomenute rashode poslovanja u iznosu od 1.551.578 eura.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Ostvareni financijski rashodi iznose 1.300.017 eura, a odnose se na kamate za primljene kredite i zajmove u iznosu od 1.169.010 eura i ostale financijske rashode u iznosu od 131.007 eura.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rashodi ostvareni su u iznosu od 616.105 eura, od čega se najveći dio odnosi na naknade šteta pravnim i fizičkim osobama.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 iznose 2.131.055 eura , a čine ih:</w:t>
      </w:r>
    </w:p>
    <w:p w:rsidR="00740545" w:rsidRDefault="00204436">
      <w:pPr>
        <w:spacing w:line="240" w:lineRule="auto"/>
        <w:ind w:left="1080" w:hanging="360"/>
        <w:jc w:val="both"/>
      </w:pPr>
      <w:r>
        <w:rPr>
          <w:rFonts w:ascii="Times New Roman" w:hAnsi="Times New Roman" w:cs="Times New Roman"/>
          <w:sz w:val="24"/>
        </w:rPr>
        <w:t>-    rashodi za nabavu proizvedene dugotrajne imovine u iznosu od 824.232 eura koji se u punom iznosu odnose na ulaganja u računalne programe </w:t>
      </w:r>
    </w:p>
    <w:p w:rsidR="00740545" w:rsidRDefault="00204436">
      <w:pPr>
        <w:spacing w:line="240" w:lineRule="auto"/>
        <w:ind w:left="1080" w:hanging="360"/>
        <w:jc w:val="both"/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color w:val="FF0000"/>
          <w:sz w:val="24"/>
        </w:rPr>
        <w:t>   </w:t>
      </w:r>
      <w:r>
        <w:rPr>
          <w:rFonts w:ascii="Times New Roman" w:hAnsi="Times New Roman" w:cs="Times New Roman"/>
          <w:sz w:val="24"/>
        </w:rPr>
        <w:t>rashodi za dodatna ulaganja na nefinancijskoj imovini u iznosu od 1.306.822 eura, od čega se 1.233.557 eura odnosi na ulaganja u prijevozna sredstva, 1.771 euro na dodatna ulaganja na građevinskim objektima, dok se 71.494 eura odnosi na dodatna ulaganja za ostalu nefinancijsku imovinu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Nabava novih motornih vlakova prioritet je HŽ Putničkog prijevoza koji u skladu s ugovorenom dinamikom nabave u promet uvodi nove vlakove te je u 2023. isporučeno 14 novih elektromotornih vlakova, u 2024. se planira isporuka 6 vlakova, a u 2025. 7 novih vlakova. Do kraja 2025. u prometu će biti 70 novih vlakova, a u sljedećem razdoblju planiran je nastavak nabave vlakova do potpune obnove cijelog voznog parka.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Od ukupno planiranih šest vlakova u 2024., u prvom polugodištu 2024. godine isporučena su četiri (4) elektromotorna vlaka financirana iz programa Konkurentnost i kohezija 2021.-2027. godine, čije plaćanje će se izvršiti u drugom polugodištu ove godine.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Isporuka i plaćanje preostala dva vlaka očekuje se u drugom polugodištu ove godine.</w:t>
      </w: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RAČUN FINANCIRANJA</w:t>
      </w: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740545">
        <w:tc>
          <w:tcPr>
            <w:tcW w:w="2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40545">
        <w:tc>
          <w:tcPr>
            <w:tcW w:w="2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40545">
        <w:tc>
          <w:tcPr>
            <w:tcW w:w="2500" w:type="pct"/>
            <w:vAlign w:val="center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159.653.837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56.874.549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35,6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160.601.264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50.053.030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31,2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-947.427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6.821.519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-720,0</w:t>
            </w:r>
          </w:p>
        </w:tc>
      </w:tr>
    </w:tbl>
    <w:p w:rsidR="00740545" w:rsidRDefault="00740545">
      <w:pPr>
        <w:spacing w:after="0" w:line="240" w:lineRule="auto"/>
      </w:pPr>
    </w:p>
    <w:p w:rsidR="00740545" w:rsidRDefault="00204436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740545">
        <w:tc>
          <w:tcPr>
            <w:tcW w:w="2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40545">
        <w:tc>
          <w:tcPr>
            <w:tcW w:w="25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40545" w:rsidRDefault="00204436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40545">
        <w:tc>
          <w:tcPr>
            <w:tcW w:w="2500" w:type="pct"/>
            <w:vAlign w:val="center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8.200.000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40545" w:rsidRDefault="00740545">
            <w:pPr>
              <w:spacing w:after="0" w:line="240" w:lineRule="auto"/>
              <w:jc w:val="right"/>
            </w:pP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7.047.581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3.504.747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49,7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1.152.419</w:t>
            </w:r>
          </w:p>
        </w:tc>
        <w:tc>
          <w:tcPr>
            <w:tcW w:w="1000" w:type="pct"/>
            <w:vAlign w:val="bottom"/>
          </w:tcPr>
          <w:p w:rsidR="00740545" w:rsidRDefault="0074253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</w:t>
            </w:r>
            <w:r w:rsidR="00204436">
              <w:rPr>
                <w:rFonts w:ascii="Times New Roman" w:hAnsi="Times New Roman" w:cs="Times New Roman"/>
                <w:b/>
                <w:sz w:val="18"/>
              </w:rPr>
              <w:t>3.504.747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304,1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8.630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3.650.697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42302,4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-213.622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-6.967.469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3261,6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947.427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-6.821.519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-720,0</w:t>
            </w:r>
          </w:p>
        </w:tc>
      </w:tr>
      <w:tr w:rsidR="00740545">
        <w:tc>
          <w:tcPr>
            <w:tcW w:w="2500" w:type="pct"/>
            <w:vAlign w:val="bottom"/>
          </w:tcPr>
          <w:p w:rsidR="00740545" w:rsidRDefault="00204436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40545" w:rsidRDefault="002044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40545" w:rsidRDefault="00740545">
            <w:pPr>
              <w:spacing w:after="0" w:line="240" w:lineRule="auto"/>
              <w:jc w:val="right"/>
            </w:pPr>
          </w:p>
        </w:tc>
      </w:tr>
    </w:tbl>
    <w:p w:rsidR="00740545" w:rsidRDefault="00740545">
      <w:pPr>
        <w:spacing w:after="0" w:line="240" w:lineRule="auto"/>
      </w:pP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Ostvareni prihodi i rashodi rezultirali su viškom od 6.821.519 eura. Zbog nedostatka vlastitih sredstava u prethodnim godinama bilo je nužno angažiranje kreditnih sredstava za nabavu novih vlakova, što je rezultiralo povećanjem obveza za otplatu glavnice.</w:t>
      </w:r>
      <w:bookmarkStart w:id="0" w:name="_GoBack"/>
      <w:bookmarkEnd w:id="0"/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Izdaci za otplatu glavnice primljenih kredita i zajmova (EUROFIMA-e, IBRD-a i HBOR-a) ostvareni su u iznosu od 3.504.747 eura. </w:t>
      </w:r>
    </w:p>
    <w:p w:rsidR="00740545" w:rsidRPr="00204436" w:rsidRDefault="00204436">
      <w:pPr>
        <w:spacing w:line="240" w:lineRule="auto"/>
        <w:jc w:val="both"/>
      </w:pPr>
      <w:r w:rsidRPr="00204436">
        <w:rPr>
          <w:rFonts w:ascii="Times New Roman" w:hAnsi="Times New Roman" w:cs="Times New Roman"/>
          <w:sz w:val="24"/>
        </w:rPr>
        <w:t>PRIJENOS SREDSTAVA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iz prethodne godine iznosi 3.650.697 eura, a prijenos sredstava u sljedeće razdoblje iznosi 6.967.469 eura. Prijenosi sredstava odnose se na sredstva po računima za redovno poslovanje.</w:t>
      </w:r>
    </w:p>
    <w:p w:rsidR="00740545" w:rsidRDefault="00204436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KAPITALA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Putnički prijevoz se nije u izvještajnom razdoblju zaduživao na domaćem i stranom tržištu novca i kapitala.</w:t>
      </w:r>
    </w:p>
    <w:p w:rsidR="00B518EB" w:rsidRDefault="00204436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/>
      </w:r>
    </w:p>
    <w:p w:rsidR="00740545" w:rsidRDefault="00204436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lastRenderedPageBreak/>
        <w:t xml:space="preserve">IZVJEŠTAJ O DANIM JAMSTVIMA I PLAĆANJIMA PO PROTESTIRANIM JAMSTVIMA </w:t>
      </w:r>
    </w:p>
    <w:p w:rsidR="00740545" w:rsidRDefault="00204436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Putnički prijevoz u izvještajnom razdoblju nije davao jamstva niti je imao izvršenih plaćanja po protestiranim jamstvima.</w:t>
      </w:r>
    </w:p>
    <w:sectPr w:rsidR="00740545" w:rsidSect="00204436">
      <w:footerReference w:type="default" r:id="rId6"/>
      <w:pgSz w:w="12240" w:h="15840"/>
      <w:pgMar w:top="1417" w:right="1417" w:bottom="1417" w:left="1417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36" w:rsidRDefault="00204436" w:rsidP="00204436">
      <w:pPr>
        <w:spacing w:after="0" w:line="240" w:lineRule="auto"/>
      </w:pPr>
      <w:r>
        <w:separator/>
      </w:r>
    </w:p>
  </w:endnote>
  <w:endnote w:type="continuationSeparator" w:id="0">
    <w:p w:rsidR="00204436" w:rsidRDefault="00204436" w:rsidP="0020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781779"/>
      <w:docPartObj>
        <w:docPartGallery w:val="Page Numbers (Bottom of Page)"/>
        <w:docPartUnique/>
      </w:docPartObj>
    </w:sdtPr>
    <w:sdtEndPr/>
    <w:sdtContent>
      <w:p w:rsidR="00204436" w:rsidRDefault="00204436">
        <w:pPr>
          <w:pStyle w:val="Podnoje"/>
          <w:jc w:val="center"/>
        </w:pPr>
        <w:r w:rsidRPr="002044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44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44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253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044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4436" w:rsidRDefault="002044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36" w:rsidRDefault="00204436" w:rsidP="00204436">
      <w:pPr>
        <w:spacing w:after="0" w:line="240" w:lineRule="auto"/>
      </w:pPr>
      <w:r>
        <w:separator/>
      </w:r>
    </w:p>
  </w:footnote>
  <w:footnote w:type="continuationSeparator" w:id="0">
    <w:p w:rsidR="00204436" w:rsidRDefault="00204436" w:rsidP="00204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0545"/>
    <w:rsid w:val="00204436"/>
    <w:rsid w:val="00740545"/>
    <w:rsid w:val="0074253B"/>
    <w:rsid w:val="00B5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0A0C"/>
  <w15:docId w15:val="{FA32D634-CEFA-48B6-A14A-FECA6483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04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04436"/>
  </w:style>
  <w:style w:type="paragraph" w:styleId="Podnoje">
    <w:name w:val="footer"/>
    <w:basedOn w:val="Normal"/>
    <w:link w:val="PodnojeChar"/>
    <w:uiPriority w:val="99"/>
    <w:unhideWhenUsed/>
    <w:rsid w:val="00204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04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1491</Words>
  <Characters>8504</Characters>
  <Application>Microsoft Office Word</Application>
  <DocSecurity>0</DocSecurity>
  <Lines>70</Lines>
  <Paragraphs>19</Paragraphs>
  <ScaleCrop>false</ScaleCrop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2024-08-28T11:18:00Z</dcterms:created>
  <dcterms:modified xsi:type="dcterms:W3CDTF">2024-09-03T10:02:00Z</dcterms:modified>
</cp:coreProperties>
</file>