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2418" w:rsidRDefault="00222DEA">
      <w:pPr>
        <w:spacing w:line="360" w:lineRule="auto"/>
        <w:jc w:val="center"/>
      </w:pPr>
      <w:r>
        <w:rPr>
          <w:rFonts w:ascii="Times New Roman" w:hAnsi="Times New Roman" w:cs="Times New Roman"/>
          <w:b/>
          <w:sz w:val="24"/>
        </w:rPr>
        <w:t>OBRAZLOŽENJE IZVRŠENJA FINANCIJSKOG PLANA CENTRA ZA RESTRUKTURIRANJE I PRODAJU ZA PRVO POLUGODIŠTE 2024. GODINE</w:t>
      </w:r>
    </w:p>
    <w:p w:rsidR="00242418" w:rsidRDefault="00222DEA">
      <w:pPr>
        <w:spacing w:line="360" w:lineRule="auto"/>
      </w:pPr>
      <w:r>
        <w:rPr>
          <w:rFonts w:ascii="Times New Roman" w:hAnsi="Times New Roman" w:cs="Times New Roman"/>
          <w:b/>
          <w:sz w:val="24"/>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2718"/>
        <w:gridCol w:w="1553"/>
        <w:gridCol w:w="1553"/>
        <w:gridCol w:w="1552"/>
        <w:gridCol w:w="971"/>
        <w:gridCol w:w="971"/>
      </w:tblGrid>
      <w:tr w:rsidR="00242418">
        <w:tc>
          <w:tcPr>
            <w:tcW w:w="1400" w:type="pct"/>
            <w:shd w:val="clear" w:color="auto" w:fill="BCDFFB"/>
            <w:vAlign w:val="center"/>
          </w:tcPr>
          <w:p w:rsidR="00242418" w:rsidRDefault="00222DEA">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242418" w:rsidRDefault="00222DEA">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2023.</w:t>
            </w:r>
          </w:p>
        </w:tc>
        <w:tc>
          <w:tcPr>
            <w:tcW w:w="800" w:type="pct"/>
            <w:shd w:val="clear" w:color="auto" w:fill="BCDFFB"/>
            <w:vAlign w:val="center"/>
          </w:tcPr>
          <w:p w:rsidR="00242418" w:rsidRDefault="00222DEA">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2024.</w:t>
            </w:r>
          </w:p>
        </w:tc>
        <w:tc>
          <w:tcPr>
            <w:tcW w:w="800" w:type="pct"/>
            <w:shd w:val="clear" w:color="auto" w:fill="BCDFFB"/>
            <w:vAlign w:val="center"/>
          </w:tcPr>
          <w:p w:rsidR="00242418" w:rsidRDefault="00222DEA">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2024.</w:t>
            </w:r>
          </w:p>
        </w:tc>
        <w:tc>
          <w:tcPr>
            <w:tcW w:w="500" w:type="pct"/>
            <w:shd w:val="clear" w:color="auto" w:fill="BCDFFB"/>
            <w:vAlign w:val="center"/>
          </w:tcPr>
          <w:p w:rsidR="00242418" w:rsidRDefault="00222DEA">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242418" w:rsidRDefault="00222DEA">
            <w:pPr>
              <w:spacing w:after="0" w:line="240" w:lineRule="auto"/>
              <w:jc w:val="center"/>
            </w:pPr>
            <w:r>
              <w:rPr>
                <w:rFonts w:ascii="Times New Roman" w:hAnsi="Times New Roman" w:cs="Times New Roman"/>
                <w:b/>
                <w:sz w:val="18"/>
              </w:rPr>
              <w:t>INDEKS</w:t>
            </w:r>
          </w:p>
        </w:tc>
      </w:tr>
      <w:tr w:rsidR="00242418">
        <w:tc>
          <w:tcPr>
            <w:tcW w:w="1400" w:type="pct"/>
            <w:shd w:val="clear" w:color="auto" w:fill="BCDFFB"/>
            <w:vAlign w:val="center"/>
          </w:tcPr>
          <w:p w:rsidR="00242418" w:rsidRDefault="00222DEA">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242418" w:rsidRDefault="00222DEA">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242418" w:rsidRDefault="00222DEA">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242418" w:rsidRDefault="00222DEA">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242418" w:rsidRDefault="00222DEA">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242418" w:rsidRDefault="00222DEA">
            <w:pPr>
              <w:spacing w:after="0" w:line="240" w:lineRule="auto"/>
              <w:jc w:val="center"/>
            </w:pPr>
            <w:r>
              <w:rPr>
                <w:rFonts w:ascii="Times New Roman" w:hAnsi="Times New Roman" w:cs="Times New Roman"/>
                <w:sz w:val="14"/>
              </w:rPr>
              <w:t>6=4/3</w:t>
            </w:r>
          </w:p>
        </w:tc>
      </w:tr>
      <w:tr w:rsidR="00242418">
        <w:tc>
          <w:tcPr>
            <w:tcW w:w="1400" w:type="pct"/>
            <w:vAlign w:val="bottom"/>
          </w:tcPr>
          <w:p w:rsidR="00242418" w:rsidRDefault="00222DEA">
            <w:pPr>
              <w:spacing w:after="0" w:line="240" w:lineRule="auto"/>
            </w:pPr>
            <w:r>
              <w:rPr>
                <w:rFonts w:ascii="Times New Roman" w:hAnsi="Times New Roman" w:cs="Times New Roman"/>
                <w:sz w:val="18"/>
              </w:rPr>
              <w:t>6 PRIHODI POSLOVANJA</w:t>
            </w:r>
          </w:p>
        </w:tc>
        <w:tc>
          <w:tcPr>
            <w:tcW w:w="800" w:type="pct"/>
            <w:vAlign w:val="bottom"/>
          </w:tcPr>
          <w:p w:rsidR="00242418" w:rsidRDefault="00222DEA">
            <w:pPr>
              <w:spacing w:after="0" w:line="240" w:lineRule="auto"/>
              <w:jc w:val="right"/>
            </w:pPr>
            <w:r>
              <w:rPr>
                <w:rFonts w:ascii="Times New Roman" w:hAnsi="Times New Roman" w:cs="Times New Roman"/>
                <w:sz w:val="18"/>
              </w:rPr>
              <w:t>1.212.754</w:t>
            </w:r>
          </w:p>
        </w:tc>
        <w:tc>
          <w:tcPr>
            <w:tcW w:w="800" w:type="pct"/>
            <w:vAlign w:val="bottom"/>
          </w:tcPr>
          <w:p w:rsidR="00242418" w:rsidRDefault="00222DEA">
            <w:pPr>
              <w:spacing w:after="0" w:line="240" w:lineRule="auto"/>
              <w:jc w:val="right"/>
            </w:pPr>
            <w:r>
              <w:rPr>
                <w:rFonts w:ascii="Times New Roman" w:hAnsi="Times New Roman" w:cs="Times New Roman"/>
                <w:sz w:val="18"/>
              </w:rPr>
              <w:t>4.514.000</w:t>
            </w:r>
          </w:p>
        </w:tc>
        <w:tc>
          <w:tcPr>
            <w:tcW w:w="800" w:type="pct"/>
            <w:vAlign w:val="bottom"/>
          </w:tcPr>
          <w:p w:rsidR="00242418" w:rsidRDefault="00222DEA">
            <w:pPr>
              <w:spacing w:after="0" w:line="240" w:lineRule="auto"/>
              <w:jc w:val="right"/>
            </w:pPr>
            <w:r>
              <w:rPr>
                <w:rFonts w:ascii="Times New Roman" w:hAnsi="Times New Roman" w:cs="Times New Roman"/>
                <w:sz w:val="18"/>
              </w:rPr>
              <w:t>3.566.450</w:t>
            </w:r>
          </w:p>
        </w:tc>
        <w:tc>
          <w:tcPr>
            <w:tcW w:w="500" w:type="pct"/>
            <w:vAlign w:val="bottom"/>
          </w:tcPr>
          <w:p w:rsidR="00242418" w:rsidRDefault="00222DEA">
            <w:pPr>
              <w:spacing w:after="0" w:line="240" w:lineRule="auto"/>
              <w:jc w:val="right"/>
            </w:pPr>
            <w:r>
              <w:rPr>
                <w:rFonts w:ascii="Times New Roman" w:hAnsi="Times New Roman" w:cs="Times New Roman"/>
                <w:sz w:val="18"/>
              </w:rPr>
              <w:t>294,1</w:t>
            </w:r>
          </w:p>
        </w:tc>
        <w:tc>
          <w:tcPr>
            <w:tcW w:w="500" w:type="pct"/>
            <w:vAlign w:val="bottom"/>
          </w:tcPr>
          <w:p w:rsidR="00242418" w:rsidRDefault="00222DEA">
            <w:pPr>
              <w:spacing w:after="0" w:line="240" w:lineRule="auto"/>
              <w:jc w:val="right"/>
            </w:pPr>
            <w:r>
              <w:rPr>
                <w:rFonts w:ascii="Times New Roman" w:hAnsi="Times New Roman" w:cs="Times New Roman"/>
                <w:sz w:val="18"/>
              </w:rPr>
              <w:t>79,0</w:t>
            </w:r>
          </w:p>
        </w:tc>
      </w:tr>
      <w:tr w:rsidR="00242418">
        <w:tc>
          <w:tcPr>
            <w:tcW w:w="1400" w:type="pct"/>
            <w:vAlign w:val="bottom"/>
          </w:tcPr>
          <w:p w:rsidR="00242418" w:rsidRDefault="00222DEA">
            <w:pPr>
              <w:spacing w:after="0" w:line="240" w:lineRule="auto"/>
            </w:pPr>
            <w:r>
              <w:rPr>
                <w:rFonts w:ascii="Times New Roman" w:hAnsi="Times New Roman" w:cs="Times New Roman"/>
                <w:sz w:val="18"/>
              </w:rPr>
              <w:t>7 PRIHODI OD PRODAJE NEFINANCIJSKE IMOVINE</w:t>
            </w:r>
          </w:p>
        </w:tc>
        <w:tc>
          <w:tcPr>
            <w:tcW w:w="800" w:type="pct"/>
            <w:vAlign w:val="bottom"/>
          </w:tcPr>
          <w:p w:rsidR="00242418" w:rsidRDefault="00222DEA">
            <w:pPr>
              <w:spacing w:after="0" w:line="240" w:lineRule="auto"/>
              <w:jc w:val="right"/>
            </w:pPr>
            <w:r>
              <w:rPr>
                <w:rFonts w:ascii="Times New Roman" w:hAnsi="Times New Roman" w:cs="Times New Roman"/>
                <w:sz w:val="18"/>
              </w:rPr>
              <w:t>26.259</w:t>
            </w:r>
          </w:p>
        </w:tc>
        <w:tc>
          <w:tcPr>
            <w:tcW w:w="800" w:type="pct"/>
            <w:vAlign w:val="bottom"/>
          </w:tcPr>
          <w:p w:rsidR="00242418" w:rsidRDefault="00222DEA">
            <w:pPr>
              <w:spacing w:after="0" w:line="240" w:lineRule="auto"/>
              <w:jc w:val="right"/>
            </w:pPr>
            <w:r>
              <w:rPr>
                <w:rFonts w:ascii="Times New Roman" w:hAnsi="Times New Roman" w:cs="Times New Roman"/>
                <w:sz w:val="18"/>
              </w:rPr>
              <w:t>55.000</w:t>
            </w:r>
          </w:p>
        </w:tc>
        <w:tc>
          <w:tcPr>
            <w:tcW w:w="800" w:type="pct"/>
            <w:vAlign w:val="bottom"/>
          </w:tcPr>
          <w:p w:rsidR="00242418" w:rsidRDefault="00222DEA">
            <w:pPr>
              <w:spacing w:after="0" w:line="240" w:lineRule="auto"/>
              <w:jc w:val="right"/>
            </w:pPr>
            <w:r>
              <w:rPr>
                <w:rFonts w:ascii="Times New Roman" w:hAnsi="Times New Roman" w:cs="Times New Roman"/>
                <w:sz w:val="18"/>
              </w:rPr>
              <w:t>27.800</w:t>
            </w:r>
          </w:p>
        </w:tc>
        <w:tc>
          <w:tcPr>
            <w:tcW w:w="500" w:type="pct"/>
            <w:vAlign w:val="bottom"/>
          </w:tcPr>
          <w:p w:rsidR="00242418" w:rsidRDefault="00222DEA">
            <w:pPr>
              <w:spacing w:after="0" w:line="240" w:lineRule="auto"/>
              <w:jc w:val="right"/>
            </w:pPr>
            <w:r>
              <w:rPr>
                <w:rFonts w:ascii="Times New Roman" w:hAnsi="Times New Roman" w:cs="Times New Roman"/>
                <w:sz w:val="18"/>
              </w:rPr>
              <w:t>105,9</w:t>
            </w:r>
          </w:p>
        </w:tc>
        <w:tc>
          <w:tcPr>
            <w:tcW w:w="500" w:type="pct"/>
            <w:vAlign w:val="bottom"/>
          </w:tcPr>
          <w:p w:rsidR="00242418" w:rsidRDefault="00222DEA">
            <w:pPr>
              <w:spacing w:after="0" w:line="240" w:lineRule="auto"/>
              <w:jc w:val="right"/>
            </w:pPr>
            <w:r>
              <w:rPr>
                <w:rFonts w:ascii="Times New Roman" w:hAnsi="Times New Roman" w:cs="Times New Roman"/>
                <w:sz w:val="18"/>
              </w:rPr>
              <w:t>50,5</w:t>
            </w:r>
          </w:p>
        </w:tc>
      </w:tr>
      <w:tr w:rsidR="00242418">
        <w:tc>
          <w:tcPr>
            <w:tcW w:w="1400" w:type="pct"/>
            <w:vAlign w:val="bottom"/>
          </w:tcPr>
          <w:p w:rsidR="00242418" w:rsidRDefault="00222DEA">
            <w:pPr>
              <w:spacing w:after="0" w:line="240" w:lineRule="auto"/>
            </w:pPr>
            <w:r>
              <w:rPr>
                <w:rFonts w:ascii="Times New Roman" w:hAnsi="Times New Roman" w:cs="Times New Roman"/>
                <w:b/>
                <w:sz w:val="18"/>
              </w:rPr>
              <w:t>UKUPNI PRIHODI</w:t>
            </w:r>
          </w:p>
        </w:tc>
        <w:tc>
          <w:tcPr>
            <w:tcW w:w="800" w:type="pct"/>
            <w:vAlign w:val="bottom"/>
          </w:tcPr>
          <w:p w:rsidR="00242418" w:rsidRDefault="00222DEA">
            <w:pPr>
              <w:spacing w:after="0" w:line="240" w:lineRule="auto"/>
              <w:jc w:val="right"/>
            </w:pPr>
            <w:r>
              <w:rPr>
                <w:rFonts w:ascii="Times New Roman" w:hAnsi="Times New Roman" w:cs="Times New Roman"/>
                <w:b/>
                <w:sz w:val="18"/>
              </w:rPr>
              <w:t>1.239.013</w:t>
            </w:r>
          </w:p>
        </w:tc>
        <w:tc>
          <w:tcPr>
            <w:tcW w:w="800" w:type="pct"/>
            <w:vAlign w:val="bottom"/>
          </w:tcPr>
          <w:p w:rsidR="00242418" w:rsidRDefault="00222DEA">
            <w:pPr>
              <w:spacing w:after="0" w:line="240" w:lineRule="auto"/>
              <w:jc w:val="right"/>
            </w:pPr>
            <w:r>
              <w:rPr>
                <w:rFonts w:ascii="Times New Roman" w:hAnsi="Times New Roman" w:cs="Times New Roman"/>
                <w:b/>
                <w:sz w:val="18"/>
              </w:rPr>
              <w:t>4.569.000</w:t>
            </w:r>
          </w:p>
        </w:tc>
        <w:tc>
          <w:tcPr>
            <w:tcW w:w="800" w:type="pct"/>
            <w:vAlign w:val="bottom"/>
          </w:tcPr>
          <w:p w:rsidR="00242418" w:rsidRDefault="00222DEA">
            <w:pPr>
              <w:spacing w:after="0" w:line="240" w:lineRule="auto"/>
              <w:jc w:val="right"/>
            </w:pPr>
            <w:r>
              <w:rPr>
                <w:rFonts w:ascii="Times New Roman" w:hAnsi="Times New Roman" w:cs="Times New Roman"/>
                <w:b/>
                <w:sz w:val="18"/>
              </w:rPr>
              <w:t>3.594.250</w:t>
            </w:r>
          </w:p>
        </w:tc>
        <w:tc>
          <w:tcPr>
            <w:tcW w:w="500" w:type="pct"/>
            <w:vAlign w:val="bottom"/>
          </w:tcPr>
          <w:p w:rsidR="00242418" w:rsidRDefault="00222DEA">
            <w:pPr>
              <w:spacing w:after="0" w:line="240" w:lineRule="auto"/>
              <w:jc w:val="right"/>
            </w:pPr>
            <w:r>
              <w:rPr>
                <w:rFonts w:ascii="Times New Roman" w:hAnsi="Times New Roman" w:cs="Times New Roman"/>
                <w:b/>
                <w:sz w:val="18"/>
              </w:rPr>
              <w:t>290,1</w:t>
            </w:r>
          </w:p>
        </w:tc>
        <w:tc>
          <w:tcPr>
            <w:tcW w:w="500" w:type="pct"/>
            <w:vAlign w:val="bottom"/>
          </w:tcPr>
          <w:p w:rsidR="00242418" w:rsidRDefault="00222DEA">
            <w:pPr>
              <w:spacing w:after="0" w:line="240" w:lineRule="auto"/>
              <w:jc w:val="right"/>
            </w:pPr>
            <w:r>
              <w:rPr>
                <w:rFonts w:ascii="Times New Roman" w:hAnsi="Times New Roman" w:cs="Times New Roman"/>
                <w:b/>
                <w:sz w:val="18"/>
              </w:rPr>
              <w:t>78,7</w:t>
            </w:r>
          </w:p>
        </w:tc>
      </w:tr>
    </w:tbl>
    <w:p w:rsidR="00242418" w:rsidRDefault="00242418">
      <w:pPr>
        <w:spacing w:after="0" w:line="240" w:lineRule="auto"/>
      </w:pPr>
    </w:p>
    <w:p w:rsidR="00242418" w:rsidRDefault="00222DEA">
      <w:pPr>
        <w:spacing w:line="240" w:lineRule="auto"/>
        <w:jc w:val="both"/>
      </w:pPr>
      <w:r>
        <w:rPr>
          <w:rFonts w:ascii="Times New Roman" w:hAnsi="Times New Roman" w:cs="Times New Roman"/>
          <w:b/>
          <w:sz w:val="24"/>
        </w:rPr>
        <w:t xml:space="preserve">PRIHODI POSLOVANJA </w:t>
      </w:r>
    </w:p>
    <w:p w:rsidR="00242418" w:rsidRDefault="00222DEA">
      <w:pPr>
        <w:spacing w:line="240" w:lineRule="auto"/>
        <w:jc w:val="both"/>
      </w:pPr>
      <w:r>
        <w:rPr>
          <w:rFonts w:ascii="Times New Roman" w:hAnsi="Times New Roman" w:cs="Times New Roman"/>
          <w:color w:val="231F20"/>
          <w:sz w:val="24"/>
        </w:rPr>
        <w:t>Centar za restrukturiranje i prodaju (</w:t>
      </w:r>
      <w:r>
        <w:rPr>
          <w:rFonts w:ascii="Times New Roman" w:hAnsi="Times New Roman" w:cs="Times New Roman"/>
          <w:color w:val="000000"/>
          <w:sz w:val="24"/>
        </w:rPr>
        <w:t xml:space="preserve">dalje u tekstu: </w:t>
      </w:r>
      <w:r>
        <w:rPr>
          <w:rFonts w:ascii="Times New Roman" w:hAnsi="Times New Roman" w:cs="Times New Roman"/>
          <w:sz w:val="24"/>
        </w:rPr>
        <w:t>Centar) je za 2024. godinu planirao prihode poslovanja u iznosu od 4.514.000,00 eura, a za izvještajno razdoblje od siječnja do kraja lipnja 2024. godine isti su ostvareni u iznosu od 3.566.450,18 eura ili 79,01% plana i odnose se na:</w:t>
      </w:r>
    </w:p>
    <w:p w:rsidR="00242418" w:rsidRDefault="00222DEA">
      <w:pPr>
        <w:numPr>
          <w:ilvl w:val="0"/>
          <w:numId w:val="1"/>
        </w:numPr>
        <w:spacing w:line="240" w:lineRule="auto"/>
        <w:jc w:val="both"/>
      </w:pPr>
      <w:r>
        <w:rPr>
          <w:rFonts w:ascii="Times New Roman" w:hAnsi="Times New Roman" w:cs="Times New Roman"/>
          <w:b/>
          <w:sz w:val="24"/>
        </w:rPr>
        <w:t>Pomoći proračunu iz drugih proračuna i izvanproračunskim korisnicima</w:t>
      </w:r>
      <w:r>
        <w:rPr>
          <w:rFonts w:ascii="Times New Roman" w:hAnsi="Times New Roman" w:cs="Times New Roman"/>
          <w:sz w:val="24"/>
        </w:rPr>
        <w:t> - ostvareni su u iznosu od 459.100,40 eura, a odnose se na sredstva zaprimljena od Ministarstva financija za podmirenje tražbina radnika društva DALMACIJAVINO d.d. „u stečaju“, Split, sukladno Odluci Vlade Republike Hrvatske o sklapanju Ugovora o ustupu tražbina radnika društva DALMACIJAVINO d.d. „u stečaju“ kao stečajnih vjerovnika prvog višeg isplatnog reda prema stečajnom dužniku DALMACIJAVINO d.d. „u stečaju“ od 30. studenog 2023. godine;</w:t>
      </w:r>
    </w:p>
    <w:p w:rsidR="00242418" w:rsidRDefault="00222DEA">
      <w:pPr>
        <w:numPr>
          <w:ilvl w:val="0"/>
          <w:numId w:val="1"/>
        </w:numPr>
        <w:spacing w:line="240" w:lineRule="auto"/>
        <w:jc w:val="both"/>
      </w:pPr>
      <w:r>
        <w:rPr>
          <w:rFonts w:ascii="Times New Roman" w:hAnsi="Times New Roman" w:cs="Times New Roman"/>
          <w:b/>
          <w:sz w:val="24"/>
        </w:rPr>
        <w:t>Prihodi od financijske imovine</w:t>
      </w:r>
      <w:r>
        <w:rPr>
          <w:rFonts w:ascii="Times New Roman" w:hAnsi="Times New Roman" w:cs="Times New Roman"/>
          <w:sz w:val="24"/>
        </w:rPr>
        <w:t xml:space="preserve"> - ostvareni su u iznosu od 1.530.424,04 eura, a odnose se na prihode od zateznih kamata (1.107.108,28 eura) u najvećoj mjeri iz stečajnog postupka nad društvom G.H.B. d.o.o. u stečaju, Opatija, zatim na prihode od dividendi (413.991,13 eura) uplaćene od sljedećih društava: VALAMAR RIVIERA d.d., Poreč, ARENA HOSPITALITY GROUP d.d., Pula, GRAVOSA d.o.o., Dubrovnik, ACI d.d., Rijeka, te na prihode od kamata na depozite po viđenju (1,20 eura) i na ostale prihode od financijske imovine (9.323,43 eura);</w:t>
      </w:r>
    </w:p>
    <w:p w:rsidR="00242418" w:rsidRDefault="00222DEA">
      <w:pPr>
        <w:numPr>
          <w:ilvl w:val="0"/>
          <w:numId w:val="1"/>
        </w:numPr>
        <w:spacing w:line="240" w:lineRule="auto"/>
        <w:jc w:val="both"/>
      </w:pPr>
      <w:r>
        <w:rPr>
          <w:rFonts w:ascii="Times New Roman" w:hAnsi="Times New Roman" w:cs="Times New Roman"/>
          <w:b/>
          <w:sz w:val="24"/>
        </w:rPr>
        <w:t>Prihodi od nefinancijske imovine</w:t>
      </w:r>
      <w:r>
        <w:rPr>
          <w:rFonts w:ascii="Times New Roman" w:hAnsi="Times New Roman" w:cs="Times New Roman"/>
          <w:sz w:val="24"/>
        </w:rPr>
        <w:t xml:space="preserve"> - ostvareni su u iznosu od 24.733,24 eura i odnose se na prihode od zakupa i najma;</w:t>
      </w:r>
    </w:p>
    <w:p w:rsidR="00242418" w:rsidRDefault="00222DEA">
      <w:pPr>
        <w:numPr>
          <w:ilvl w:val="0"/>
          <w:numId w:val="1"/>
        </w:numPr>
        <w:spacing w:line="240" w:lineRule="auto"/>
        <w:jc w:val="both"/>
      </w:pPr>
      <w:r>
        <w:rPr>
          <w:rFonts w:ascii="Times New Roman" w:hAnsi="Times New Roman" w:cs="Times New Roman"/>
          <w:b/>
          <w:sz w:val="24"/>
        </w:rPr>
        <w:t xml:space="preserve">Prihodi od kamata na dane </w:t>
      </w:r>
      <w:r>
        <w:rPr>
          <w:rFonts w:ascii="Times New Roman" w:hAnsi="Times New Roman" w:cs="Times New Roman"/>
          <w:b/>
          <w:color w:val="000000"/>
          <w:sz w:val="24"/>
        </w:rPr>
        <w:t>zajmove trgovačkim društvima u javnom sektoru</w:t>
      </w:r>
      <w:r>
        <w:rPr>
          <w:rFonts w:ascii="Times New Roman" w:hAnsi="Times New Roman" w:cs="Times New Roman"/>
          <w:color w:val="000000"/>
          <w:sz w:val="24"/>
        </w:rPr>
        <w:t xml:space="preserve"> - </w:t>
      </w:r>
      <w:r>
        <w:rPr>
          <w:rFonts w:ascii="Times New Roman" w:hAnsi="Times New Roman" w:cs="Times New Roman"/>
          <w:sz w:val="24"/>
        </w:rPr>
        <w:t>ostvareni su u iznosu od 3.477,45 eura i odnose se na prihode od redovnih kamata za ranije dane zajmove;</w:t>
      </w:r>
    </w:p>
    <w:p w:rsidR="00242418" w:rsidRDefault="00222DEA">
      <w:pPr>
        <w:numPr>
          <w:ilvl w:val="0"/>
          <w:numId w:val="1"/>
        </w:numPr>
        <w:spacing w:line="240" w:lineRule="auto"/>
        <w:jc w:val="both"/>
      </w:pPr>
      <w:r>
        <w:rPr>
          <w:rFonts w:ascii="Times New Roman" w:hAnsi="Times New Roman" w:cs="Times New Roman"/>
          <w:b/>
          <w:sz w:val="24"/>
        </w:rPr>
        <w:t>Prihodi od pruženih usluga</w:t>
      </w:r>
      <w:r>
        <w:rPr>
          <w:rFonts w:ascii="Times New Roman" w:hAnsi="Times New Roman" w:cs="Times New Roman"/>
          <w:sz w:val="24"/>
        </w:rPr>
        <w:t xml:space="preserve"> - ostvareni su u ukupnom iznosu od 1.273.658,01 eura, a odnose na prihode od naknade za realiziranu prodaju dionica/poslovnih udjela i naknade za naplaćenu dividendu za trgovačka društva iz portfelja Republike Hrvatske i Hrvatskog zavoda za mirovinsko osiguranje sukladno odredbama Odluke o visini naknade za upravljanje i raspolaganje dionicama i udjelima kojima upravlja Centar za restrukturiranje i prodaju („Narodne novine“ broj 39/2019), na prihode od izdanih iskaza nekretnina i na prihode od pruženih usluga fotokopiranja;</w:t>
      </w:r>
    </w:p>
    <w:p w:rsidR="00242418" w:rsidRDefault="00222DEA" w:rsidP="00600B7E">
      <w:pPr>
        <w:numPr>
          <w:ilvl w:val="0"/>
          <w:numId w:val="1"/>
        </w:numPr>
        <w:spacing w:line="240" w:lineRule="auto"/>
        <w:jc w:val="both"/>
      </w:pPr>
      <w:r>
        <w:rPr>
          <w:rFonts w:ascii="Times New Roman" w:hAnsi="Times New Roman" w:cs="Times New Roman"/>
          <w:b/>
          <w:sz w:val="24"/>
        </w:rPr>
        <w:lastRenderedPageBreak/>
        <w:t>Ostali prihodi</w:t>
      </w:r>
      <w:r>
        <w:rPr>
          <w:rFonts w:ascii="Times New Roman" w:hAnsi="Times New Roman" w:cs="Times New Roman"/>
          <w:sz w:val="24"/>
        </w:rPr>
        <w:t xml:space="preserve"> - ostvareni su u iznosu od 275.057,04 eura, a odnose se na prihode od parničnih troškova (184.926,13 eura), prihode po sklopljenim nagodbama i sporazumima te prihode iz predstečaja (8.751,44 eura), prihode od režijskih troškova koji se u najvećoj mjeri odnose na refundaciju troškova sukladno Sporazumu o raspodjeli i načinu plaćanja troškova nekretnine u Zagrebu, Ivana Lučića 6-8 od 25.07.2017. godine (44.561,89 eura), prihode od nadoknade troškova od upravljanja dionicama i poslovnim udjelima (33.497,27 eura) te na ostale prihode (3.320,31 eura).</w:t>
      </w:r>
      <w:bookmarkStart w:id="0" w:name="_GoBack"/>
      <w:bookmarkEnd w:id="0"/>
    </w:p>
    <w:p w:rsidR="00242418" w:rsidRDefault="00222DEA">
      <w:pPr>
        <w:spacing w:line="240" w:lineRule="auto"/>
        <w:jc w:val="both"/>
      </w:pPr>
      <w:r>
        <w:rPr>
          <w:rFonts w:ascii="Times New Roman" w:hAnsi="Times New Roman" w:cs="Times New Roman"/>
          <w:b/>
          <w:sz w:val="24"/>
        </w:rPr>
        <w:t>PRIHODI OD PRODAJE NEFINANCIJSKE IMOVINE</w:t>
      </w:r>
    </w:p>
    <w:p w:rsidR="00242418" w:rsidRDefault="00222DEA">
      <w:pPr>
        <w:spacing w:line="240" w:lineRule="auto"/>
        <w:jc w:val="both"/>
      </w:pPr>
      <w:r>
        <w:rPr>
          <w:rFonts w:ascii="Times New Roman" w:hAnsi="Times New Roman" w:cs="Times New Roman"/>
          <w:sz w:val="24"/>
        </w:rPr>
        <w:t>Centar je za 2024. godinu planirao prihode od prodaje nefinancijske imovine u iznosu od 55.000,00 eura, a za izvještajno razdoblje od siječnja do kraja lipnja 2024. godine isti su ostvareni u iznosu od 27.799,61 eura ili 50,54% plana i odnose se na prihode od prodanih zemljišta u vlasništvu Centra (21.476,00 eura) te na prihode od stanova na kojima postoji stanarsko pravo po kojima su potraživanja prenesena na pravne prednike Centra temeljem rješenja trgovačkih sudova (6.323,61 eura). </w:t>
      </w:r>
    </w:p>
    <w:p w:rsidR="00242418" w:rsidRDefault="00222DEA">
      <w:pPr>
        <w:spacing w:line="360" w:lineRule="auto"/>
      </w:pPr>
      <w:r>
        <w:rPr>
          <w:rFonts w:ascii="Times New Roman" w:hAnsi="Times New Roman" w:cs="Times New Roman"/>
          <w:b/>
          <w:sz w:val="24"/>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2718"/>
        <w:gridCol w:w="1553"/>
        <w:gridCol w:w="1553"/>
        <w:gridCol w:w="1552"/>
        <w:gridCol w:w="971"/>
        <w:gridCol w:w="971"/>
      </w:tblGrid>
      <w:tr w:rsidR="00242418">
        <w:tc>
          <w:tcPr>
            <w:tcW w:w="1400" w:type="pct"/>
            <w:shd w:val="clear" w:color="auto" w:fill="BCDFFB"/>
            <w:vAlign w:val="center"/>
          </w:tcPr>
          <w:p w:rsidR="00242418" w:rsidRDefault="00222DEA">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242418" w:rsidRDefault="00222DEA">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2023.</w:t>
            </w:r>
          </w:p>
        </w:tc>
        <w:tc>
          <w:tcPr>
            <w:tcW w:w="800" w:type="pct"/>
            <w:shd w:val="clear" w:color="auto" w:fill="BCDFFB"/>
            <w:vAlign w:val="center"/>
          </w:tcPr>
          <w:p w:rsidR="00242418" w:rsidRDefault="00222DEA">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2024.</w:t>
            </w:r>
          </w:p>
        </w:tc>
        <w:tc>
          <w:tcPr>
            <w:tcW w:w="800" w:type="pct"/>
            <w:shd w:val="clear" w:color="auto" w:fill="BCDFFB"/>
            <w:vAlign w:val="center"/>
          </w:tcPr>
          <w:p w:rsidR="00242418" w:rsidRDefault="00222DEA">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2024.</w:t>
            </w:r>
          </w:p>
        </w:tc>
        <w:tc>
          <w:tcPr>
            <w:tcW w:w="500" w:type="pct"/>
            <w:shd w:val="clear" w:color="auto" w:fill="BCDFFB"/>
            <w:vAlign w:val="center"/>
          </w:tcPr>
          <w:p w:rsidR="00242418" w:rsidRDefault="00222DEA">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242418" w:rsidRDefault="00222DEA">
            <w:pPr>
              <w:spacing w:after="0" w:line="240" w:lineRule="auto"/>
              <w:jc w:val="center"/>
            </w:pPr>
            <w:r>
              <w:rPr>
                <w:rFonts w:ascii="Times New Roman" w:hAnsi="Times New Roman" w:cs="Times New Roman"/>
                <w:b/>
                <w:sz w:val="18"/>
              </w:rPr>
              <w:t>INDEKS</w:t>
            </w:r>
          </w:p>
        </w:tc>
      </w:tr>
      <w:tr w:rsidR="00242418">
        <w:tc>
          <w:tcPr>
            <w:tcW w:w="1400" w:type="pct"/>
            <w:shd w:val="clear" w:color="auto" w:fill="BCDFFB"/>
            <w:vAlign w:val="center"/>
          </w:tcPr>
          <w:p w:rsidR="00242418" w:rsidRDefault="00222DEA">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242418" w:rsidRDefault="00222DEA">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242418" w:rsidRDefault="00222DEA">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242418" w:rsidRDefault="00222DEA">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242418" w:rsidRDefault="00222DEA">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242418" w:rsidRDefault="00222DEA">
            <w:pPr>
              <w:spacing w:after="0" w:line="240" w:lineRule="auto"/>
              <w:jc w:val="center"/>
            </w:pPr>
            <w:r>
              <w:rPr>
                <w:rFonts w:ascii="Times New Roman" w:hAnsi="Times New Roman" w:cs="Times New Roman"/>
                <w:sz w:val="14"/>
              </w:rPr>
              <w:t>6=4/3</w:t>
            </w:r>
          </w:p>
        </w:tc>
      </w:tr>
      <w:tr w:rsidR="00242418">
        <w:tc>
          <w:tcPr>
            <w:tcW w:w="1400" w:type="pct"/>
            <w:vAlign w:val="center"/>
          </w:tcPr>
          <w:p w:rsidR="00242418" w:rsidRDefault="00222DEA">
            <w:pPr>
              <w:spacing w:after="0" w:line="240" w:lineRule="auto"/>
            </w:pPr>
            <w:r>
              <w:rPr>
                <w:rFonts w:ascii="Times New Roman" w:hAnsi="Times New Roman" w:cs="Times New Roman"/>
                <w:sz w:val="18"/>
              </w:rPr>
              <w:t>3 RASHODI POSLOVANJA</w:t>
            </w:r>
          </w:p>
        </w:tc>
        <w:tc>
          <w:tcPr>
            <w:tcW w:w="800" w:type="pct"/>
            <w:vAlign w:val="bottom"/>
          </w:tcPr>
          <w:p w:rsidR="00242418" w:rsidRDefault="00222DEA">
            <w:pPr>
              <w:spacing w:after="0" w:line="240" w:lineRule="auto"/>
              <w:jc w:val="right"/>
            </w:pPr>
            <w:r>
              <w:rPr>
                <w:rFonts w:ascii="Times New Roman" w:hAnsi="Times New Roman" w:cs="Times New Roman"/>
                <w:sz w:val="18"/>
              </w:rPr>
              <w:t>1.998.937</w:t>
            </w:r>
          </w:p>
        </w:tc>
        <w:tc>
          <w:tcPr>
            <w:tcW w:w="800" w:type="pct"/>
            <w:vAlign w:val="bottom"/>
          </w:tcPr>
          <w:p w:rsidR="00242418" w:rsidRDefault="00222DEA">
            <w:pPr>
              <w:spacing w:after="0" w:line="240" w:lineRule="auto"/>
              <w:jc w:val="right"/>
            </w:pPr>
            <w:r>
              <w:rPr>
                <w:rFonts w:ascii="Times New Roman" w:hAnsi="Times New Roman" w:cs="Times New Roman"/>
                <w:sz w:val="18"/>
              </w:rPr>
              <w:t>7.752.000</w:t>
            </w:r>
          </w:p>
        </w:tc>
        <w:tc>
          <w:tcPr>
            <w:tcW w:w="800" w:type="pct"/>
            <w:vAlign w:val="bottom"/>
          </w:tcPr>
          <w:p w:rsidR="00242418" w:rsidRDefault="00222DEA">
            <w:pPr>
              <w:spacing w:after="0" w:line="240" w:lineRule="auto"/>
              <w:jc w:val="right"/>
            </w:pPr>
            <w:r>
              <w:rPr>
                <w:rFonts w:ascii="Times New Roman" w:hAnsi="Times New Roman" w:cs="Times New Roman"/>
                <w:sz w:val="18"/>
              </w:rPr>
              <w:t>4.839.907</w:t>
            </w:r>
          </w:p>
        </w:tc>
        <w:tc>
          <w:tcPr>
            <w:tcW w:w="500" w:type="pct"/>
            <w:vAlign w:val="bottom"/>
          </w:tcPr>
          <w:p w:rsidR="00242418" w:rsidRDefault="00222DEA">
            <w:pPr>
              <w:spacing w:after="0" w:line="240" w:lineRule="auto"/>
              <w:jc w:val="right"/>
            </w:pPr>
            <w:r>
              <w:rPr>
                <w:rFonts w:ascii="Times New Roman" w:hAnsi="Times New Roman" w:cs="Times New Roman"/>
                <w:sz w:val="18"/>
              </w:rPr>
              <w:t>242,1</w:t>
            </w:r>
          </w:p>
        </w:tc>
        <w:tc>
          <w:tcPr>
            <w:tcW w:w="500" w:type="pct"/>
            <w:vAlign w:val="bottom"/>
          </w:tcPr>
          <w:p w:rsidR="00242418" w:rsidRDefault="00222DEA">
            <w:pPr>
              <w:spacing w:after="0" w:line="240" w:lineRule="auto"/>
              <w:jc w:val="right"/>
            </w:pPr>
            <w:r>
              <w:rPr>
                <w:rFonts w:ascii="Times New Roman" w:hAnsi="Times New Roman" w:cs="Times New Roman"/>
                <w:sz w:val="18"/>
              </w:rPr>
              <w:t>62,4</w:t>
            </w:r>
          </w:p>
        </w:tc>
      </w:tr>
      <w:tr w:rsidR="00242418">
        <w:tc>
          <w:tcPr>
            <w:tcW w:w="1400" w:type="pct"/>
            <w:vAlign w:val="bottom"/>
          </w:tcPr>
          <w:p w:rsidR="00242418" w:rsidRDefault="00222DEA">
            <w:pPr>
              <w:spacing w:after="0" w:line="240" w:lineRule="auto"/>
            </w:pPr>
            <w:r>
              <w:rPr>
                <w:rFonts w:ascii="Times New Roman" w:hAnsi="Times New Roman" w:cs="Times New Roman"/>
                <w:sz w:val="18"/>
              </w:rPr>
              <w:t>4 RASHODI ZA NABAVU NEFINANCIJSKE IMOVINE</w:t>
            </w:r>
          </w:p>
        </w:tc>
        <w:tc>
          <w:tcPr>
            <w:tcW w:w="800" w:type="pct"/>
            <w:vAlign w:val="bottom"/>
          </w:tcPr>
          <w:p w:rsidR="00242418" w:rsidRDefault="00222DEA">
            <w:pPr>
              <w:spacing w:after="0" w:line="240" w:lineRule="auto"/>
              <w:jc w:val="right"/>
            </w:pPr>
            <w:r>
              <w:rPr>
                <w:rFonts w:ascii="Times New Roman" w:hAnsi="Times New Roman" w:cs="Times New Roman"/>
                <w:sz w:val="18"/>
              </w:rPr>
              <w:t>49.485</w:t>
            </w:r>
          </w:p>
        </w:tc>
        <w:tc>
          <w:tcPr>
            <w:tcW w:w="800" w:type="pct"/>
            <w:vAlign w:val="bottom"/>
          </w:tcPr>
          <w:p w:rsidR="00242418" w:rsidRDefault="00222DEA">
            <w:pPr>
              <w:spacing w:after="0" w:line="240" w:lineRule="auto"/>
              <w:jc w:val="right"/>
            </w:pPr>
            <w:r>
              <w:rPr>
                <w:rFonts w:ascii="Times New Roman" w:hAnsi="Times New Roman" w:cs="Times New Roman"/>
                <w:sz w:val="18"/>
              </w:rPr>
              <w:t>216.000</w:t>
            </w:r>
          </w:p>
        </w:tc>
        <w:tc>
          <w:tcPr>
            <w:tcW w:w="800" w:type="pct"/>
            <w:vAlign w:val="bottom"/>
          </w:tcPr>
          <w:p w:rsidR="00242418" w:rsidRDefault="00222DEA">
            <w:pPr>
              <w:spacing w:after="0" w:line="240" w:lineRule="auto"/>
              <w:jc w:val="right"/>
            </w:pPr>
            <w:r>
              <w:rPr>
                <w:rFonts w:ascii="Times New Roman" w:hAnsi="Times New Roman" w:cs="Times New Roman"/>
                <w:sz w:val="18"/>
              </w:rPr>
              <w:t>6.513</w:t>
            </w:r>
          </w:p>
        </w:tc>
        <w:tc>
          <w:tcPr>
            <w:tcW w:w="500" w:type="pct"/>
            <w:vAlign w:val="bottom"/>
          </w:tcPr>
          <w:p w:rsidR="00242418" w:rsidRDefault="00222DEA">
            <w:pPr>
              <w:spacing w:after="0" w:line="240" w:lineRule="auto"/>
              <w:jc w:val="right"/>
            </w:pPr>
            <w:r>
              <w:rPr>
                <w:rFonts w:ascii="Times New Roman" w:hAnsi="Times New Roman" w:cs="Times New Roman"/>
                <w:sz w:val="18"/>
              </w:rPr>
              <w:t>13,2</w:t>
            </w:r>
          </w:p>
        </w:tc>
        <w:tc>
          <w:tcPr>
            <w:tcW w:w="500" w:type="pct"/>
            <w:vAlign w:val="bottom"/>
          </w:tcPr>
          <w:p w:rsidR="00242418" w:rsidRDefault="00222DEA">
            <w:pPr>
              <w:spacing w:after="0" w:line="240" w:lineRule="auto"/>
              <w:jc w:val="right"/>
            </w:pPr>
            <w:r>
              <w:rPr>
                <w:rFonts w:ascii="Times New Roman" w:hAnsi="Times New Roman" w:cs="Times New Roman"/>
                <w:sz w:val="18"/>
              </w:rPr>
              <w:t>3,0</w:t>
            </w:r>
          </w:p>
        </w:tc>
      </w:tr>
      <w:tr w:rsidR="00242418">
        <w:tc>
          <w:tcPr>
            <w:tcW w:w="1400" w:type="pct"/>
            <w:vAlign w:val="bottom"/>
          </w:tcPr>
          <w:p w:rsidR="00242418" w:rsidRDefault="00222DEA">
            <w:pPr>
              <w:spacing w:after="0" w:line="240" w:lineRule="auto"/>
            </w:pPr>
            <w:r>
              <w:rPr>
                <w:rFonts w:ascii="Times New Roman" w:hAnsi="Times New Roman" w:cs="Times New Roman"/>
                <w:b/>
                <w:sz w:val="18"/>
              </w:rPr>
              <w:t>UKUPNI RASHODI</w:t>
            </w:r>
          </w:p>
        </w:tc>
        <w:tc>
          <w:tcPr>
            <w:tcW w:w="800" w:type="pct"/>
            <w:vAlign w:val="bottom"/>
          </w:tcPr>
          <w:p w:rsidR="00242418" w:rsidRDefault="00222DEA">
            <w:pPr>
              <w:spacing w:after="0" w:line="240" w:lineRule="auto"/>
              <w:jc w:val="right"/>
            </w:pPr>
            <w:r>
              <w:rPr>
                <w:rFonts w:ascii="Times New Roman" w:hAnsi="Times New Roman" w:cs="Times New Roman"/>
                <w:b/>
                <w:sz w:val="18"/>
              </w:rPr>
              <w:t>2.048.422</w:t>
            </w:r>
          </w:p>
        </w:tc>
        <w:tc>
          <w:tcPr>
            <w:tcW w:w="800" w:type="pct"/>
            <w:vAlign w:val="bottom"/>
          </w:tcPr>
          <w:p w:rsidR="00242418" w:rsidRDefault="00222DEA">
            <w:pPr>
              <w:spacing w:after="0" w:line="240" w:lineRule="auto"/>
              <w:jc w:val="right"/>
            </w:pPr>
            <w:r>
              <w:rPr>
                <w:rFonts w:ascii="Times New Roman" w:hAnsi="Times New Roman" w:cs="Times New Roman"/>
                <w:b/>
                <w:sz w:val="18"/>
              </w:rPr>
              <w:t>7.968.000</w:t>
            </w:r>
          </w:p>
        </w:tc>
        <w:tc>
          <w:tcPr>
            <w:tcW w:w="800" w:type="pct"/>
            <w:vAlign w:val="bottom"/>
          </w:tcPr>
          <w:p w:rsidR="00242418" w:rsidRDefault="00222DEA">
            <w:pPr>
              <w:spacing w:after="0" w:line="240" w:lineRule="auto"/>
              <w:jc w:val="right"/>
            </w:pPr>
            <w:r>
              <w:rPr>
                <w:rFonts w:ascii="Times New Roman" w:hAnsi="Times New Roman" w:cs="Times New Roman"/>
                <w:b/>
                <w:sz w:val="18"/>
              </w:rPr>
              <w:t>4.846.420</w:t>
            </w:r>
          </w:p>
        </w:tc>
        <w:tc>
          <w:tcPr>
            <w:tcW w:w="500" w:type="pct"/>
            <w:vAlign w:val="bottom"/>
          </w:tcPr>
          <w:p w:rsidR="00242418" w:rsidRDefault="00222DEA">
            <w:pPr>
              <w:spacing w:after="0" w:line="240" w:lineRule="auto"/>
              <w:jc w:val="right"/>
            </w:pPr>
            <w:r>
              <w:rPr>
                <w:rFonts w:ascii="Times New Roman" w:hAnsi="Times New Roman" w:cs="Times New Roman"/>
                <w:b/>
                <w:sz w:val="18"/>
              </w:rPr>
              <w:t>236,6</w:t>
            </w:r>
          </w:p>
        </w:tc>
        <w:tc>
          <w:tcPr>
            <w:tcW w:w="500" w:type="pct"/>
            <w:vAlign w:val="bottom"/>
          </w:tcPr>
          <w:p w:rsidR="00242418" w:rsidRDefault="00222DEA">
            <w:pPr>
              <w:spacing w:after="0" w:line="240" w:lineRule="auto"/>
              <w:jc w:val="right"/>
            </w:pPr>
            <w:r>
              <w:rPr>
                <w:rFonts w:ascii="Times New Roman" w:hAnsi="Times New Roman" w:cs="Times New Roman"/>
                <w:b/>
                <w:sz w:val="18"/>
              </w:rPr>
              <w:t>60,8</w:t>
            </w:r>
          </w:p>
        </w:tc>
      </w:tr>
    </w:tbl>
    <w:p w:rsidR="00242418" w:rsidRDefault="00242418">
      <w:pPr>
        <w:spacing w:after="0" w:line="240" w:lineRule="auto"/>
      </w:pPr>
    </w:p>
    <w:p w:rsidR="00242418" w:rsidRDefault="00222DEA">
      <w:pPr>
        <w:spacing w:line="240" w:lineRule="auto"/>
        <w:jc w:val="both"/>
      </w:pPr>
      <w:r>
        <w:rPr>
          <w:rFonts w:ascii="Times New Roman" w:hAnsi="Times New Roman" w:cs="Times New Roman"/>
          <w:b/>
          <w:sz w:val="24"/>
        </w:rPr>
        <w:t>RASHODI POSLOVANJA</w:t>
      </w:r>
    </w:p>
    <w:p w:rsidR="00242418" w:rsidRDefault="00222DEA">
      <w:pPr>
        <w:spacing w:line="240" w:lineRule="auto"/>
        <w:jc w:val="both"/>
      </w:pPr>
      <w:r>
        <w:rPr>
          <w:rFonts w:ascii="Times New Roman" w:hAnsi="Times New Roman" w:cs="Times New Roman"/>
          <w:sz w:val="24"/>
        </w:rPr>
        <w:t>Centar je za 2024. godinu planirao rashode poslovanja u iznosu od 7.752.000,00 eura, a za izvještajno razdoblje od siječnja do kraja lipnja 2024. godine isti su ostvareni u iznosu od 4.839.906,68 eura ili 62,43% plana i odnose se na:</w:t>
      </w:r>
    </w:p>
    <w:p w:rsidR="00242418" w:rsidRDefault="00222DEA">
      <w:pPr>
        <w:numPr>
          <w:ilvl w:val="0"/>
          <w:numId w:val="2"/>
        </w:numPr>
        <w:spacing w:line="240" w:lineRule="auto"/>
        <w:jc w:val="both"/>
      </w:pPr>
      <w:r>
        <w:rPr>
          <w:rFonts w:ascii="Times New Roman" w:hAnsi="Times New Roman" w:cs="Times New Roman"/>
          <w:b/>
          <w:sz w:val="24"/>
        </w:rPr>
        <w:t>Rashodi za zaposlene</w:t>
      </w:r>
      <w:r>
        <w:rPr>
          <w:rFonts w:ascii="Times New Roman" w:hAnsi="Times New Roman" w:cs="Times New Roman"/>
          <w:sz w:val="24"/>
        </w:rPr>
        <w:t xml:space="preserve"> - ostvareni su u iznosu od 1.176.153,83 eura, a odnose se na bruto plaće i doprinose te na isplate jubilarnih nagrada, pomoći i slično;</w:t>
      </w:r>
    </w:p>
    <w:p w:rsidR="00242418" w:rsidRDefault="00222DEA">
      <w:pPr>
        <w:numPr>
          <w:ilvl w:val="0"/>
          <w:numId w:val="2"/>
        </w:numPr>
        <w:spacing w:line="240" w:lineRule="auto"/>
        <w:jc w:val="both"/>
      </w:pPr>
      <w:r>
        <w:rPr>
          <w:rFonts w:ascii="Times New Roman" w:hAnsi="Times New Roman" w:cs="Times New Roman"/>
          <w:b/>
          <w:sz w:val="24"/>
        </w:rPr>
        <w:t>Materijalni rashodi</w:t>
      </w:r>
      <w:r>
        <w:rPr>
          <w:rFonts w:ascii="Times New Roman" w:hAnsi="Times New Roman" w:cs="Times New Roman"/>
          <w:sz w:val="24"/>
        </w:rPr>
        <w:t xml:space="preserve"> - ostvareni su u iznosu od 1.884.231,48 eura, a odnose se na naknade troškova zaposlenima u iznosu od 43.396,97 eura, rashode za materijal i energiju u iznosu od 89.434,59 eura, rashode za usluge u iznosu od 359.645,92 eura te na ostale nespomenute rashode poslovanja u iznosu od 1.391.754,00 eura (od toga troškovi sudskih postupaka iznose 1.375.282,81 eura);</w:t>
      </w:r>
    </w:p>
    <w:p w:rsidR="00242418" w:rsidRDefault="00222DEA">
      <w:pPr>
        <w:numPr>
          <w:ilvl w:val="0"/>
          <w:numId w:val="2"/>
        </w:numPr>
        <w:spacing w:line="240" w:lineRule="auto"/>
        <w:jc w:val="both"/>
      </w:pPr>
      <w:r>
        <w:rPr>
          <w:rFonts w:ascii="Times New Roman" w:hAnsi="Times New Roman" w:cs="Times New Roman"/>
          <w:b/>
          <w:sz w:val="24"/>
        </w:rPr>
        <w:t>Financijski rashodi</w:t>
      </w:r>
      <w:r>
        <w:rPr>
          <w:rFonts w:ascii="Times New Roman" w:hAnsi="Times New Roman" w:cs="Times New Roman"/>
          <w:sz w:val="24"/>
        </w:rPr>
        <w:t xml:space="preserve"> - ostvareni su u iznosu od 1.119.893,78 eura, a odnose se na bankarske usluge i usluge platnog prometa u iznosu od 8.132,09 eura te na zatezne kamate po pravomoćnim sudskim presudama u iznosu od 1.111.761,69 eura;</w:t>
      </w:r>
    </w:p>
    <w:p w:rsidR="00242418" w:rsidRDefault="00222DEA">
      <w:pPr>
        <w:numPr>
          <w:ilvl w:val="0"/>
          <w:numId w:val="2"/>
        </w:numPr>
        <w:spacing w:line="240" w:lineRule="auto"/>
        <w:jc w:val="both"/>
      </w:pPr>
      <w:r>
        <w:rPr>
          <w:rFonts w:ascii="Times New Roman" w:hAnsi="Times New Roman" w:cs="Times New Roman"/>
          <w:b/>
          <w:sz w:val="24"/>
        </w:rPr>
        <w:t xml:space="preserve">Ostale naknade građanima i kućanstvima iz proračuna </w:t>
      </w:r>
      <w:r>
        <w:rPr>
          <w:rFonts w:ascii="Times New Roman" w:hAnsi="Times New Roman" w:cs="Times New Roman"/>
          <w:sz w:val="24"/>
        </w:rPr>
        <w:t>- ostvarene su u iznosu od</w:t>
      </w:r>
      <w:r>
        <w:rPr>
          <w:rFonts w:ascii="Times New Roman" w:hAnsi="Times New Roman" w:cs="Times New Roman"/>
          <w:b/>
          <w:sz w:val="24"/>
        </w:rPr>
        <w:t xml:space="preserve"> </w:t>
      </w:r>
      <w:r>
        <w:rPr>
          <w:rFonts w:ascii="Times New Roman" w:hAnsi="Times New Roman" w:cs="Times New Roman"/>
          <w:sz w:val="24"/>
        </w:rPr>
        <w:t xml:space="preserve">659.627,59 eura, a odnose se na podmirenje tražbina radnika društva DALMACIJAVINO d.d. „u stečaju“, Split, sukladno Odluci Vlade Republike Hrvatske o sklapanju Ugovora o ustupu tražbina radnika društva DALMACIJAVINO d.d. „u stečaju“ kao stečajnih </w:t>
      </w:r>
      <w:r>
        <w:rPr>
          <w:rFonts w:ascii="Times New Roman" w:hAnsi="Times New Roman" w:cs="Times New Roman"/>
          <w:sz w:val="24"/>
        </w:rPr>
        <w:lastRenderedPageBreak/>
        <w:t>vjerovnika prvog višeg isplatnog reda prema stečajnom dužniku DALMACIJAVINO d.d. „u stečaju“ od 30. studenog 2023. godine.</w:t>
      </w:r>
    </w:p>
    <w:p w:rsidR="00242418" w:rsidRDefault="00222DEA">
      <w:pPr>
        <w:spacing w:line="240" w:lineRule="auto"/>
        <w:jc w:val="both"/>
      </w:pPr>
      <w:r>
        <w:rPr>
          <w:rFonts w:ascii="Times New Roman" w:hAnsi="Times New Roman" w:cs="Times New Roman"/>
          <w:sz w:val="24"/>
        </w:rPr>
        <w:t>Rashodi poslovanja ostvareni u izvještajnom razdoblju od siječnja do kraja lipnja 2024. godine znatno su veći od rashoda poslovanja koji su ostvareni u istom izvještajnom razdoblju 2023. godine iz razloga što je Centar u 2024. godini imao znatno veće troškove sudskih postupaka te znatno veće rashode za zatezne kamate iz okončanih sudskih postupaka.</w:t>
      </w:r>
    </w:p>
    <w:p w:rsidR="00242418" w:rsidRDefault="00222DEA">
      <w:pPr>
        <w:spacing w:line="240" w:lineRule="auto"/>
        <w:jc w:val="both"/>
      </w:pPr>
      <w:r>
        <w:rPr>
          <w:rFonts w:ascii="Times New Roman" w:hAnsi="Times New Roman" w:cs="Times New Roman"/>
          <w:b/>
          <w:sz w:val="24"/>
        </w:rPr>
        <w:t>RASHODI ZA NABAVU NEFINANCIJSKE IMOVINE</w:t>
      </w:r>
    </w:p>
    <w:p w:rsidR="00242418" w:rsidRDefault="00222DEA">
      <w:pPr>
        <w:spacing w:line="240" w:lineRule="auto"/>
        <w:jc w:val="both"/>
      </w:pPr>
      <w:r>
        <w:rPr>
          <w:rFonts w:ascii="Times New Roman" w:hAnsi="Times New Roman" w:cs="Times New Roman"/>
          <w:sz w:val="24"/>
        </w:rPr>
        <w:t>Centar je za 2024. godinu planirao rashode za nabavu nefinancijske imovine u iznosu 216.000,00 eura, a u izvještajnom razdoblju od siječnja do kraja lipnja 2024. godine isti su ostvareni u iznosu od 6.513,15 eura ili 3,02% plana i odnose se na nabavu uredske opreme i namještaja u iznosu od 3.869,40 eura te na nabavu komunikacijske opreme u iznosu od 2.643,75 eura.</w:t>
      </w:r>
    </w:p>
    <w:p w:rsidR="00242418" w:rsidRDefault="00222DEA">
      <w:pPr>
        <w:spacing w:line="360" w:lineRule="auto"/>
      </w:pPr>
      <w:r>
        <w:rPr>
          <w:rFonts w:ascii="Times New Roman" w:hAnsi="Times New Roman" w:cs="Times New Roman"/>
          <w:b/>
          <w:sz w:val="24"/>
          <w:u w:val="single"/>
        </w:rPr>
        <w:br/>
        <w:t>RAČUN FINANCIRANJA</w:t>
      </w:r>
    </w:p>
    <w:p w:rsidR="00242418" w:rsidRDefault="00222DEA">
      <w:pPr>
        <w:spacing w:line="360" w:lineRule="auto"/>
      </w:pPr>
      <w:r>
        <w:rPr>
          <w:rFonts w:ascii="Times New Roman" w:hAnsi="Times New Roman" w:cs="Times New Roman"/>
          <w:b/>
          <w:sz w:val="24"/>
          <w:u w:val="single"/>
        </w:rPr>
        <w:t>Račun prihoda i rashoda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658"/>
        <w:gridCol w:w="1864"/>
        <w:gridCol w:w="1864"/>
        <w:gridCol w:w="932"/>
      </w:tblGrid>
      <w:tr w:rsidR="00242418">
        <w:tc>
          <w:tcPr>
            <w:tcW w:w="2500" w:type="pct"/>
            <w:shd w:val="clear" w:color="auto" w:fill="BCDFFB"/>
            <w:vAlign w:val="center"/>
          </w:tcPr>
          <w:p w:rsidR="00242418" w:rsidRDefault="00222DEA">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242418" w:rsidRDefault="00222DEA">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2024.</w:t>
            </w:r>
          </w:p>
        </w:tc>
        <w:tc>
          <w:tcPr>
            <w:tcW w:w="1000" w:type="pct"/>
            <w:shd w:val="clear" w:color="auto" w:fill="BCDFFB"/>
            <w:vAlign w:val="center"/>
          </w:tcPr>
          <w:p w:rsidR="00242418" w:rsidRDefault="00222DEA">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2024.</w:t>
            </w:r>
          </w:p>
        </w:tc>
        <w:tc>
          <w:tcPr>
            <w:tcW w:w="800" w:type="pct"/>
            <w:shd w:val="clear" w:color="auto" w:fill="BCDFFB"/>
            <w:vAlign w:val="center"/>
          </w:tcPr>
          <w:p w:rsidR="00242418" w:rsidRDefault="00222DEA">
            <w:pPr>
              <w:spacing w:after="0" w:line="240" w:lineRule="auto"/>
              <w:jc w:val="center"/>
            </w:pPr>
            <w:r>
              <w:rPr>
                <w:rFonts w:ascii="Times New Roman" w:hAnsi="Times New Roman" w:cs="Times New Roman"/>
                <w:b/>
                <w:sz w:val="18"/>
              </w:rPr>
              <w:t>INDEKS</w:t>
            </w:r>
          </w:p>
        </w:tc>
      </w:tr>
      <w:tr w:rsidR="00242418">
        <w:tc>
          <w:tcPr>
            <w:tcW w:w="2500" w:type="pct"/>
            <w:shd w:val="clear" w:color="auto" w:fill="BCDFFB"/>
            <w:vAlign w:val="center"/>
          </w:tcPr>
          <w:p w:rsidR="00242418" w:rsidRDefault="00222DEA">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242418" w:rsidRDefault="00222DEA">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242418" w:rsidRDefault="00222DEA">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242418" w:rsidRDefault="00222DEA">
            <w:pPr>
              <w:spacing w:after="0" w:line="240" w:lineRule="auto"/>
              <w:jc w:val="center"/>
            </w:pPr>
            <w:r>
              <w:rPr>
                <w:rFonts w:ascii="Times New Roman" w:hAnsi="Times New Roman" w:cs="Times New Roman"/>
                <w:sz w:val="14"/>
              </w:rPr>
              <w:t>4=3/2</w:t>
            </w:r>
          </w:p>
        </w:tc>
      </w:tr>
      <w:tr w:rsidR="00242418">
        <w:tc>
          <w:tcPr>
            <w:tcW w:w="2500" w:type="pct"/>
            <w:vAlign w:val="center"/>
          </w:tcPr>
          <w:p w:rsidR="00242418" w:rsidRDefault="00222DEA">
            <w:pPr>
              <w:spacing w:after="0" w:line="240" w:lineRule="auto"/>
            </w:pPr>
            <w:r>
              <w:rPr>
                <w:rFonts w:ascii="Times New Roman" w:hAnsi="Times New Roman" w:cs="Times New Roman"/>
                <w:sz w:val="18"/>
              </w:rPr>
              <w:t>UKUPNI PRIHODI</w:t>
            </w:r>
          </w:p>
        </w:tc>
        <w:tc>
          <w:tcPr>
            <w:tcW w:w="1000" w:type="pct"/>
            <w:vAlign w:val="bottom"/>
          </w:tcPr>
          <w:p w:rsidR="00242418" w:rsidRDefault="00222DEA">
            <w:pPr>
              <w:spacing w:after="0" w:line="240" w:lineRule="auto"/>
              <w:jc w:val="right"/>
            </w:pPr>
            <w:r>
              <w:rPr>
                <w:rFonts w:ascii="Times New Roman" w:hAnsi="Times New Roman" w:cs="Times New Roman"/>
                <w:sz w:val="18"/>
              </w:rPr>
              <w:t>4.569.000</w:t>
            </w:r>
          </w:p>
        </w:tc>
        <w:tc>
          <w:tcPr>
            <w:tcW w:w="1000" w:type="pct"/>
            <w:vAlign w:val="bottom"/>
          </w:tcPr>
          <w:p w:rsidR="00242418" w:rsidRDefault="00222DEA">
            <w:pPr>
              <w:spacing w:after="0" w:line="240" w:lineRule="auto"/>
              <w:jc w:val="right"/>
            </w:pPr>
            <w:r>
              <w:rPr>
                <w:rFonts w:ascii="Times New Roman" w:hAnsi="Times New Roman" w:cs="Times New Roman"/>
                <w:sz w:val="18"/>
              </w:rPr>
              <w:t>3.594.250</w:t>
            </w:r>
          </w:p>
        </w:tc>
        <w:tc>
          <w:tcPr>
            <w:tcW w:w="800" w:type="pct"/>
            <w:vAlign w:val="bottom"/>
          </w:tcPr>
          <w:p w:rsidR="00242418" w:rsidRDefault="00222DEA">
            <w:pPr>
              <w:spacing w:after="0" w:line="240" w:lineRule="auto"/>
              <w:jc w:val="right"/>
            </w:pPr>
            <w:r>
              <w:rPr>
                <w:rFonts w:ascii="Times New Roman" w:hAnsi="Times New Roman" w:cs="Times New Roman"/>
                <w:sz w:val="18"/>
              </w:rPr>
              <w:t>78,7</w:t>
            </w:r>
          </w:p>
        </w:tc>
      </w:tr>
      <w:tr w:rsidR="00242418">
        <w:tc>
          <w:tcPr>
            <w:tcW w:w="2500" w:type="pct"/>
            <w:vAlign w:val="bottom"/>
          </w:tcPr>
          <w:p w:rsidR="00242418" w:rsidRDefault="00222DEA">
            <w:pPr>
              <w:spacing w:after="0" w:line="240" w:lineRule="auto"/>
            </w:pPr>
            <w:r>
              <w:rPr>
                <w:rFonts w:ascii="Times New Roman" w:hAnsi="Times New Roman" w:cs="Times New Roman"/>
                <w:sz w:val="18"/>
              </w:rPr>
              <w:t>UKUPNI RASHODI</w:t>
            </w:r>
          </w:p>
        </w:tc>
        <w:tc>
          <w:tcPr>
            <w:tcW w:w="1000" w:type="pct"/>
            <w:vAlign w:val="bottom"/>
          </w:tcPr>
          <w:p w:rsidR="00242418" w:rsidRDefault="00222DEA">
            <w:pPr>
              <w:spacing w:after="0" w:line="240" w:lineRule="auto"/>
              <w:jc w:val="right"/>
            </w:pPr>
            <w:r>
              <w:rPr>
                <w:rFonts w:ascii="Times New Roman" w:hAnsi="Times New Roman" w:cs="Times New Roman"/>
                <w:sz w:val="18"/>
              </w:rPr>
              <w:t>7.968.000</w:t>
            </w:r>
          </w:p>
        </w:tc>
        <w:tc>
          <w:tcPr>
            <w:tcW w:w="1000" w:type="pct"/>
            <w:vAlign w:val="bottom"/>
          </w:tcPr>
          <w:p w:rsidR="00242418" w:rsidRDefault="00222DEA">
            <w:pPr>
              <w:spacing w:after="0" w:line="240" w:lineRule="auto"/>
              <w:jc w:val="right"/>
            </w:pPr>
            <w:r>
              <w:rPr>
                <w:rFonts w:ascii="Times New Roman" w:hAnsi="Times New Roman" w:cs="Times New Roman"/>
                <w:sz w:val="18"/>
              </w:rPr>
              <w:t>4.846.420</w:t>
            </w:r>
          </w:p>
        </w:tc>
        <w:tc>
          <w:tcPr>
            <w:tcW w:w="800" w:type="pct"/>
            <w:vAlign w:val="bottom"/>
          </w:tcPr>
          <w:p w:rsidR="00242418" w:rsidRDefault="00222DEA">
            <w:pPr>
              <w:spacing w:after="0" w:line="240" w:lineRule="auto"/>
              <w:jc w:val="right"/>
            </w:pPr>
            <w:r>
              <w:rPr>
                <w:rFonts w:ascii="Times New Roman" w:hAnsi="Times New Roman" w:cs="Times New Roman"/>
                <w:sz w:val="18"/>
              </w:rPr>
              <w:t>60,8</w:t>
            </w:r>
          </w:p>
        </w:tc>
      </w:tr>
      <w:tr w:rsidR="00242418">
        <w:tc>
          <w:tcPr>
            <w:tcW w:w="2500" w:type="pct"/>
            <w:vAlign w:val="bottom"/>
          </w:tcPr>
          <w:p w:rsidR="00242418" w:rsidRDefault="00222DEA">
            <w:pPr>
              <w:spacing w:after="0" w:line="240" w:lineRule="auto"/>
            </w:pPr>
            <w:r>
              <w:rPr>
                <w:rFonts w:ascii="Times New Roman" w:hAnsi="Times New Roman" w:cs="Times New Roman"/>
                <w:b/>
                <w:sz w:val="18"/>
              </w:rPr>
              <w:t>RAZLIKA - VIŠAK/MANJAK</w:t>
            </w:r>
          </w:p>
        </w:tc>
        <w:tc>
          <w:tcPr>
            <w:tcW w:w="1000" w:type="pct"/>
            <w:vAlign w:val="bottom"/>
          </w:tcPr>
          <w:p w:rsidR="00242418" w:rsidRDefault="00222DEA">
            <w:pPr>
              <w:spacing w:after="0" w:line="240" w:lineRule="auto"/>
              <w:jc w:val="right"/>
            </w:pPr>
            <w:r>
              <w:rPr>
                <w:rFonts w:ascii="Times New Roman" w:hAnsi="Times New Roman" w:cs="Times New Roman"/>
                <w:b/>
                <w:sz w:val="18"/>
              </w:rPr>
              <w:t>-3.399.000</w:t>
            </w:r>
          </w:p>
        </w:tc>
        <w:tc>
          <w:tcPr>
            <w:tcW w:w="800" w:type="pct"/>
            <w:vAlign w:val="bottom"/>
          </w:tcPr>
          <w:p w:rsidR="00242418" w:rsidRDefault="00222DEA">
            <w:pPr>
              <w:spacing w:after="0" w:line="240" w:lineRule="auto"/>
              <w:jc w:val="right"/>
            </w:pPr>
            <w:r>
              <w:rPr>
                <w:rFonts w:ascii="Times New Roman" w:hAnsi="Times New Roman" w:cs="Times New Roman"/>
                <w:b/>
                <w:sz w:val="18"/>
              </w:rPr>
              <w:t>-1.252.170</w:t>
            </w:r>
          </w:p>
        </w:tc>
        <w:tc>
          <w:tcPr>
            <w:tcW w:w="800" w:type="pct"/>
            <w:vAlign w:val="bottom"/>
          </w:tcPr>
          <w:p w:rsidR="00242418" w:rsidRDefault="00222DEA">
            <w:pPr>
              <w:spacing w:after="0" w:line="240" w:lineRule="auto"/>
              <w:jc w:val="right"/>
            </w:pPr>
            <w:r>
              <w:rPr>
                <w:rFonts w:ascii="Times New Roman" w:hAnsi="Times New Roman" w:cs="Times New Roman"/>
                <w:b/>
                <w:sz w:val="18"/>
              </w:rPr>
              <w:t>36,8</w:t>
            </w:r>
          </w:p>
        </w:tc>
      </w:tr>
    </w:tbl>
    <w:p w:rsidR="00242418" w:rsidRDefault="00242418">
      <w:pPr>
        <w:spacing w:after="0" w:line="240" w:lineRule="auto"/>
      </w:pPr>
    </w:p>
    <w:p w:rsidR="00242418" w:rsidRDefault="00222DEA">
      <w:pPr>
        <w:spacing w:line="360" w:lineRule="auto"/>
      </w:pPr>
      <w:r>
        <w:rPr>
          <w:rFonts w:ascii="Times New Roman" w:hAnsi="Times New Roman" w:cs="Times New Roman"/>
          <w:b/>
          <w:sz w:val="24"/>
          <w:u w:val="single"/>
        </w:rP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658"/>
        <w:gridCol w:w="1864"/>
        <w:gridCol w:w="1864"/>
        <w:gridCol w:w="932"/>
      </w:tblGrid>
      <w:tr w:rsidR="00242418">
        <w:tc>
          <w:tcPr>
            <w:tcW w:w="2500" w:type="pct"/>
            <w:shd w:val="clear" w:color="auto" w:fill="BCDFFB"/>
            <w:vAlign w:val="center"/>
          </w:tcPr>
          <w:p w:rsidR="00242418" w:rsidRDefault="00222DEA">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242418" w:rsidRDefault="00222DEA">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2024.</w:t>
            </w:r>
          </w:p>
        </w:tc>
        <w:tc>
          <w:tcPr>
            <w:tcW w:w="1000" w:type="pct"/>
            <w:shd w:val="clear" w:color="auto" w:fill="BCDFFB"/>
            <w:vAlign w:val="center"/>
          </w:tcPr>
          <w:p w:rsidR="00242418" w:rsidRDefault="00222DEA">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2024.</w:t>
            </w:r>
          </w:p>
        </w:tc>
        <w:tc>
          <w:tcPr>
            <w:tcW w:w="800" w:type="pct"/>
            <w:shd w:val="clear" w:color="auto" w:fill="BCDFFB"/>
            <w:vAlign w:val="center"/>
          </w:tcPr>
          <w:p w:rsidR="00242418" w:rsidRDefault="00222DEA">
            <w:pPr>
              <w:spacing w:after="0" w:line="240" w:lineRule="auto"/>
              <w:jc w:val="center"/>
            </w:pPr>
            <w:r>
              <w:rPr>
                <w:rFonts w:ascii="Times New Roman" w:hAnsi="Times New Roman" w:cs="Times New Roman"/>
                <w:b/>
                <w:sz w:val="18"/>
              </w:rPr>
              <w:t>INDEKS</w:t>
            </w:r>
          </w:p>
        </w:tc>
      </w:tr>
      <w:tr w:rsidR="00242418">
        <w:tc>
          <w:tcPr>
            <w:tcW w:w="2500" w:type="pct"/>
            <w:shd w:val="clear" w:color="auto" w:fill="BCDFFB"/>
            <w:vAlign w:val="center"/>
          </w:tcPr>
          <w:p w:rsidR="00242418" w:rsidRDefault="00222DEA">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242418" w:rsidRDefault="00222DEA">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242418" w:rsidRDefault="00222DEA">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242418" w:rsidRDefault="00222DEA">
            <w:pPr>
              <w:spacing w:after="0" w:line="240" w:lineRule="auto"/>
              <w:jc w:val="center"/>
            </w:pPr>
            <w:r>
              <w:rPr>
                <w:rFonts w:ascii="Times New Roman" w:hAnsi="Times New Roman" w:cs="Times New Roman"/>
                <w:sz w:val="14"/>
              </w:rPr>
              <w:t>4=3/2</w:t>
            </w:r>
          </w:p>
        </w:tc>
      </w:tr>
      <w:tr w:rsidR="00242418">
        <w:tc>
          <w:tcPr>
            <w:tcW w:w="2500" w:type="pct"/>
            <w:vAlign w:val="center"/>
          </w:tcPr>
          <w:p w:rsidR="00242418" w:rsidRDefault="00222DEA">
            <w:pPr>
              <w:spacing w:after="0" w:line="240" w:lineRule="auto"/>
            </w:pPr>
            <w:r>
              <w:rPr>
                <w:rFonts w:ascii="Times New Roman" w:hAnsi="Times New Roman" w:cs="Times New Roman"/>
                <w:sz w:val="18"/>
              </w:rPr>
              <w:t>8 PRIMICI OD FINANCIJSKE IMOVINE I ZADUŽIVANJA</w:t>
            </w:r>
          </w:p>
        </w:tc>
        <w:tc>
          <w:tcPr>
            <w:tcW w:w="1000" w:type="pct"/>
            <w:vAlign w:val="bottom"/>
          </w:tcPr>
          <w:p w:rsidR="00242418" w:rsidRDefault="00222DEA">
            <w:pPr>
              <w:spacing w:after="0" w:line="240" w:lineRule="auto"/>
              <w:jc w:val="right"/>
            </w:pPr>
            <w:r>
              <w:rPr>
                <w:rFonts w:ascii="Times New Roman" w:hAnsi="Times New Roman" w:cs="Times New Roman"/>
                <w:sz w:val="18"/>
              </w:rPr>
              <w:t>480.000</w:t>
            </w:r>
          </w:p>
        </w:tc>
        <w:tc>
          <w:tcPr>
            <w:tcW w:w="1000" w:type="pct"/>
            <w:vAlign w:val="bottom"/>
          </w:tcPr>
          <w:p w:rsidR="00242418" w:rsidRDefault="00222DEA">
            <w:pPr>
              <w:spacing w:after="0" w:line="240" w:lineRule="auto"/>
              <w:jc w:val="right"/>
            </w:pPr>
            <w:r>
              <w:rPr>
                <w:rFonts w:ascii="Times New Roman" w:hAnsi="Times New Roman" w:cs="Times New Roman"/>
                <w:sz w:val="18"/>
              </w:rPr>
              <w:t>1.367.958</w:t>
            </w:r>
          </w:p>
        </w:tc>
        <w:tc>
          <w:tcPr>
            <w:tcW w:w="800" w:type="pct"/>
            <w:vAlign w:val="bottom"/>
          </w:tcPr>
          <w:p w:rsidR="00242418" w:rsidRDefault="00222DEA">
            <w:pPr>
              <w:spacing w:after="0" w:line="240" w:lineRule="auto"/>
              <w:jc w:val="right"/>
            </w:pPr>
            <w:r>
              <w:rPr>
                <w:rFonts w:ascii="Times New Roman" w:hAnsi="Times New Roman" w:cs="Times New Roman"/>
                <w:sz w:val="18"/>
              </w:rPr>
              <w:t>285,0</w:t>
            </w:r>
          </w:p>
        </w:tc>
      </w:tr>
      <w:tr w:rsidR="00242418">
        <w:tc>
          <w:tcPr>
            <w:tcW w:w="2500" w:type="pct"/>
            <w:vAlign w:val="bottom"/>
          </w:tcPr>
          <w:p w:rsidR="00242418" w:rsidRDefault="00222DEA">
            <w:pPr>
              <w:spacing w:after="0" w:line="240" w:lineRule="auto"/>
            </w:pPr>
            <w:r>
              <w:rPr>
                <w:rFonts w:ascii="Times New Roman" w:hAnsi="Times New Roman" w:cs="Times New Roman"/>
                <w:sz w:val="18"/>
              </w:rPr>
              <w:t>5 IZDACI ZA FINANCIJSKU IMOVINU I OTPLATE ZAJMOVA</w:t>
            </w:r>
          </w:p>
        </w:tc>
        <w:tc>
          <w:tcPr>
            <w:tcW w:w="1000" w:type="pct"/>
            <w:vAlign w:val="bottom"/>
          </w:tcPr>
          <w:p w:rsidR="00242418" w:rsidRDefault="00222DEA">
            <w:pPr>
              <w:spacing w:after="0" w:line="240" w:lineRule="auto"/>
              <w:jc w:val="right"/>
            </w:pPr>
            <w:r>
              <w:rPr>
                <w:rFonts w:ascii="Times New Roman" w:hAnsi="Times New Roman" w:cs="Times New Roman"/>
                <w:sz w:val="18"/>
              </w:rPr>
              <w:t>0</w:t>
            </w:r>
          </w:p>
        </w:tc>
        <w:tc>
          <w:tcPr>
            <w:tcW w:w="1000" w:type="pct"/>
            <w:vAlign w:val="bottom"/>
          </w:tcPr>
          <w:p w:rsidR="00242418" w:rsidRDefault="00222DEA">
            <w:pPr>
              <w:spacing w:after="0" w:line="240" w:lineRule="auto"/>
              <w:jc w:val="right"/>
            </w:pPr>
            <w:r>
              <w:rPr>
                <w:rFonts w:ascii="Times New Roman" w:hAnsi="Times New Roman" w:cs="Times New Roman"/>
                <w:sz w:val="18"/>
              </w:rPr>
              <w:t>10.000.000</w:t>
            </w:r>
          </w:p>
        </w:tc>
        <w:tc>
          <w:tcPr>
            <w:tcW w:w="800" w:type="pct"/>
            <w:vAlign w:val="bottom"/>
          </w:tcPr>
          <w:p w:rsidR="00242418" w:rsidRDefault="00242418">
            <w:pPr>
              <w:spacing w:after="0" w:line="240" w:lineRule="auto"/>
              <w:jc w:val="right"/>
            </w:pPr>
          </w:p>
        </w:tc>
      </w:tr>
      <w:tr w:rsidR="00242418">
        <w:tc>
          <w:tcPr>
            <w:tcW w:w="2500" w:type="pct"/>
            <w:vAlign w:val="bottom"/>
          </w:tcPr>
          <w:p w:rsidR="00242418" w:rsidRDefault="00222DEA">
            <w:pPr>
              <w:spacing w:after="0" w:line="240" w:lineRule="auto"/>
            </w:pPr>
            <w:r>
              <w:rPr>
                <w:rFonts w:ascii="Times New Roman" w:hAnsi="Times New Roman" w:cs="Times New Roman"/>
                <w:b/>
                <w:sz w:val="18"/>
              </w:rPr>
              <w:t>RAZLIKA PRIMITAKA I IZDATAKA</w:t>
            </w:r>
          </w:p>
        </w:tc>
        <w:tc>
          <w:tcPr>
            <w:tcW w:w="1000" w:type="pct"/>
            <w:vAlign w:val="bottom"/>
          </w:tcPr>
          <w:p w:rsidR="00242418" w:rsidRDefault="00222DEA">
            <w:pPr>
              <w:spacing w:after="0" w:line="240" w:lineRule="auto"/>
              <w:jc w:val="right"/>
            </w:pPr>
            <w:r>
              <w:rPr>
                <w:rFonts w:ascii="Times New Roman" w:hAnsi="Times New Roman" w:cs="Times New Roman"/>
                <w:b/>
                <w:sz w:val="18"/>
              </w:rPr>
              <w:t>480.000</w:t>
            </w:r>
          </w:p>
        </w:tc>
        <w:tc>
          <w:tcPr>
            <w:tcW w:w="1000" w:type="pct"/>
            <w:vAlign w:val="bottom"/>
          </w:tcPr>
          <w:p w:rsidR="00242418" w:rsidRDefault="00222DEA">
            <w:pPr>
              <w:spacing w:after="0" w:line="240" w:lineRule="auto"/>
              <w:jc w:val="right"/>
            </w:pPr>
            <w:r>
              <w:rPr>
                <w:rFonts w:ascii="Times New Roman" w:hAnsi="Times New Roman" w:cs="Times New Roman"/>
                <w:b/>
                <w:sz w:val="18"/>
              </w:rPr>
              <w:t>-8.632.042</w:t>
            </w:r>
          </w:p>
        </w:tc>
        <w:tc>
          <w:tcPr>
            <w:tcW w:w="800" w:type="pct"/>
            <w:vAlign w:val="bottom"/>
          </w:tcPr>
          <w:p w:rsidR="00242418" w:rsidRDefault="00222DEA">
            <w:pPr>
              <w:spacing w:after="0" w:line="240" w:lineRule="auto"/>
              <w:jc w:val="right"/>
            </w:pPr>
            <w:r>
              <w:rPr>
                <w:rFonts w:ascii="Times New Roman" w:hAnsi="Times New Roman" w:cs="Times New Roman"/>
                <w:b/>
                <w:sz w:val="18"/>
              </w:rPr>
              <w:t>-1798,3</w:t>
            </w:r>
          </w:p>
        </w:tc>
      </w:tr>
      <w:tr w:rsidR="00242418">
        <w:tc>
          <w:tcPr>
            <w:tcW w:w="2500" w:type="pct"/>
            <w:vAlign w:val="bottom"/>
          </w:tcPr>
          <w:p w:rsidR="00242418" w:rsidRDefault="00222DEA">
            <w:pPr>
              <w:spacing w:after="0" w:line="240" w:lineRule="auto"/>
            </w:pPr>
            <w:r>
              <w:rPr>
                <w:rFonts w:ascii="Times New Roman" w:hAnsi="Times New Roman" w:cs="Times New Roman"/>
                <w:sz w:val="18"/>
              </w:rPr>
              <w:t>PRIJENOS SREDSTAVA IZ PRETHODNE GODINE</w:t>
            </w:r>
          </w:p>
        </w:tc>
        <w:tc>
          <w:tcPr>
            <w:tcW w:w="1000" w:type="pct"/>
            <w:vAlign w:val="bottom"/>
          </w:tcPr>
          <w:p w:rsidR="00242418" w:rsidRDefault="00222DEA">
            <w:pPr>
              <w:spacing w:after="0" w:line="240" w:lineRule="auto"/>
              <w:jc w:val="right"/>
            </w:pPr>
            <w:r>
              <w:rPr>
                <w:rFonts w:ascii="Times New Roman" w:hAnsi="Times New Roman" w:cs="Times New Roman"/>
                <w:sz w:val="18"/>
              </w:rPr>
              <w:t>32.651.124</w:t>
            </w:r>
          </w:p>
        </w:tc>
        <w:tc>
          <w:tcPr>
            <w:tcW w:w="800" w:type="pct"/>
            <w:vAlign w:val="bottom"/>
          </w:tcPr>
          <w:p w:rsidR="00242418" w:rsidRDefault="00222DEA">
            <w:pPr>
              <w:spacing w:after="0" w:line="240" w:lineRule="auto"/>
              <w:jc w:val="right"/>
            </w:pPr>
            <w:r>
              <w:rPr>
                <w:rFonts w:ascii="Times New Roman" w:hAnsi="Times New Roman" w:cs="Times New Roman"/>
                <w:sz w:val="18"/>
              </w:rPr>
              <w:t>25.481.453</w:t>
            </w:r>
          </w:p>
        </w:tc>
        <w:tc>
          <w:tcPr>
            <w:tcW w:w="800" w:type="pct"/>
            <w:vAlign w:val="bottom"/>
          </w:tcPr>
          <w:p w:rsidR="00242418" w:rsidRDefault="00222DEA">
            <w:pPr>
              <w:spacing w:after="0" w:line="240" w:lineRule="auto"/>
              <w:jc w:val="right"/>
            </w:pPr>
            <w:r>
              <w:rPr>
                <w:rFonts w:ascii="Times New Roman" w:hAnsi="Times New Roman" w:cs="Times New Roman"/>
                <w:sz w:val="18"/>
              </w:rPr>
              <w:t>78,0</w:t>
            </w:r>
          </w:p>
        </w:tc>
      </w:tr>
      <w:tr w:rsidR="00242418">
        <w:tc>
          <w:tcPr>
            <w:tcW w:w="2500" w:type="pct"/>
            <w:vAlign w:val="bottom"/>
          </w:tcPr>
          <w:p w:rsidR="00242418" w:rsidRDefault="00222DEA">
            <w:pPr>
              <w:spacing w:after="0" w:line="240" w:lineRule="auto"/>
            </w:pPr>
            <w:r>
              <w:rPr>
                <w:rFonts w:ascii="Times New Roman" w:hAnsi="Times New Roman" w:cs="Times New Roman"/>
                <w:sz w:val="18"/>
              </w:rPr>
              <w:t>PRIJENOS SREDSTAVA U SLJEDEĆE RAZDOBLJE</w:t>
            </w:r>
          </w:p>
        </w:tc>
        <w:tc>
          <w:tcPr>
            <w:tcW w:w="1000" w:type="pct"/>
            <w:vAlign w:val="bottom"/>
          </w:tcPr>
          <w:p w:rsidR="00242418" w:rsidRDefault="00222DEA">
            <w:pPr>
              <w:spacing w:after="0" w:line="240" w:lineRule="auto"/>
              <w:jc w:val="right"/>
            </w:pPr>
            <w:r>
              <w:rPr>
                <w:rFonts w:ascii="Times New Roman" w:hAnsi="Times New Roman" w:cs="Times New Roman"/>
                <w:sz w:val="18"/>
              </w:rPr>
              <w:t>-29.732.124</w:t>
            </w:r>
          </w:p>
        </w:tc>
        <w:tc>
          <w:tcPr>
            <w:tcW w:w="800" w:type="pct"/>
            <w:vAlign w:val="bottom"/>
          </w:tcPr>
          <w:p w:rsidR="00242418" w:rsidRDefault="00222DEA">
            <w:pPr>
              <w:spacing w:after="0" w:line="240" w:lineRule="auto"/>
              <w:jc w:val="right"/>
            </w:pPr>
            <w:r>
              <w:rPr>
                <w:rFonts w:ascii="Times New Roman" w:hAnsi="Times New Roman" w:cs="Times New Roman"/>
                <w:sz w:val="18"/>
              </w:rPr>
              <w:t>-15.597.241</w:t>
            </w:r>
          </w:p>
        </w:tc>
        <w:tc>
          <w:tcPr>
            <w:tcW w:w="800" w:type="pct"/>
            <w:vAlign w:val="bottom"/>
          </w:tcPr>
          <w:p w:rsidR="00242418" w:rsidRDefault="00222DEA">
            <w:pPr>
              <w:spacing w:after="0" w:line="240" w:lineRule="auto"/>
              <w:jc w:val="right"/>
            </w:pPr>
            <w:r>
              <w:rPr>
                <w:rFonts w:ascii="Times New Roman" w:hAnsi="Times New Roman" w:cs="Times New Roman"/>
                <w:sz w:val="18"/>
              </w:rPr>
              <w:t>52,5</w:t>
            </w:r>
          </w:p>
        </w:tc>
      </w:tr>
      <w:tr w:rsidR="00242418">
        <w:tc>
          <w:tcPr>
            <w:tcW w:w="2500" w:type="pct"/>
            <w:vAlign w:val="bottom"/>
          </w:tcPr>
          <w:p w:rsidR="00242418" w:rsidRDefault="00222DEA">
            <w:pPr>
              <w:spacing w:after="0" w:line="240" w:lineRule="auto"/>
            </w:pPr>
            <w:r>
              <w:rPr>
                <w:rFonts w:ascii="Times New Roman" w:hAnsi="Times New Roman" w:cs="Times New Roman"/>
                <w:sz w:val="18"/>
              </w:rPr>
              <w:t>NETO FINANCIRANJE</w:t>
            </w:r>
          </w:p>
        </w:tc>
        <w:tc>
          <w:tcPr>
            <w:tcW w:w="1000" w:type="pct"/>
            <w:vAlign w:val="bottom"/>
          </w:tcPr>
          <w:p w:rsidR="00242418" w:rsidRDefault="00222DEA">
            <w:pPr>
              <w:spacing w:after="0" w:line="240" w:lineRule="auto"/>
              <w:jc w:val="right"/>
            </w:pPr>
            <w:r>
              <w:rPr>
                <w:rFonts w:ascii="Times New Roman" w:hAnsi="Times New Roman" w:cs="Times New Roman"/>
                <w:sz w:val="18"/>
              </w:rPr>
              <w:t>3.399.000</w:t>
            </w:r>
          </w:p>
        </w:tc>
        <w:tc>
          <w:tcPr>
            <w:tcW w:w="800" w:type="pct"/>
            <w:vAlign w:val="bottom"/>
          </w:tcPr>
          <w:p w:rsidR="00242418" w:rsidRDefault="00222DEA">
            <w:pPr>
              <w:spacing w:after="0" w:line="240" w:lineRule="auto"/>
              <w:jc w:val="right"/>
            </w:pPr>
            <w:r>
              <w:rPr>
                <w:rFonts w:ascii="Times New Roman" w:hAnsi="Times New Roman" w:cs="Times New Roman"/>
                <w:sz w:val="18"/>
              </w:rPr>
              <w:t>1.252.170</w:t>
            </w:r>
          </w:p>
        </w:tc>
        <w:tc>
          <w:tcPr>
            <w:tcW w:w="800" w:type="pct"/>
            <w:vAlign w:val="bottom"/>
          </w:tcPr>
          <w:p w:rsidR="00242418" w:rsidRDefault="00222DEA">
            <w:pPr>
              <w:spacing w:after="0" w:line="240" w:lineRule="auto"/>
              <w:jc w:val="right"/>
            </w:pPr>
            <w:r>
              <w:rPr>
                <w:rFonts w:ascii="Times New Roman" w:hAnsi="Times New Roman" w:cs="Times New Roman"/>
                <w:sz w:val="18"/>
              </w:rPr>
              <w:t>36,8</w:t>
            </w:r>
          </w:p>
        </w:tc>
      </w:tr>
      <w:tr w:rsidR="00242418">
        <w:tc>
          <w:tcPr>
            <w:tcW w:w="2500" w:type="pct"/>
            <w:vAlign w:val="bottom"/>
          </w:tcPr>
          <w:p w:rsidR="00242418" w:rsidRDefault="00222DEA">
            <w:pPr>
              <w:spacing w:after="0" w:line="240" w:lineRule="auto"/>
            </w:pPr>
            <w:r>
              <w:rPr>
                <w:rFonts w:ascii="Times New Roman" w:hAnsi="Times New Roman" w:cs="Times New Roman"/>
                <w:b/>
                <w:sz w:val="18"/>
              </w:rPr>
              <w:t>VIŠAK/MANJAK + NETO FINANCIRANJE</w:t>
            </w:r>
          </w:p>
        </w:tc>
        <w:tc>
          <w:tcPr>
            <w:tcW w:w="1000" w:type="pct"/>
            <w:vAlign w:val="bottom"/>
          </w:tcPr>
          <w:p w:rsidR="00242418" w:rsidRDefault="00222DEA">
            <w:pPr>
              <w:spacing w:after="0" w:line="240" w:lineRule="auto"/>
              <w:jc w:val="right"/>
            </w:pPr>
            <w:r>
              <w:rPr>
                <w:rFonts w:ascii="Times New Roman" w:hAnsi="Times New Roman" w:cs="Times New Roman"/>
                <w:b/>
                <w:sz w:val="18"/>
              </w:rPr>
              <w:t>0</w:t>
            </w:r>
          </w:p>
        </w:tc>
        <w:tc>
          <w:tcPr>
            <w:tcW w:w="800" w:type="pct"/>
            <w:vAlign w:val="bottom"/>
          </w:tcPr>
          <w:p w:rsidR="00242418" w:rsidRDefault="00222DEA">
            <w:pPr>
              <w:spacing w:after="0" w:line="240" w:lineRule="auto"/>
              <w:jc w:val="right"/>
            </w:pPr>
            <w:r>
              <w:rPr>
                <w:rFonts w:ascii="Times New Roman" w:hAnsi="Times New Roman" w:cs="Times New Roman"/>
                <w:b/>
                <w:sz w:val="18"/>
              </w:rPr>
              <w:t>0</w:t>
            </w:r>
          </w:p>
        </w:tc>
        <w:tc>
          <w:tcPr>
            <w:tcW w:w="800" w:type="pct"/>
            <w:vAlign w:val="bottom"/>
          </w:tcPr>
          <w:p w:rsidR="00242418" w:rsidRDefault="00242418">
            <w:pPr>
              <w:spacing w:after="0" w:line="240" w:lineRule="auto"/>
              <w:jc w:val="right"/>
            </w:pPr>
          </w:p>
        </w:tc>
      </w:tr>
    </w:tbl>
    <w:p w:rsidR="00242418" w:rsidRDefault="00242418">
      <w:pPr>
        <w:spacing w:after="0" w:line="240" w:lineRule="auto"/>
      </w:pPr>
    </w:p>
    <w:p w:rsidR="00242418" w:rsidRDefault="00222DEA">
      <w:pPr>
        <w:spacing w:line="240" w:lineRule="auto"/>
        <w:jc w:val="both"/>
      </w:pPr>
      <w:r>
        <w:rPr>
          <w:rFonts w:ascii="Times New Roman" w:hAnsi="Times New Roman" w:cs="Times New Roman"/>
          <w:b/>
          <w:sz w:val="24"/>
        </w:rPr>
        <w:t>PRIMICI OD FINANCIJSKE IMOVINE I ZADUŽIVANJA</w:t>
      </w:r>
    </w:p>
    <w:p w:rsidR="00242418" w:rsidRDefault="00222DEA">
      <w:pPr>
        <w:spacing w:line="240" w:lineRule="auto"/>
        <w:jc w:val="both"/>
      </w:pPr>
      <w:r>
        <w:rPr>
          <w:rFonts w:ascii="Times New Roman" w:hAnsi="Times New Roman" w:cs="Times New Roman"/>
          <w:sz w:val="24"/>
        </w:rPr>
        <w:t>Centar je za 2024. godinu planirao primitke od financijske imovine i zaduživanja u iznosu 480.000,00 eura, a u izvještajnom razdoblju od siječnja do kraja lipnja 2024. godine isti su ostvareni u iznosu od 1.367.958,12 eura ili 284,99% plana i odnose se na:</w:t>
      </w:r>
    </w:p>
    <w:p w:rsidR="00242418" w:rsidRDefault="00222DEA">
      <w:pPr>
        <w:numPr>
          <w:ilvl w:val="0"/>
          <w:numId w:val="3"/>
        </w:numPr>
        <w:spacing w:line="240" w:lineRule="auto"/>
        <w:jc w:val="both"/>
      </w:pPr>
      <w:r>
        <w:rPr>
          <w:rFonts w:ascii="Times New Roman" w:hAnsi="Times New Roman" w:cs="Times New Roman"/>
          <w:b/>
          <w:sz w:val="24"/>
        </w:rPr>
        <w:t>Primljeni povrati glavnica danih zajmova i depozita</w:t>
      </w:r>
      <w:r>
        <w:rPr>
          <w:rFonts w:ascii="Times New Roman" w:hAnsi="Times New Roman" w:cs="Times New Roman"/>
          <w:sz w:val="24"/>
        </w:rPr>
        <w:t xml:space="preserve"> - ostvareni su u iznosu od 164.403,10 eura, a odnose se na primitke (povrate) glavnice zajmova (DE-FOS d.o.o., Kutina), na </w:t>
      </w:r>
      <w:r>
        <w:rPr>
          <w:rFonts w:ascii="Times New Roman" w:hAnsi="Times New Roman" w:cs="Times New Roman"/>
          <w:sz w:val="24"/>
        </w:rPr>
        <w:lastRenderedPageBreak/>
        <w:t>primitke po sklopljenim predstečajnim nagodbama (ADRIADIESEL d.d., Karlovac) te stečajnim postupcima (MEISO d.d. u stečaju, Goričan);</w:t>
      </w:r>
    </w:p>
    <w:p w:rsidR="00242418" w:rsidRDefault="00222DEA">
      <w:pPr>
        <w:numPr>
          <w:ilvl w:val="0"/>
          <w:numId w:val="3"/>
        </w:numPr>
        <w:spacing w:line="240" w:lineRule="auto"/>
        <w:jc w:val="both"/>
      </w:pPr>
      <w:r>
        <w:rPr>
          <w:rFonts w:ascii="Times New Roman" w:hAnsi="Times New Roman" w:cs="Times New Roman"/>
          <w:b/>
          <w:sz w:val="24"/>
        </w:rPr>
        <w:t>Primici od prodaje dionica i udjela u glavnici</w:t>
      </w:r>
      <w:r>
        <w:rPr>
          <w:rFonts w:ascii="Times New Roman" w:hAnsi="Times New Roman" w:cs="Times New Roman"/>
          <w:sz w:val="24"/>
        </w:rPr>
        <w:t xml:space="preserve"> - ostvareni su u ukupnom iznosu od 1.203.555,02 eura, a u najvećoj mjeri se odnose na primitke od prodanih dionica/poslovnih udjela u vlasništvu Centra u ukupnom iznosu od 1.194.498,61 eura (VALAMAR RIVIERA d.d., Poreč, ARENA HOSPITALITY GROUP d.d., Pula, MAISTRA d.d., Rovinj, VIS d.d., Vis, HOTELI ZADAR d.d., Zadar, ATLANTSKA PLOVIDBA d.d., Dubrovnik, LUKA ŠIBENIK d.d., Šibenik, PLAVA LAGUNA d.d., Poreč, SOLARIS d.d., Šibenik) te na uplate od „malih dioničara“ u ukupnom iznosu od 9.056,41 eura.</w:t>
      </w:r>
    </w:p>
    <w:p w:rsidR="00242418" w:rsidRDefault="00222DEA">
      <w:pPr>
        <w:spacing w:line="240" w:lineRule="auto"/>
        <w:jc w:val="both"/>
      </w:pPr>
      <w:r>
        <w:rPr>
          <w:rFonts w:ascii="Times New Roman" w:hAnsi="Times New Roman" w:cs="Times New Roman"/>
          <w:b/>
          <w:sz w:val="24"/>
        </w:rPr>
        <w:t xml:space="preserve">IZDACI ZA FINANCIJSKU IMOVINU I OTPLATE ZAJMOVA </w:t>
      </w:r>
    </w:p>
    <w:p w:rsidR="00242418" w:rsidRDefault="00222DEA">
      <w:pPr>
        <w:spacing w:line="240" w:lineRule="auto"/>
        <w:jc w:val="both"/>
      </w:pPr>
      <w:r>
        <w:rPr>
          <w:rFonts w:ascii="Times New Roman" w:hAnsi="Times New Roman" w:cs="Times New Roman"/>
          <w:sz w:val="24"/>
        </w:rPr>
        <w:t>Centar za 2024. godinu nije planirao izdatke za financijsku imovinu i otplate zajmova, a u izvještajnom razdoblju od siječnja do kraja lipnja 2024. godine isti su ostvareni u iznosu od 10.000.000,00 eura i odnose se na:</w:t>
      </w:r>
    </w:p>
    <w:p w:rsidR="00242418" w:rsidRDefault="00222DEA">
      <w:pPr>
        <w:numPr>
          <w:ilvl w:val="0"/>
          <w:numId w:val="4"/>
        </w:numPr>
        <w:spacing w:line="240" w:lineRule="auto"/>
        <w:jc w:val="both"/>
      </w:pPr>
      <w:r>
        <w:rPr>
          <w:rFonts w:ascii="Times New Roman" w:hAnsi="Times New Roman" w:cs="Times New Roman"/>
          <w:b/>
          <w:sz w:val="24"/>
        </w:rPr>
        <w:t xml:space="preserve">Izdaci za dane zajmove trgovačkim društvima u javnom sektoru </w:t>
      </w:r>
      <w:r>
        <w:rPr>
          <w:rFonts w:ascii="Times New Roman" w:hAnsi="Times New Roman" w:cs="Times New Roman"/>
          <w:sz w:val="24"/>
        </w:rPr>
        <w:t>- ostvareni su u iznosu od 10.000.000,00 eura, a odnose se isplatu kratkoročnog zajma društvu ULJANIK Brodogradnja 1856 d.o.o., Pula, temeljem Odluke Vlade Republike Hrvatske za otkup poslovnih udjela u društvu ULJANIK Brodogradnja 1856 d.o.o., Pula od 14. ožujka 2024. godine.</w:t>
      </w:r>
    </w:p>
    <w:p w:rsidR="00242418" w:rsidRPr="00222DEA" w:rsidRDefault="00222DEA">
      <w:pPr>
        <w:spacing w:line="240" w:lineRule="auto"/>
        <w:jc w:val="both"/>
      </w:pPr>
      <w:r w:rsidRPr="00222DEA">
        <w:rPr>
          <w:rFonts w:ascii="Times New Roman" w:hAnsi="Times New Roman" w:cs="Times New Roman"/>
          <w:sz w:val="24"/>
        </w:rPr>
        <w:t>PRIJENOS SREDSTAVA</w:t>
      </w:r>
    </w:p>
    <w:p w:rsidR="00242418" w:rsidRDefault="00222DEA">
      <w:pPr>
        <w:spacing w:line="240" w:lineRule="auto"/>
        <w:jc w:val="both"/>
      </w:pPr>
      <w:r>
        <w:rPr>
          <w:rFonts w:ascii="Times New Roman" w:hAnsi="Times New Roman" w:cs="Times New Roman"/>
          <w:sz w:val="24"/>
        </w:rPr>
        <w:t>Centar je za 2024. godinu planirao prijenos sredstava iz prethodne godine u iznosu od 32.651.124,00 eura, a u izvještajnom razdoblju od siječnja do kraja lipnja 2024. godine isti su ostvareni u iznosu od 25.481.453,24 eura ili 78,04% plana i u najvećoj mjeri se odnose na sredstva ostvarena od primitaka od financijske imovine Centra iz prethodnih godina.</w:t>
      </w:r>
    </w:p>
    <w:p w:rsidR="00242418" w:rsidRDefault="00222DEA">
      <w:pPr>
        <w:spacing w:line="240" w:lineRule="auto"/>
        <w:jc w:val="both"/>
      </w:pPr>
      <w:r>
        <w:rPr>
          <w:rFonts w:ascii="Times New Roman" w:hAnsi="Times New Roman" w:cs="Times New Roman"/>
          <w:sz w:val="24"/>
        </w:rPr>
        <w:t>Centar je za 2024. godinu planirao prijenos sredstava u sljedeće razdoblje u iznosu od 29.732.124,00 eura, a u izvještajnom razdoblju od siječnja do kraja lipnja 2024. godine isti su ostvareni u iznosu od 15.597.241,32 eura ili 52,46% plana i koristit će se za redovno poslovanje Centra te za podmirenje tekućih obveza.</w:t>
      </w:r>
    </w:p>
    <w:p w:rsidR="00242418" w:rsidRDefault="00222DEA">
      <w:pPr>
        <w:spacing w:line="360" w:lineRule="auto"/>
        <w:jc w:val="center"/>
      </w:pPr>
      <w:r>
        <w:rPr>
          <w:rFonts w:ascii="Times New Roman" w:hAnsi="Times New Roman" w:cs="Times New Roman"/>
          <w:b/>
          <w:sz w:val="24"/>
        </w:rPr>
        <w:br/>
        <w:t>IZVJEŠTAJ O ZADUŽIVANJU NA DOMAĆEM I STRANOM TRŽIŠTU NOVCA I KAPITALA</w:t>
      </w:r>
    </w:p>
    <w:p w:rsidR="00242418" w:rsidRDefault="00222DEA">
      <w:pPr>
        <w:spacing w:line="240" w:lineRule="auto"/>
        <w:jc w:val="both"/>
      </w:pPr>
      <w:r>
        <w:rPr>
          <w:rFonts w:ascii="Times New Roman" w:hAnsi="Times New Roman" w:cs="Times New Roman"/>
          <w:sz w:val="24"/>
        </w:rPr>
        <w:t>Centar se u izvještajnom razdoblju nije zaduživao na domaćem i stranom tržištu novca i kapitala niti trenutno ima u otplati dugoročne kredite i zajmove. </w:t>
      </w:r>
    </w:p>
    <w:p w:rsidR="00242418" w:rsidRDefault="00222DEA">
      <w:pPr>
        <w:spacing w:line="360" w:lineRule="auto"/>
        <w:jc w:val="center"/>
      </w:pPr>
      <w:r>
        <w:rPr>
          <w:rFonts w:ascii="Times New Roman" w:hAnsi="Times New Roman" w:cs="Times New Roman"/>
          <w:b/>
          <w:sz w:val="24"/>
        </w:rPr>
        <w:br/>
        <w:t xml:space="preserve">IZVJEŠTAJ O DANIM JAMSTVIMA I PLAĆANJIMA PO PROTESTIRANIM JAMSTVIMA </w:t>
      </w:r>
    </w:p>
    <w:p w:rsidR="00242418" w:rsidRDefault="00222DEA">
      <w:pPr>
        <w:spacing w:line="240" w:lineRule="auto"/>
        <w:jc w:val="both"/>
      </w:pPr>
      <w:r>
        <w:rPr>
          <w:rFonts w:ascii="Times New Roman" w:hAnsi="Times New Roman" w:cs="Times New Roman"/>
          <w:sz w:val="24"/>
        </w:rPr>
        <w:t>Centar u izvještajnom razdoblju nije davao jamstva niti je imao izvršenih plaćanja po protestiranim jamstvima. </w:t>
      </w:r>
    </w:p>
    <w:sectPr w:rsidR="00242418" w:rsidSect="00222DEA">
      <w:footerReference w:type="default" r:id="rId7"/>
      <w:pgSz w:w="12240" w:h="15840"/>
      <w:pgMar w:top="1417" w:right="1417" w:bottom="1417" w:left="1417" w:header="720" w:footer="720" w:gutter="0"/>
      <w:pgNumType w:start="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2DEA" w:rsidRDefault="00222DEA" w:rsidP="00222DEA">
      <w:pPr>
        <w:spacing w:after="0" w:line="240" w:lineRule="auto"/>
      </w:pPr>
      <w:r>
        <w:separator/>
      </w:r>
    </w:p>
  </w:endnote>
  <w:endnote w:type="continuationSeparator" w:id="0">
    <w:p w:rsidR="00222DEA" w:rsidRDefault="00222DEA" w:rsidP="00222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1401857"/>
      <w:docPartObj>
        <w:docPartGallery w:val="Page Numbers (Bottom of Page)"/>
        <w:docPartUnique/>
      </w:docPartObj>
    </w:sdtPr>
    <w:sdtEndPr>
      <w:rPr>
        <w:rFonts w:ascii="Times New Roman" w:hAnsi="Times New Roman" w:cs="Times New Roman"/>
        <w:sz w:val="24"/>
        <w:szCs w:val="24"/>
      </w:rPr>
    </w:sdtEndPr>
    <w:sdtContent>
      <w:p w:rsidR="00222DEA" w:rsidRPr="00222DEA" w:rsidRDefault="00222DEA">
        <w:pPr>
          <w:pStyle w:val="Podnoje"/>
          <w:jc w:val="center"/>
          <w:rPr>
            <w:rFonts w:ascii="Times New Roman" w:hAnsi="Times New Roman" w:cs="Times New Roman"/>
            <w:sz w:val="24"/>
            <w:szCs w:val="24"/>
          </w:rPr>
        </w:pPr>
        <w:r w:rsidRPr="00222DEA">
          <w:rPr>
            <w:rFonts w:ascii="Times New Roman" w:hAnsi="Times New Roman" w:cs="Times New Roman"/>
            <w:sz w:val="24"/>
            <w:szCs w:val="24"/>
          </w:rPr>
          <w:fldChar w:fldCharType="begin"/>
        </w:r>
        <w:r w:rsidRPr="00222DEA">
          <w:rPr>
            <w:rFonts w:ascii="Times New Roman" w:hAnsi="Times New Roman" w:cs="Times New Roman"/>
            <w:sz w:val="24"/>
            <w:szCs w:val="24"/>
          </w:rPr>
          <w:instrText>PAGE   \* MERGEFORMAT</w:instrText>
        </w:r>
        <w:r w:rsidRPr="00222DEA">
          <w:rPr>
            <w:rFonts w:ascii="Times New Roman" w:hAnsi="Times New Roman" w:cs="Times New Roman"/>
            <w:sz w:val="24"/>
            <w:szCs w:val="24"/>
          </w:rPr>
          <w:fldChar w:fldCharType="separate"/>
        </w:r>
        <w:r w:rsidR="00600B7E">
          <w:rPr>
            <w:rFonts w:ascii="Times New Roman" w:hAnsi="Times New Roman" w:cs="Times New Roman"/>
            <w:noProof/>
            <w:sz w:val="24"/>
            <w:szCs w:val="24"/>
          </w:rPr>
          <w:t>11</w:t>
        </w:r>
        <w:r w:rsidRPr="00222DEA">
          <w:rPr>
            <w:rFonts w:ascii="Times New Roman" w:hAnsi="Times New Roman" w:cs="Times New Roman"/>
            <w:sz w:val="24"/>
            <w:szCs w:val="24"/>
          </w:rPr>
          <w:fldChar w:fldCharType="end"/>
        </w:r>
      </w:p>
    </w:sdtContent>
  </w:sdt>
  <w:p w:rsidR="00222DEA" w:rsidRDefault="00222DEA">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2DEA" w:rsidRDefault="00222DEA" w:rsidP="00222DEA">
      <w:pPr>
        <w:spacing w:after="0" w:line="240" w:lineRule="auto"/>
      </w:pPr>
      <w:r>
        <w:separator/>
      </w:r>
    </w:p>
  </w:footnote>
  <w:footnote w:type="continuationSeparator" w:id="0">
    <w:p w:rsidR="00222DEA" w:rsidRDefault="00222DEA" w:rsidP="00222D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920A9"/>
    <w:multiLevelType w:val="singleLevel"/>
    <w:tmpl w:val="57C82A1A"/>
    <w:name w:val="decimal"/>
    <w:lvl w:ilvl="0">
      <w:start w:val="1"/>
      <w:numFmt w:val="decimal"/>
      <w:lvlText w:val="%1."/>
      <w:lvlJc w:val="left"/>
      <w:pPr>
        <w:ind w:left="420" w:hanging="360"/>
      </w:pPr>
    </w:lvl>
  </w:abstractNum>
  <w:abstractNum w:abstractNumId="1" w15:restartNumberingAfterBreak="0">
    <w:nsid w:val="0ECE1C9A"/>
    <w:multiLevelType w:val="singleLevel"/>
    <w:tmpl w:val="F3FA4898"/>
    <w:name w:val="lower-roman"/>
    <w:lvl w:ilvl="0">
      <w:start w:val="1"/>
      <w:numFmt w:val="lowerRoman"/>
      <w:lvlText w:val="%1."/>
      <w:lvlJc w:val="left"/>
      <w:pPr>
        <w:ind w:left="420" w:hanging="360"/>
      </w:pPr>
    </w:lvl>
  </w:abstractNum>
  <w:abstractNum w:abstractNumId="2" w15:restartNumberingAfterBreak="0">
    <w:nsid w:val="1CD2512C"/>
    <w:multiLevelType w:val="singleLevel"/>
    <w:tmpl w:val="8EC0FF1C"/>
    <w:name w:val="square"/>
    <w:lvl w:ilvl="0">
      <w:numFmt w:val="bullet"/>
      <w:lvlText w:val="▪"/>
      <w:lvlJc w:val="left"/>
      <w:pPr>
        <w:ind w:left="420" w:hanging="360"/>
      </w:pPr>
    </w:lvl>
  </w:abstractNum>
  <w:abstractNum w:abstractNumId="3" w15:restartNumberingAfterBreak="0">
    <w:nsid w:val="1DA44C07"/>
    <w:multiLevelType w:val="singleLevel"/>
    <w:tmpl w:val="E11C8A56"/>
    <w:name w:val="decimal-heading-multi"/>
    <w:lvl w:ilvl="0">
      <w:start w:val="1"/>
      <w:numFmt w:val="decimal"/>
      <w:lvlText w:val="%1."/>
      <w:lvlJc w:val="left"/>
    </w:lvl>
  </w:abstractNum>
  <w:abstractNum w:abstractNumId="4" w15:restartNumberingAfterBreak="0">
    <w:nsid w:val="2D3056ED"/>
    <w:multiLevelType w:val="singleLevel"/>
    <w:tmpl w:val="F88EE398"/>
    <w:name w:val="circle"/>
    <w:lvl w:ilvl="0">
      <w:numFmt w:val="bullet"/>
      <w:lvlText w:val="o"/>
      <w:lvlJc w:val="left"/>
      <w:pPr>
        <w:ind w:left="420" w:hanging="360"/>
      </w:pPr>
    </w:lvl>
  </w:abstractNum>
  <w:abstractNum w:abstractNumId="5" w15:restartNumberingAfterBreak="0">
    <w:nsid w:val="390C365A"/>
    <w:multiLevelType w:val="singleLevel"/>
    <w:tmpl w:val="C7C69C6A"/>
    <w:name w:val="disc"/>
    <w:lvl w:ilvl="0">
      <w:numFmt w:val="bullet"/>
      <w:lvlText w:val="•"/>
      <w:lvlJc w:val="left"/>
      <w:pPr>
        <w:ind w:left="420" w:hanging="360"/>
      </w:pPr>
    </w:lvl>
  </w:abstractNum>
  <w:abstractNum w:abstractNumId="6" w15:restartNumberingAfterBreak="0">
    <w:nsid w:val="46BB38B1"/>
    <w:multiLevelType w:val="singleLevel"/>
    <w:tmpl w:val="561020EE"/>
    <w:name w:val="lower-alpha"/>
    <w:lvl w:ilvl="0">
      <w:start w:val="1"/>
      <w:numFmt w:val="lowerLetter"/>
      <w:lvlText w:val="%1."/>
      <w:lvlJc w:val="left"/>
      <w:pPr>
        <w:ind w:left="420" w:hanging="360"/>
      </w:pPr>
    </w:lvl>
  </w:abstractNum>
  <w:abstractNum w:abstractNumId="7" w15:restartNumberingAfterBreak="0">
    <w:nsid w:val="50D83C29"/>
    <w:multiLevelType w:val="singleLevel"/>
    <w:tmpl w:val="3D6EFEBC"/>
    <w:name w:val="upper-roman"/>
    <w:lvl w:ilvl="0">
      <w:start w:val="1"/>
      <w:numFmt w:val="upperRoman"/>
      <w:lvlText w:val="%1."/>
      <w:lvlJc w:val="left"/>
      <w:pPr>
        <w:ind w:left="420" w:hanging="360"/>
      </w:pPr>
    </w:lvl>
  </w:abstractNum>
  <w:abstractNum w:abstractNumId="8" w15:restartNumberingAfterBreak="0">
    <w:nsid w:val="619D0404"/>
    <w:multiLevelType w:val="singleLevel"/>
    <w:tmpl w:val="82CAE9E4"/>
    <w:name w:val="upper-alpha"/>
    <w:lvl w:ilvl="0">
      <w:start w:val="1"/>
      <w:numFmt w:val="upperLetter"/>
      <w:lvlText w:val="%1."/>
      <w:lvlJc w:val="left"/>
      <w:pPr>
        <w:ind w:left="420" w:hanging="360"/>
      </w:pPr>
    </w:lvl>
  </w:abstractNum>
  <w:num w:numId="1">
    <w:abstractNumId w:val="5"/>
    <w:lvlOverride w:ilvl="0">
      <w:startOverride w:val="1"/>
    </w:lvlOverride>
  </w:num>
  <w:num w:numId="2">
    <w:abstractNumId w:val="5"/>
    <w:lvlOverride w:ilvl="0">
      <w:startOverride w:val="1"/>
    </w:lvlOverride>
  </w:num>
  <w:num w:numId="3">
    <w:abstractNumId w:val="5"/>
    <w:lvlOverride w:ilvl="0">
      <w:startOverride w:val="1"/>
    </w:lvlOverride>
  </w:num>
  <w:num w:numId="4">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42418"/>
    <w:rsid w:val="00222DEA"/>
    <w:rsid w:val="00242418"/>
    <w:rsid w:val="00600B7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CCB3F"/>
  <w15:docId w15:val="{B8CA39FD-7A54-4AC8-B717-30E8CD735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222DE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22DEA"/>
  </w:style>
  <w:style w:type="paragraph" w:styleId="Podnoje">
    <w:name w:val="footer"/>
    <w:basedOn w:val="Normal"/>
    <w:link w:val="PodnojeChar"/>
    <w:uiPriority w:val="99"/>
    <w:unhideWhenUsed/>
    <w:rsid w:val="00222DE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22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1486</Words>
  <Characters>8472</Characters>
  <Application>Microsoft Office Word</Application>
  <DocSecurity>0</DocSecurity>
  <Lines>70</Lines>
  <Paragraphs>19</Paragraphs>
  <ScaleCrop>false</ScaleCrop>
  <Company/>
  <LinksUpToDate>false</LinksUpToDate>
  <CharactersWithSpaces>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Ida Hohnjec</cp:lastModifiedBy>
  <cp:revision>3</cp:revision>
  <dcterms:created xsi:type="dcterms:W3CDTF">2024-08-28T11:13:00Z</dcterms:created>
  <dcterms:modified xsi:type="dcterms:W3CDTF">2024-09-03T08:38:00Z</dcterms:modified>
</cp:coreProperties>
</file>