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10D" w:rsidRDefault="008101BC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IZMJENA I DOPUNA FINANCIJSKOG PLANA HŽ PUTNIČKOG PRIJEVOZA ZA  2024. GODINU I PROJEKCIJA PLANA ZA 2025. I 2026. GODINU</w:t>
      </w:r>
      <w:r>
        <w:rPr>
          <w:rFonts w:ascii="Calibri" w:hAnsi="Calibri" w:cs="Calibri"/>
          <w:b/>
          <w:sz w:val="28"/>
        </w:rPr>
        <w:br w:type="page"/>
      </w:r>
    </w:p>
    <w:p w:rsidR="009A010D" w:rsidRDefault="008101BC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</w:rPr>
        <w:t>Željeznički putnički prijevoz organizira se na 2.617 kilometara pruga, dnevno se pokreće oko 760 vlakova, a zbog izvođenja radova na pružnoj mreži i stanja infrastrukture vrlo su niske komercijalne brzine prometovanja vlakova. Kako bi se ublažio navedeni n</w:t>
      </w:r>
      <w:r>
        <w:rPr>
          <w:rFonts w:ascii="Calibri" w:hAnsi="Calibri" w:cs="Calibri"/>
        </w:rPr>
        <w:t xml:space="preserve">egativni utjecaj, Vlada Republike Hrvatske provodi pilot-projekte u svrhu poticanja i stvaranja navike korištenja javnoga željezničkog prijevoza, koji djelomično predstavljaju i kompenzacije za vrijeme radova na željezničkoj infrastrukturi. 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</w:rPr>
        <w:t>Na temelju zak</w:t>
      </w:r>
      <w:r>
        <w:rPr>
          <w:rFonts w:ascii="Calibri" w:hAnsi="Calibri" w:cs="Calibri"/>
        </w:rPr>
        <w:t>ljučaka Vlade Republike Hrvatske do 31.12.2024. nastavlja se provedba pilot-projekta besplatnoga javnog željezničkog prijevoza djece i učenika osnovnih i srednjih škola na području Republike Hrvatske i pilot-projekta povoljnijeg prijevoza redovnih studenat</w:t>
      </w:r>
      <w:r>
        <w:rPr>
          <w:rFonts w:ascii="Calibri" w:hAnsi="Calibri" w:cs="Calibri"/>
        </w:rPr>
        <w:t xml:space="preserve">a kojim se po jedinstvenoj cijeni mjesečne karte od 9,95 eura omogućava neograničeno korištenje željezničkog prijevoza.  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</w:rPr>
        <w:t>Također, nastavlja se  provođenje mjere besplatnog prijevoza za stanovnike pogođene potresom na području Sisačko-moslavačke županije t</w:t>
      </w:r>
      <w:r>
        <w:rPr>
          <w:rFonts w:ascii="Calibri" w:hAnsi="Calibri" w:cs="Calibri"/>
        </w:rPr>
        <w:t>e besplatan prijevoz ukrajinskih državljana na svim relacijama unutar Republike Hrvatske.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</w:rPr>
        <w:t>Nadalje, na temelju Zaključka Vlade Republike Hrvatske od 13. prosinca 2023. uveden je  pilot-projekt besplatnoga željezničkog prijevoza umirovljenika i osoba stariji</w:t>
      </w:r>
      <w:r>
        <w:rPr>
          <w:rFonts w:ascii="Calibri" w:hAnsi="Calibri" w:cs="Calibri"/>
        </w:rPr>
        <w:t>h od 65 godina koji im omogućava neograničeno korištenje željezničkog prijevoza na području Republike Hrvatske. Pilot-projekt se provodi od 1. siječnja do 31. prosinca 2024. godine.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</w:rPr>
        <w:t>Remonti pruga nastavljaju se na značajnom dijelu pružne mreže HŽ-a, odnosn</w:t>
      </w:r>
      <w:r>
        <w:rPr>
          <w:rFonts w:ascii="Calibri" w:hAnsi="Calibri" w:cs="Calibri"/>
        </w:rPr>
        <w:t>o na relacijama Zagreb GK – Zagreb ZK, Karlovac – Kamanje, Novska – Sunja, Deanovec – Popovača, Križevci – Koprivnica, Donji Kraljevec – Kotoriba, Čakovec – Središće, Pitomača – Kloštar, Čačinci – Slatina, Slavonski Brod – Sibinj, Zagreb – Rijeka i Labin D</w:t>
      </w:r>
      <w:r>
        <w:rPr>
          <w:rFonts w:ascii="Calibri" w:hAnsi="Calibri" w:cs="Calibri"/>
        </w:rPr>
        <w:t>almatinski – Kaštel Stari. Tijekom remonta uvode se usporene vožnje vlakova te zamjenski autobusni prijevoz koji znatno narušava kvalitetu i potražnju za uslugama prijevoza.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</w:rPr>
        <w:t>Uz to na temelju zaključka sa sastanka Središnjeg ureda za demografiju, Ministarst</w:t>
      </w:r>
      <w:r>
        <w:rPr>
          <w:rFonts w:ascii="Calibri" w:hAnsi="Calibri" w:cs="Calibri"/>
        </w:rPr>
        <w:t>va mora, prometa i infrastrukture i HŽ Putničkog prijevoza, radi osiguranja bolje prometne povezanosti i sprječavanja iseljavanja stanovništva iz ruralnih krajeva u novom voznom redu 2023./2024. uvedeni su brzi vlakovi na relacijama Zagreb – Požega, Zagreb</w:t>
      </w:r>
      <w:r>
        <w:rPr>
          <w:rFonts w:ascii="Calibri" w:hAnsi="Calibri" w:cs="Calibri"/>
        </w:rPr>
        <w:t xml:space="preserve"> – Sisak, Zagreb – Zabok, Zagreb – Duga Resa - i Zagreb – Križevci.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</w:rPr>
        <w:t>HŽ Putnički prijevoz je u razdoblju I-VI 2024. prevezao 11.442 tisuće putnika te je ostvareno 483,3 milijuna putničkih kilometara. </w:t>
      </w:r>
    </w:p>
    <w:p w:rsidR="009A010D" w:rsidRDefault="008101B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9A010D">
        <w:tc>
          <w:tcPr>
            <w:tcW w:w="2000" w:type="pct"/>
            <w:shd w:val="clear" w:color="auto" w:fill="BCDFFB"/>
            <w:vAlign w:val="center"/>
          </w:tcPr>
          <w:p w:rsidR="009A010D" w:rsidRDefault="009A010D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</w:t>
            </w:r>
            <w:r>
              <w:rPr>
                <w:rFonts w:ascii="Calibri" w:hAnsi="Calibri" w:cs="Calibri"/>
                <w:b/>
                <w:sz w:val="18"/>
              </w:rPr>
              <w:t>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A010D">
        <w:tc>
          <w:tcPr>
            <w:tcW w:w="2000" w:type="pct"/>
            <w:vAlign w:val="bottom"/>
          </w:tcPr>
          <w:p w:rsidR="009A010D" w:rsidRDefault="008101B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159.603.837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3.270.553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162.874.390</w:t>
            </w:r>
          </w:p>
        </w:tc>
        <w:tc>
          <w:tcPr>
            <w:tcW w:w="4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102,0</w:t>
            </w:r>
          </w:p>
        </w:tc>
      </w:tr>
      <w:tr w:rsidR="009A010D">
        <w:tc>
          <w:tcPr>
            <w:tcW w:w="2000" w:type="pct"/>
            <w:vAlign w:val="bottom"/>
          </w:tcPr>
          <w:p w:rsidR="009A010D" w:rsidRDefault="008101B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50.000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20.000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70.000</w:t>
            </w:r>
          </w:p>
        </w:tc>
        <w:tc>
          <w:tcPr>
            <w:tcW w:w="4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140,0</w:t>
            </w:r>
          </w:p>
        </w:tc>
      </w:tr>
      <w:tr w:rsidR="009A010D">
        <w:tc>
          <w:tcPr>
            <w:tcW w:w="2000" w:type="pct"/>
            <w:vAlign w:val="bottom"/>
          </w:tcPr>
          <w:p w:rsidR="009A010D" w:rsidRDefault="008101B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159.653.837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3.290.553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162.944.390</w:t>
            </w:r>
          </w:p>
        </w:tc>
        <w:tc>
          <w:tcPr>
            <w:tcW w:w="4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102,1</w:t>
            </w:r>
          </w:p>
        </w:tc>
      </w:tr>
    </w:tbl>
    <w:p w:rsidR="009A010D" w:rsidRDefault="009A010D">
      <w:pPr>
        <w:spacing w:after="0" w:line="240" w:lineRule="auto"/>
      </w:pP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Ukupni prihodi u Prijedlogu </w:t>
      </w:r>
      <w:r>
        <w:rPr>
          <w:rFonts w:ascii="Calibri" w:hAnsi="Calibri" w:cs="Calibri"/>
          <w:color w:val="000000"/>
        </w:rPr>
        <w:t>izmjena i dopuna Financijskog plana za 2024. godinu iznose 162.944.390 eura te su za 3.290.553 eura, odnosno 2,1% veći u odnosu na usvojeni plan.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Na stavci Pomoći iz inozemstva i od subjekata unutar općeg proračuna došlo je do povećanja za </w:t>
      </w:r>
      <w:r>
        <w:rPr>
          <w:rFonts w:ascii="Calibri" w:hAnsi="Calibri" w:cs="Calibri"/>
          <w:color w:val="000000"/>
        </w:rPr>
        <w:t xml:space="preserve">2.491.229 eura u odnosu na usvojeni plan. Na stavci Pomoći proračunu iz drugih proračuna i izvanproračunskim korisnicima došlo je do povećanja prihoda za 1.521.185 eura zbog povećanja prihoda po Ugovoru </w:t>
      </w:r>
      <w:r>
        <w:rPr>
          <w:rFonts w:ascii="Calibri" w:hAnsi="Calibri" w:cs="Calibri"/>
        </w:rPr>
        <w:t>o javnim uslugama za usluge od općeg gospodarskog int</w:t>
      </w:r>
      <w:r>
        <w:rPr>
          <w:rFonts w:ascii="Calibri" w:hAnsi="Calibri" w:cs="Calibri"/>
        </w:rPr>
        <w:t>eresa u javnom željezničkom prijevozu u Republici Hrvatskoj (PSO ugovor). Na povećanje stavke utjecao je izostali prihod na temelju provedbe pilot-projekta besplatnoga javnog željezničkog prijevoza djece i učenika osnovnih i srednjih škola na području Repu</w:t>
      </w:r>
      <w:r>
        <w:rPr>
          <w:rFonts w:ascii="Calibri" w:hAnsi="Calibri" w:cs="Calibri"/>
        </w:rPr>
        <w:t>blike Hrvatske, provedbe besplatnog prijevoza za stanovnike s područja Sisačko-moslavačke županije te pilot-projekta povoljnijeg prijevoza redovnih studenata. Početkom 2024. godine uveden je pilot-projekt besplatnog prijevoza umirovljenika i osoba starijih</w:t>
      </w:r>
      <w:r>
        <w:rPr>
          <w:rFonts w:ascii="Calibri" w:hAnsi="Calibri" w:cs="Calibri"/>
        </w:rPr>
        <w:t xml:space="preserve"> od 65 godina te su uvedeni dodatni vlakovi, a na naplatu dospijevaju potraživanja Ministarstva financija na temelju izdanog i protestiranoga državnog jamstva po kreditu HBOR broj: KO-25/13 za nabavu novih vlakova. Nadalje, uslijed izvođenja radova na  pru</w:t>
      </w:r>
      <w:r>
        <w:rPr>
          <w:rFonts w:ascii="Calibri" w:hAnsi="Calibri" w:cs="Calibri"/>
        </w:rPr>
        <w:t>žnoj mreži uvode se zatvori pruga, smanjuju se brzine prometovanja vlakova za prijevoz putnika te se uvode usporene vožnje, što uzrokuje povećanje  troškova eksploatacije i do 30 %. 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Također, došlo je do promjena u planiranoj dinamici realizacije projekata</w:t>
      </w:r>
      <w:r>
        <w:rPr>
          <w:rFonts w:ascii="Calibri" w:hAnsi="Calibri" w:cs="Calibri"/>
          <w:color w:val="000000"/>
        </w:rPr>
        <w:t xml:space="preserve"> koji se financiraju iz zajma Europske investicijske banke na način da je isplata avansa za nabavu 8 vlakova na alternativni pogon te punionica za baterijske vlakove prolongirano na prvi kvartal 2025. te je usklađena vrijednost dokumentacije za tehničko-lo</w:t>
      </w:r>
      <w:r>
        <w:rPr>
          <w:rFonts w:ascii="Calibri" w:hAnsi="Calibri" w:cs="Calibri"/>
          <w:color w:val="000000"/>
        </w:rPr>
        <w:t>gistički centar koja će biti isporučena do kraja 2024. godine.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Na stavci Pomoći temeljem prijenosa EU sredstava došlo je do povećanja prihoda za 970.044 eura zbog promjena u dinamici nabave novih vlakova. Prihodi od pruženih usluga </w:t>
      </w:r>
      <w:r>
        <w:rPr>
          <w:rFonts w:ascii="Calibri" w:hAnsi="Calibri" w:cs="Calibri"/>
          <w:color w:val="000000"/>
        </w:rPr>
        <w:t>planiraju se u iznosu 23.632.000 eura te su veći za 736.000 eura u odnosu na usvojeni plan temeljem povećanja vlastitih prihoda od unutarnjeg i međunarodnog prijevoza putnika, dok se prihodi od prodaje nefinancijske imovine planiraju u iznosu od 70.000 eur</w:t>
      </w:r>
      <w:r>
        <w:rPr>
          <w:rFonts w:ascii="Calibri" w:hAnsi="Calibri" w:cs="Calibri"/>
          <w:color w:val="000000"/>
        </w:rPr>
        <w:t>a.</w:t>
      </w:r>
    </w:p>
    <w:p w:rsidR="009A010D" w:rsidRDefault="008101B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9A010D">
        <w:tc>
          <w:tcPr>
            <w:tcW w:w="2000" w:type="pct"/>
            <w:shd w:val="clear" w:color="auto" w:fill="BCDFFB"/>
            <w:vAlign w:val="center"/>
          </w:tcPr>
          <w:p w:rsidR="009A010D" w:rsidRDefault="009A010D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A010D">
        <w:tc>
          <w:tcPr>
            <w:tcW w:w="2000" w:type="pct"/>
            <w:vAlign w:val="bottom"/>
          </w:tcPr>
          <w:p w:rsidR="009A010D" w:rsidRDefault="008101B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98.559.920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23.108.272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121.668.192</w:t>
            </w:r>
          </w:p>
        </w:tc>
        <w:tc>
          <w:tcPr>
            <w:tcW w:w="4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123,4</w:t>
            </w:r>
          </w:p>
        </w:tc>
      </w:tr>
      <w:tr w:rsidR="009A010D">
        <w:tc>
          <w:tcPr>
            <w:tcW w:w="2000" w:type="pct"/>
            <w:vAlign w:val="bottom"/>
          </w:tcPr>
          <w:p w:rsidR="009A010D" w:rsidRDefault="008101B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62.041.344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-24.162.030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37.879.314</w:t>
            </w:r>
          </w:p>
        </w:tc>
        <w:tc>
          <w:tcPr>
            <w:tcW w:w="4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61,1</w:t>
            </w:r>
          </w:p>
        </w:tc>
      </w:tr>
      <w:tr w:rsidR="009A010D">
        <w:tc>
          <w:tcPr>
            <w:tcW w:w="2000" w:type="pct"/>
            <w:vAlign w:val="bottom"/>
          </w:tcPr>
          <w:p w:rsidR="009A010D" w:rsidRDefault="008101B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160.601.264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-1.053.758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159.547.506</w:t>
            </w:r>
          </w:p>
        </w:tc>
        <w:tc>
          <w:tcPr>
            <w:tcW w:w="4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99,3</w:t>
            </w:r>
          </w:p>
        </w:tc>
      </w:tr>
    </w:tbl>
    <w:p w:rsidR="009A010D" w:rsidRDefault="009A010D">
      <w:pPr>
        <w:spacing w:after="0" w:line="240" w:lineRule="auto"/>
      </w:pP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Ukupni rashodi</w:t>
      </w:r>
      <w:r>
        <w:rPr>
          <w:rFonts w:ascii="Calibri" w:hAnsi="Calibri" w:cs="Calibri"/>
          <w:b/>
          <w:color w:val="000000"/>
        </w:rPr>
        <w:t xml:space="preserve"> </w:t>
      </w:r>
      <w:r>
        <w:rPr>
          <w:rFonts w:ascii="Calibri" w:hAnsi="Calibri" w:cs="Calibri"/>
          <w:color w:val="000000"/>
        </w:rPr>
        <w:t>u Prijedlogu izmjena i dopuna Financijskog plana za 2024. godinu iznose 159.547.506 eura te su za 1.053.758 eura, odnosno 0,7% manji u odnosu na usvojeni plan.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Planirani rashodi za </w:t>
      </w:r>
      <w:r>
        <w:rPr>
          <w:rFonts w:ascii="Calibri" w:hAnsi="Calibri" w:cs="Calibri"/>
          <w:color w:val="000000"/>
        </w:rPr>
        <w:t xml:space="preserve">zaposlene veći su za 4.657.398 eura u odnosu na usvojeni plan, odnosno za 11,4 %, na temelju povećanja cijena sata rada, koje je definirano I. dodatkom Kolektivnom ugovoru, i povećanja broja prekovremenih sati rada uzrokovanih nedostatkom izvršnog osoblja </w:t>
      </w:r>
      <w:r>
        <w:rPr>
          <w:rFonts w:ascii="Calibri" w:hAnsi="Calibri" w:cs="Calibri"/>
          <w:color w:val="000000"/>
        </w:rPr>
        <w:t xml:space="preserve">te duljih smjena rada uzrokovanih zatvorima pruga, zastojima u </w:t>
      </w:r>
      <w:r>
        <w:rPr>
          <w:rFonts w:ascii="Calibri" w:hAnsi="Calibri" w:cs="Calibri"/>
        </w:rPr>
        <w:t>prometu i uvođenjem usporenih vožnji.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</w:rPr>
        <w:t>Materijalni rashodi veći su za 18.415.874 eura, odnosno za 34,7 % u odnosu na usvojeni plan temeljem povećanja troškova energije i troškova tekućeg i inves</w:t>
      </w:r>
      <w:r>
        <w:rPr>
          <w:rFonts w:ascii="Calibri" w:hAnsi="Calibri" w:cs="Calibri"/>
        </w:rPr>
        <w:t>ticijskog održavanja.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Financijski rashodi iznose 3.324.000 eura te su za 30.000 eura veći u odnosu na usvojeni plan.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</w:rPr>
        <w:t>Rashodi za nabavu nefinancijske imovine iznose 37.879.314 eura te su manji za 24.162.030 eura u odnosu na usvojeni plan ponajviše zbog prom</w:t>
      </w:r>
      <w:r>
        <w:rPr>
          <w:rFonts w:ascii="Calibri" w:hAnsi="Calibri" w:cs="Calibri"/>
        </w:rPr>
        <w:t>jena u dinamici nabave novih vlakova te prolongiranja ulaganja u građevinske objekte.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</w:rPr>
        <w:t>Prema strukturi čine ih:</w:t>
      </w:r>
    </w:p>
    <w:p w:rsidR="009A010D" w:rsidRDefault="008101BC">
      <w:pPr>
        <w:spacing w:line="240" w:lineRule="auto"/>
        <w:ind w:left="1080" w:hanging="360"/>
        <w:jc w:val="both"/>
      </w:pPr>
      <w:r>
        <w:rPr>
          <w:rFonts w:ascii="Calibri" w:hAnsi="Calibri" w:cs="Calibri"/>
          <w:color w:val="000000"/>
        </w:rPr>
        <w:t xml:space="preserve">-      rashodi za nabavu proizvedene dugotrajne imovine u iznosu od 34.458.229 eura koji se odnose na prijevozna sredstva u iznosu od 33.413.229 </w:t>
      </w:r>
      <w:r>
        <w:rPr>
          <w:rFonts w:ascii="Calibri" w:hAnsi="Calibri" w:cs="Calibri"/>
          <w:color w:val="000000"/>
        </w:rPr>
        <w:t>eura i nematerijalnu proizvedenu imovinu, odnosno ulaganja u računalne programe </w:t>
      </w:r>
      <w:r>
        <w:rPr>
          <w:rFonts w:ascii="Calibri" w:hAnsi="Calibri" w:cs="Calibri"/>
        </w:rPr>
        <w:t> </w:t>
      </w:r>
      <w:r>
        <w:rPr>
          <w:rFonts w:ascii="Calibri" w:hAnsi="Calibri" w:cs="Calibri"/>
          <w:color w:val="000000"/>
        </w:rPr>
        <w:t>u iznosu od 1.045.000 eura.</w:t>
      </w:r>
    </w:p>
    <w:p w:rsidR="009A010D" w:rsidRDefault="008101BC">
      <w:pPr>
        <w:spacing w:line="240" w:lineRule="auto"/>
        <w:ind w:left="1080" w:hanging="360"/>
        <w:jc w:val="both"/>
      </w:pPr>
      <w:r>
        <w:rPr>
          <w:rFonts w:ascii="Calibri" w:hAnsi="Calibri" w:cs="Calibri"/>
          <w:color w:val="000000"/>
        </w:rPr>
        <w:t>-      rashodi za dodatna ulaganja na nefinancijskoj imovini u iznosu od 3.421.085 eura, a odnose se na ulaganja u prijevozna sredstva, građevinske</w:t>
      </w:r>
      <w:r>
        <w:rPr>
          <w:rFonts w:ascii="Calibri" w:hAnsi="Calibri" w:cs="Calibri"/>
          <w:color w:val="000000"/>
        </w:rPr>
        <w:t xml:space="preserve"> objekte te ostalu nefinancijsku imovinu.</w:t>
      </w:r>
    </w:p>
    <w:p w:rsidR="009A010D" w:rsidRDefault="008101BC" w:rsidP="008101BC">
      <w:pPr>
        <w:spacing w:line="240" w:lineRule="auto"/>
        <w:jc w:val="both"/>
      </w:pPr>
      <w:r>
        <w:rPr>
          <w:rFonts w:ascii="Calibri" w:hAnsi="Calibri" w:cs="Calibri"/>
        </w:rPr>
        <w:br/>
      </w:r>
      <w:r>
        <w:rPr>
          <w:rFonts w:ascii="Calibri" w:hAnsi="Calibri" w:cs="Calibri"/>
          <w:b/>
          <w:u w:val="single"/>
        </w:rPr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9A010D">
        <w:tc>
          <w:tcPr>
            <w:tcW w:w="2000" w:type="pct"/>
            <w:shd w:val="clear" w:color="auto" w:fill="BCDFFB"/>
            <w:vAlign w:val="center"/>
          </w:tcPr>
          <w:p w:rsidR="009A010D" w:rsidRDefault="009A010D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A010D">
        <w:tc>
          <w:tcPr>
            <w:tcW w:w="2000" w:type="pct"/>
            <w:vAlign w:val="bottom"/>
          </w:tcPr>
          <w:p w:rsidR="009A010D" w:rsidRDefault="008101B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159.653.837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3.290.553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162.944.390</w:t>
            </w:r>
          </w:p>
        </w:tc>
        <w:tc>
          <w:tcPr>
            <w:tcW w:w="4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102,1</w:t>
            </w:r>
          </w:p>
        </w:tc>
      </w:tr>
      <w:tr w:rsidR="009A010D">
        <w:tc>
          <w:tcPr>
            <w:tcW w:w="2000" w:type="pct"/>
            <w:vAlign w:val="bottom"/>
          </w:tcPr>
          <w:p w:rsidR="009A010D" w:rsidRDefault="008101B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160.601.264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-1.053.758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159.547.506</w:t>
            </w:r>
          </w:p>
        </w:tc>
        <w:tc>
          <w:tcPr>
            <w:tcW w:w="4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99,3</w:t>
            </w:r>
          </w:p>
        </w:tc>
      </w:tr>
      <w:tr w:rsidR="009A010D">
        <w:tc>
          <w:tcPr>
            <w:tcW w:w="2000" w:type="pct"/>
            <w:vAlign w:val="bottom"/>
          </w:tcPr>
          <w:p w:rsidR="009A010D" w:rsidRDefault="008101B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 xml:space="preserve">RAZLIKA - </w:t>
            </w:r>
            <w:r>
              <w:rPr>
                <w:rFonts w:ascii="Calibri" w:hAnsi="Calibri" w:cs="Calibri"/>
                <w:b/>
                <w:sz w:val="18"/>
              </w:rPr>
              <w:t>VIŠAK/MANJAK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-947.427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4.344.311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3.396.884</w:t>
            </w:r>
          </w:p>
        </w:tc>
        <w:tc>
          <w:tcPr>
            <w:tcW w:w="4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-358,5</w:t>
            </w:r>
          </w:p>
        </w:tc>
      </w:tr>
    </w:tbl>
    <w:p w:rsidR="009A010D" w:rsidRDefault="009A010D">
      <w:pPr>
        <w:spacing w:after="0" w:line="240" w:lineRule="auto"/>
      </w:pP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Prijedlog izmjena i dopuna Financijskog plana HŽ Putničkog prijevoza za 2024. rezultira viškom prihoda u odnosu na rashode u iznosu od 3.396.884 eura.</w:t>
      </w:r>
    </w:p>
    <w:p w:rsidR="009A010D" w:rsidRDefault="008101B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2"/>
        <w:gridCol w:w="1634"/>
        <w:gridCol w:w="1634"/>
        <w:gridCol w:w="1634"/>
        <w:gridCol w:w="838"/>
      </w:tblGrid>
      <w:tr w:rsidR="009A010D">
        <w:tc>
          <w:tcPr>
            <w:tcW w:w="2000" w:type="pct"/>
            <w:shd w:val="clear" w:color="auto" w:fill="BCDFFB"/>
            <w:vAlign w:val="center"/>
          </w:tcPr>
          <w:p w:rsidR="009A010D" w:rsidRDefault="009A010D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</w:r>
            <w:r>
              <w:rPr>
                <w:rFonts w:ascii="Calibri" w:hAnsi="Calibri" w:cs="Calibri"/>
                <w:b/>
                <w:sz w:val="18"/>
              </w:rPr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A010D" w:rsidRDefault="008101B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A010D">
        <w:tc>
          <w:tcPr>
            <w:tcW w:w="2000" w:type="pct"/>
            <w:vAlign w:val="bottom"/>
          </w:tcPr>
          <w:p w:rsidR="009A010D" w:rsidRDefault="008101B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8.200.000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-8.200.000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9A010D" w:rsidRDefault="009A010D">
            <w:pPr>
              <w:spacing w:after="0" w:line="240" w:lineRule="auto"/>
              <w:jc w:val="right"/>
            </w:pPr>
          </w:p>
        </w:tc>
      </w:tr>
      <w:tr w:rsidR="009A010D">
        <w:tc>
          <w:tcPr>
            <w:tcW w:w="2000" w:type="pct"/>
            <w:vAlign w:val="bottom"/>
          </w:tcPr>
          <w:p w:rsidR="009A010D" w:rsidRDefault="008101B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7.047.581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7.047.581</w:t>
            </w:r>
          </w:p>
        </w:tc>
        <w:tc>
          <w:tcPr>
            <w:tcW w:w="4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9A010D">
        <w:tc>
          <w:tcPr>
            <w:tcW w:w="2000" w:type="pct"/>
            <w:vAlign w:val="bottom"/>
          </w:tcPr>
          <w:p w:rsidR="009A010D" w:rsidRDefault="008101B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RAZLIKA PRIMITAKA I IZDATAKA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1.152.419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-8.200.000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-7.047.581</w:t>
            </w:r>
          </w:p>
        </w:tc>
        <w:tc>
          <w:tcPr>
            <w:tcW w:w="4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-611,5</w:t>
            </w:r>
          </w:p>
        </w:tc>
      </w:tr>
      <w:tr w:rsidR="009A010D">
        <w:tc>
          <w:tcPr>
            <w:tcW w:w="2000" w:type="pct"/>
            <w:vAlign w:val="bottom"/>
          </w:tcPr>
          <w:p w:rsidR="009A010D" w:rsidRDefault="008101B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8.630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3.642.067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3.650.697</w:t>
            </w:r>
          </w:p>
        </w:tc>
        <w:tc>
          <w:tcPr>
            <w:tcW w:w="4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42.302,4</w:t>
            </w:r>
          </w:p>
        </w:tc>
      </w:tr>
      <w:tr w:rsidR="009A010D">
        <w:tc>
          <w:tcPr>
            <w:tcW w:w="2000" w:type="pct"/>
            <w:vAlign w:val="bottom"/>
          </w:tcPr>
          <w:p w:rsidR="009A010D" w:rsidRDefault="008101B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-213.622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213.622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9A010D" w:rsidRDefault="009A010D">
            <w:pPr>
              <w:spacing w:after="0" w:line="240" w:lineRule="auto"/>
              <w:jc w:val="right"/>
            </w:pPr>
          </w:p>
        </w:tc>
      </w:tr>
      <w:tr w:rsidR="009A010D">
        <w:tc>
          <w:tcPr>
            <w:tcW w:w="2000" w:type="pct"/>
            <w:vAlign w:val="bottom"/>
          </w:tcPr>
          <w:p w:rsidR="009A010D" w:rsidRDefault="008101B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947.427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-4.344.311</w:t>
            </w:r>
          </w:p>
        </w:tc>
        <w:tc>
          <w:tcPr>
            <w:tcW w:w="8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-3.396.884</w:t>
            </w:r>
          </w:p>
        </w:tc>
        <w:tc>
          <w:tcPr>
            <w:tcW w:w="400" w:type="pct"/>
            <w:vAlign w:val="bottom"/>
          </w:tcPr>
          <w:p w:rsidR="009A010D" w:rsidRDefault="008101B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-358,5</w:t>
            </w:r>
          </w:p>
        </w:tc>
      </w:tr>
    </w:tbl>
    <w:p w:rsidR="009A010D" w:rsidRDefault="009A010D">
      <w:pPr>
        <w:spacing w:after="0" w:line="240" w:lineRule="auto"/>
      </w:pP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Planirani primici od </w:t>
      </w:r>
      <w:r>
        <w:rPr>
          <w:rFonts w:ascii="Calibri" w:hAnsi="Calibri" w:cs="Calibri"/>
          <w:color w:val="000000"/>
        </w:rPr>
        <w:t>financijske imovine i zaduživanja za 2024. godinu manji su za 8.200.000 eura u odnosu na usvojeni plan zbog prolongiranja kreditnog zaduženja.</w:t>
      </w:r>
    </w:p>
    <w:p w:rsidR="009A010D" w:rsidRDefault="008101BC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Planirani izdaci za otplatu glavnice primljenih kredita i zajmova za 2024. godinu iznose 7.047.581 euro te su nep</w:t>
      </w:r>
      <w:r>
        <w:rPr>
          <w:rFonts w:ascii="Calibri" w:hAnsi="Calibri" w:cs="Calibri"/>
          <w:color w:val="000000"/>
        </w:rPr>
        <w:t>romijenjeni u odnosu na usvo</w:t>
      </w:r>
      <w:bookmarkStart w:id="0" w:name="_GoBack"/>
      <w:bookmarkEnd w:id="0"/>
      <w:r>
        <w:rPr>
          <w:rFonts w:ascii="Calibri" w:hAnsi="Calibri" w:cs="Calibri"/>
          <w:color w:val="000000"/>
        </w:rPr>
        <w:t>jeni plan.</w:t>
      </w:r>
    </w:p>
    <w:sectPr w:rsidR="009A010D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101BC">
      <w:pPr>
        <w:spacing w:after="0" w:line="240" w:lineRule="auto"/>
      </w:pPr>
      <w:r>
        <w:separator/>
      </w:r>
    </w:p>
  </w:endnote>
  <w:endnote w:type="continuationSeparator" w:id="0">
    <w:p w:rsidR="00000000" w:rsidRDefault="00810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10D" w:rsidRDefault="008101BC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101BC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101BC">
      <w:pPr>
        <w:spacing w:after="0" w:line="240" w:lineRule="auto"/>
      </w:pPr>
      <w:r>
        <w:separator/>
      </w:r>
    </w:p>
  </w:footnote>
  <w:footnote w:type="continuationSeparator" w:id="0">
    <w:p w:rsidR="00000000" w:rsidRDefault="00810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010D"/>
    <w:rsid w:val="008101BC"/>
    <w:rsid w:val="009A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832A09-BA85-4EBD-8AEA-4C8DDBC2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1225</Words>
  <Characters>6985</Characters>
  <Application>Microsoft Office Word</Application>
  <DocSecurity>0</DocSecurity>
  <Lines>58</Lines>
  <Paragraphs>16</Paragraphs>
  <ScaleCrop>false</ScaleCrop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2</cp:revision>
  <dcterms:created xsi:type="dcterms:W3CDTF">2024-10-01T14:40:00Z</dcterms:created>
  <dcterms:modified xsi:type="dcterms:W3CDTF">2024-10-01T14:41:00Z</dcterms:modified>
</cp:coreProperties>
</file>