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374B" w:rsidRDefault="009A2C84">
      <w:pPr>
        <w:spacing w:line="240" w:lineRule="auto"/>
        <w:jc w:val="center"/>
      </w:pP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t>OBRAZLOŽENJE IZMJENA I DOPUNA FINANCIJSKOG PLANA HRVATSKIH CESTA ZA  2024. GODINU I PROJEKCIJA PLANA ZA 2025. I 2026. GODINU</w:t>
      </w:r>
      <w:r>
        <w:rPr>
          <w:rFonts w:ascii="Calibri" w:hAnsi="Calibri" w:cs="Calibri"/>
          <w:b/>
          <w:sz w:val="28"/>
        </w:rPr>
        <w:br w:type="page"/>
      </w:r>
    </w:p>
    <w:p w:rsidR="00E5374B" w:rsidRDefault="009A2C84">
      <w:pPr>
        <w:spacing w:line="240" w:lineRule="auto"/>
      </w:pPr>
      <w:r>
        <w:rPr>
          <w:rFonts w:ascii="Calibri" w:hAnsi="Calibri" w:cs="Calibri"/>
          <w:b/>
          <w:u w:val="single"/>
        </w:rPr>
        <w:lastRenderedPageBreak/>
        <w:br/>
        <w:t>UVOD</w:t>
      </w:r>
    </w:p>
    <w:p w:rsidR="00E5374B" w:rsidRDefault="009A2C84">
      <w:pPr>
        <w:spacing w:line="240" w:lineRule="auto"/>
        <w:jc w:val="both"/>
      </w:pPr>
      <w:r>
        <w:rPr>
          <w:rFonts w:ascii="Calibri" w:hAnsi="Calibri" w:cs="Calibri"/>
        </w:rPr>
        <w:t xml:space="preserve">Trgovačko društvo </w:t>
      </w:r>
      <w:r>
        <w:rPr>
          <w:rFonts w:ascii="Calibri" w:hAnsi="Calibri" w:cs="Calibri"/>
        </w:rPr>
        <w:t>Hrvatske ceste d.o.o. osnovano je s ciljem ulaganja u cestovnu infrastrukturu kako bi se osigurao siguran promet, poboljšala kvaliteta života u zajednici kao i ekonomski prosperitet. Glavni zadatak Društva je kvalitetno cestovno povezivanje hrvatskih regij</w:t>
      </w:r>
      <w:r>
        <w:rPr>
          <w:rFonts w:ascii="Calibri" w:hAnsi="Calibri" w:cs="Calibri"/>
        </w:rPr>
        <w:t>a, uz povezivanje na europske prometne pravce. Razvojem cestovne infrastrukture potiče se uključivanje hrvatskog gospodarstva u međunarodno okruženje, u nastojanju doprinosa dinamici gospodarskog razvitka.</w:t>
      </w:r>
    </w:p>
    <w:p w:rsidR="00E5374B" w:rsidRDefault="009A2C84">
      <w:pPr>
        <w:spacing w:line="240" w:lineRule="auto"/>
        <w:jc w:val="both"/>
      </w:pPr>
      <w:r>
        <w:rPr>
          <w:rFonts w:ascii="Calibri" w:hAnsi="Calibri" w:cs="Calibri"/>
        </w:rPr>
        <w:t xml:space="preserve">Poslovanje društva Hrvatske ceste d.o.o. određeno </w:t>
      </w:r>
      <w:r>
        <w:rPr>
          <w:rFonts w:ascii="Calibri" w:hAnsi="Calibri" w:cs="Calibri"/>
        </w:rPr>
        <w:t>je Zakonom o cestama, Izjavom o osnivanju, Zakonom o trgovačkim društvima, Zakonom o proračunu, odlukama Vlade Republike Hrvatske te drugim zakonima i pravilnicima vezanima uz djelatnost Društva. Osnovna djelatnost Društva je upravljanje, građenje, rekonst</w:t>
      </w:r>
      <w:r>
        <w:rPr>
          <w:rFonts w:ascii="Calibri" w:hAnsi="Calibri" w:cs="Calibri"/>
        </w:rPr>
        <w:t xml:space="preserve">rukcija i održavanje državnih cesta. </w:t>
      </w:r>
    </w:p>
    <w:p w:rsidR="00E5374B" w:rsidRDefault="009A2C84">
      <w:pPr>
        <w:spacing w:line="240" w:lineRule="auto"/>
        <w:jc w:val="both"/>
      </w:pPr>
      <w:r>
        <w:rPr>
          <w:rFonts w:ascii="Calibri" w:hAnsi="Calibri" w:cs="Calibri"/>
        </w:rPr>
        <w:t>Hrvatski sabor je na svojoj sjednici 30. studenoga 2023. godine donio Odluku o davanju suglasnosti na Financijski plan Hrvatskih cesta za 2024. godinu i projekcija plana za 2025. i 2026. godinu (NN 149/23).</w:t>
      </w:r>
    </w:p>
    <w:p w:rsidR="00E5374B" w:rsidRDefault="009A2C84">
      <w:pPr>
        <w:spacing w:line="240" w:lineRule="auto"/>
        <w:jc w:val="both"/>
      </w:pPr>
      <w:r>
        <w:rPr>
          <w:rFonts w:ascii="Calibri" w:hAnsi="Calibri" w:cs="Calibri"/>
        </w:rPr>
        <w:t>U sklopu iz</w:t>
      </w:r>
      <w:r>
        <w:rPr>
          <w:rFonts w:ascii="Calibri" w:hAnsi="Calibri" w:cs="Calibri"/>
        </w:rPr>
        <w:t>rade Prijedloga Izmjena i dopuna Državnog proračuna Republike Hrvatske za 2024. godinu Društvo je pripremilo nove Izmjene i dopune Financijskog plana za 2024. godinu.</w:t>
      </w:r>
    </w:p>
    <w:p w:rsidR="00E5374B" w:rsidRDefault="009A2C84">
      <w:pPr>
        <w:spacing w:line="240" w:lineRule="auto"/>
      </w:pPr>
      <w:r>
        <w:rPr>
          <w:rFonts w:ascii="Calibri" w:hAnsi="Calibri" w:cs="Calibri"/>
          <w:b/>
          <w:u w:val="single"/>
        </w:rPr>
        <w:br/>
        <w:t>PRIHODI</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4097"/>
        <w:gridCol w:w="1639"/>
        <w:gridCol w:w="1638"/>
        <w:gridCol w:w="1638"/>
        <w:gridCol w:w="820"/>
      </w:tblGrid>
      <w:tr w:rsidR="00E5374B">
        <w:tc>
          <w:tcPr>
            <w:tcW w:w="2000" w:type="pct"/>
            <w:shd w:val="clear" w:color="auto" w:fill="BCDFFB"/>
            <w:vAlign w:val="center"/>
          </w:tcPr>
          <w:p w:rsidR="00E5374B" w:rsidRDefault="00E5374B">
            <w:pPr>
              <w:spacing w:after="0" w:line="240" w:lineRule="auto"/>
              <w:jc w:val="center"/>
            </w:pPr>
          </w:p>
        </w:tc>
        <w:tc>
          <w:tcPr>
            <w:tcW w:w="800" w:type="pct"/>
            <w:shd w:val="clear" w:color="auto" w:fill="BCDFFB"/>
            <w:vAlign w:val="center"/>
          </w:tcPr>
          <w:p w:rsidR="00E5374B" w:rsidRDefault="009A2C84">
            <w:pPr>
              <w:spacing w:after="0" w:line="240" w:lineRule="auto"/>
              <w:jc w:val="center"/>
            </w:pPr>
            <w:r>
              <w:rPr>
                <w:rFonts w:ascii="Calibri" w:hAnsi="Calibri" w:cs="Calibri"/>
                <w:b/>
                <w:sz w:val="18"/>
              </w:rPr>
              <w:t>Plan za 2024.</w:t>
            </w:r>
          </w:p>
        </w:tc>
        <w:tc>
          <w:tcPr>
            <w:tcW w:w="800" w:type="pct"/>
            <w:shd w:val="clear" w:color="auto" w:fill="BCDFFB"/>
            <w:vAlign w:val="center"/>
          </w:tcPr>
          <w:p w:rsidR="00E5374B" w:rsidRDefault="009A2C84">
            <w:pPr>
              <w:spacing w:after="0" w:line="240" w:lineRule="auto"/>
              <w:jc w:val="center"/>
            </w:pPr>
            <w:r>
              <w:rPr>
                <w:rFonts w:ascii="Calibri" w:hAnsi="Calibri" w:cs="Calibri"/>
                <w:b/>
                <w:sz w:val="18"/>
              </w:rPr>
              <w:t>Povećanje/</w:t>
            </w:r>
            <w:r>
              <w:rPr>
                <w:rFonts w:ascii="Calibri" w:hAnsi="Calibri" w:cs="Calibri"/>
                <w:b/>
                <w:sz w:val="18"/>
              </w:rPr>
              <w:br/>
              <w:t>Smanjenje</w:t>
            </w:r>
          </w:p>
        </w:tc>
        <w:tc>
          <w:tcPr>
            <w:tcW w:w="800" w:type="pct"/>
            <w:shd w:val="clear" w:color="auto" w:fill="BCDFFB"/>
            <w:vAlign w:val="center"/>
          </w:tcPr>
          <w:p w:rsidR="00E5374B" w:rsidRDefault="009A2C84">
            <w:pPr>
              <w:spacing w:after="0" w:line="240" w:lineRule="auto"/>
              <w:jc w:val="center"/>
            </w:pPr>
            <w:r>
              <w:rPr>
                <w:rFonts w:ascii="Calibri" w:hAnsi="Calibri" w:cs="Calibri"/>
                <w:b/>
                <w:sz w:val="18"/>
              </w:rPr>
              <w:t>Novi plan za</w:t>
            </w:r>
            <w:r>
              <w:rPr>
                <w:rFonts w:ascii="Calibri" w:hAnsi="Calibri" w:cs="Calibri"/>
                <w:b/>
                <w:sz w:val="18"/>
              </w:rPr>
              <w:br/>
              <w:t>2024.</w:t>
            </w:r>
          </w:p>
        </w:tc>
        <w:tc>
          <w:tcPr>
            <w:tcW w:w="400" w:type="pct"/>
            <w:shd w:val="clear" w:color="auto" w:fill="BCDFFB"/>
            <w:vAlign w:val="center"/>
          </w:tcPr>
          <w:p w:rsidR="00E5374B" w:rsidRDefault="009A2C84">
            <w:pPr>
              <w:spacing w:after="0" w:line="240" w:lineRule="auto"/>
              <w:jc w:val="center"/>
            </w:pPr>
            <w:r>
              <w:rPr>
                <w:rFonts w:ascii="Calibri" w:hAnsi="Calibri" w:cs="Calibri"/>
                <w:b/>
                <w:sz w:val="18"/>
              </w:rPr>
              <w:t>Indeks</w:t>
            </w:r>
          </w:p>
        </w:tc>
      </w:tr>
      <w:tr w:rsidR="00E5374B">
        <w:tc>
          <w:tcPr>
            <w:tcW w:w="2000" w:type="pct"/>
            <w:vAlign w:val="bottom"/>
          </w:tcPr>
          <w:p w:rsidR="00E5374B" w:rsidRDefault="009A2C84">
            <w:pPr>
              <w:spacing w:after="0" w:line="240" w:lineRule="auto"/>
            </w:pPr>
            <w:r>
              <w:rPr>
                <w:rFonts w:ascii="Calibri" w:hAnsi="Calibri" w:cs="Calibri"/>
                <w:sz w:val="18"/>
              </w:rPr>
              <w:t xml:space="preserve">PRIHODI </w:t>
            </w:r>
            <w:r>
              <w:rPr>
                <w:rFonts w:ascii="Calibri" w:hAnsi="Calibri" w:cs="Calibri"/>
                <w:sz w:val="18"/>
              </w:rPr>
              <w:t>POSLOVANJA</w:t>
            </w:r>
          </w:p>
        </w:tc>
        <w:tc>
          <w:tcPr>
            <w:tcW w:w="800" w:type="pct"/>
            <w:vAlign w:val="bottom"/>
          </w:tcPr>
          <w:p w:rsidR="00E5374B" w:rsidRDefault="009A2C84">
            <w:pPr>
              <w:spacing w:after="0" w:line="240" w:lineRule="auto"/>
              <w:jc w:val="right"/>
            </w:pPr>
            <w:r>
              <w:rPr>
                <w:rFonts w:ascii="Calibri" w:hAnsi="Calibri" w:cs="Calibri"/>
                <w:sz w:val="18"/>
              </w:rPr>
              <w:t>373.968.544</w:t>
            </w:r>
          </w:p>
        </w:tc>
        <w:tc>
          <w:tcPr>
            <w:tcW w:w="800" w:type="pct"/>
            <w:vAlign w:val="bottom"/>
          </w:tcPr>
          <w:p w:rsidR="00E5374B" w:rsidRDefault="009A2C84">
            <w:pPr>
              <w:spacing w:after="0" w:line="240" w:lineRule="auto"/>
              <w:jc w:val="right"/>
            </w:pPr>
            <w:r>
              <w:rPr>
                <w:rFonts w:ascii="Calibri" w:hAnsi="Calibri" w:cs="Calibri"/>
                <w:sz w:val="18"/>
              </w:rPr>
              <w:t>-9.358.493</w:t>
            </w:r>
          </w:p>
        </w:tc>
        <w:tc>
          <w:tcPr>
            <w:tcW w:w="800" w:type="pct"/>
            <w:vAlign w:val="bottom"/>
          </w:tcPr>
          <w:p w:rsidR="00E5374B" w:rsidRDefault="009A2C84">
            <w:pPr>
              <w:spacing w:after="0" w:line="240" w:lineRule="auto"/>
              <w:jc w:val="right"/>
            </w:pPr>
            <w:r>
              <w:rPr>
                <w:rFonts w:ascii="Calibri" w:hAnsi="Calibri" w:cs="Calibri"/>
                <w:sz w:val="18"/>
              </w:rPr>
              <w:t>364.610.051</w:t>
            </w:r>
          </w:p>
        </w:tc>
        <w:tc>
          <w:tcPr>
            <w:tcW w:w="400" w:type="pct"/>
            <w:vAlign w:val="bottom"/>
          </w:tcPr>
          <w:p w:rsidR="00E5374B" w:rsidRDefault="009A2C84">
            <w:pPr>
              <w:spacing w:after="0" w:line="240" w:lineRule="auto"/>
              <w:jc w:val="right"/>
            </w:pPr>
            <w:r>
              <w:rPr>
                <w:rFonts w:ascii="Calibri" w:hAnsi="Calibri" w:cs="Calibri"/>
                <w:sz w:val="18"/>
              </w:rPr>
              <w:t>97,5</w:t>
            </w:r>
          </w:p>
        </w:tc>
      </w:tr>
      <w:tr w:rsidR="00E5374B">
        <w:tc>
          <w:tcPr>
            <w:tcW w:w="2000" w:type="pct"/>
            <w:vAlign w:val="bottom"/>
          </w:tcPr>
          <w:p w:rsidR="00E5374B" w:rsidRDefault="009A2C84">
            <w:pPr>
              <w:spacing w:after="0" w:line="240" w:lineRule="auto"/>
            </w:pPr>
            <w:r>
              <w:rPr>
                <w:rFonts w:ascii="Calibri" w:hAnsi="Calibri" w:cs="Calibri"/>
                <w:sz w:val="18"/>
              </w:rPr>
              <w:t>PRIHODI OD PRODAJE NEFINANCIJSKE IMOVINE</w:t>
            </w:r>
          </w:p>
        </w:tc>
        <w:tc>
          <w:tcPr>
            <w:tcW w:w="800" w:type="pct"/>
            <w:vAlign w:val="bottom"/>
          </w:tcPr>
          <w:p w:rsidR="00E5374B" w:rsidRDefault="009A2C84">
            <w:pPr>
              <w:spacing w:after="0" w:line="240" w:lineRule="auto"/>
              <w:jc w:val="right"/>
            </w:pPr>
            <w:r>
              <w:rPr>
                <w:rFonts w:ascii="Calibri" w:hAnsi="Calibri" w:cs="Calibri"/>
                <w:sz w:val="18"/>
              </w:rPr>
              <w:t>1.058.300</w:t>
            </w:r>
          </w:p>
        </w:tc>
        <w:tc>
          <w:tcPr>
            <w:tcW w:w="800" w:type="pct"/>
            <w:vAlign w:val="bottom"/>
          </w:tcPr>
          <w:p w:rsidR="00E5374B" w:rsidRDefault="009A2C84">
            <w:pPr>
              <w:spacing w:after="0" w:line="240" w:lineRule="auto"/>
              <w:jc w:val="right"/>
            </w:pPr>
            <w:r>
              <w:rPr>
                <w:rFonts w:ascii="Calibri" w:hAnsi="Calibri" w:cs="Calibri"/>
                <w:sz w:val="18"/>
              </w:rPr>
              <w:t>-288.300</w:t>
            </w:r>
          </w:p>
        </w:tc>
        <w:tc>
          <w:tcPr>
            <w:tcW w:w="800" w:type="pct"/>
            <w:vAlign w:val="bottom"/>
          </w:tcPr>
          <w:p w:rsidR="00E5374B" w:rsidRDefault="009A2C84">
            <w:pPr>
              <w:spacing w:after="0" w:line="240" w:lineRule="auto"/>
              <w:jc w:val="right"/>
            </w:pPr>
            <w:r>
              <w:rPr>
                <w:rFonts w:ascii="Calibri" w:hAnsi="Calibri" w:cs="Calibri"/>
                <w:sz w:val="18"/>
              </w:rPr>
              <w:t>770.000</w:t>
            </w:r>
          </w:p>
        </w:tc>
        <w:tc>
          <w:tcPr>
            <w:tcW w:w="400" w:type="pct"/>
            <w:vAlign w:val="bottom"/>
          </w:tcPr>
          <w:p w:rsidR="00E5374B" w:rsidRDefault="009A2C84">
            <w:pPr>
              <w:spacing w:after="0" w:line="240" w:lineRule="auto"/>
              <w:jc w:val="right"/>
            </w:pPr>
            <w:r>
              <w:rPr>
                <w:rFonts w:ascii="Calibri" w:hAnsi="Calibri" w:cs="Calibri"/>
                <w:sz w:val="18"/>
              </w:rPr>
              <w:t>72,8</w:t>
            </w:r>
          </w:p>
        </w:tc>
      </w:tr>
      <w:tr w:rsidR="00E5374B">
        <w:tc>
          <w:tcPr>
            <w:tcW w:w="2000" w:type="pct"/>
            <w:vAlign w:val="bottom"/>
          </w:tcPr>
          <w:p w:rsidR="00E5374B" w:rsidRDefault="009A2C84">
            <w:pPr>
              <w:spacing w:after="0" w:line="240" w:lineRule="auto"/>
            </w:pPr>
            <w:r>
              <w:rPr>
                <w:rFonts w:ascii="Calibri" w:hAnsi="Calibri" w:cs="Calibri"/>
                <w:b/>
                <w:sz w:val="18"/>
              </w:rPr>
              <w:t>UKUPNI PRIHODI</w:t>
            </w:r>
          </w:p>
        </w:tc>
        <w:tc>
          <w:tcPr>
            <w:tcW w:w="800" w:type="pct"/>
            <w:vAlign w:val="bottom"/>
          </w:tcPr>
          <w:p w:rsidR="00E5374B" w:rsidRDefault="009A2C84">
            <w:pPr>
              <w:spacing w:after="0" w:line="240" w:lineRule="auto"/>
              <w:jc w:val="right"/>
            </w:pPr>
            <w:r>
              <w:rPr>
                <w:rFonts w:ascii="Calibri" w:hAnsi="Calibri" w:cs="Calibri"/>
                <w:b/>
                <w:sz w:val="18"/>
              </w:rPr>
              <w:t>375.026.844</w:t>
            </w:r>
          </w:p>
        </w:tc>
        <w:tc>
          <w:tcPr>
            <w:tcW w:w="800" w:type="pct"/>
            <w:vAlign w:val="bottom"/>
          </w:tcPr>
          <w:p w:rsidR="00E5374B" w:rsidRDefault="009A2C84">
            <w:pPr>
              <w:spacing w:after="0" w:line="240" w:lineRule="auto"/>
              <w:jc w:val="right"/>
            </w:pPr>
            <w:r>
              <w:rPr>
                <w:rFonts w:ascii="Calibri" w:hAnsi="Calibri" w:cs="Calibri"/>
                <w:b/>
                <w:sz w:val="18"/>
              </w:rPr>
              <w:t>-9.646.793</w:t>
            </w:r>
          </w:p>
        </w:tc>
        <w:tc>
          <w:tcPr>
            <w:tcW w:w="800" w:type="pct"/>
            <w:vAlign w:val="bottom"/>
          </w:tcPr>
          <w:p w:rsidR="00E5374B" w:rsidRDefault="009A2C84">
            <w:pPr>
              <w:spacing w:after="0" w:line="240" w:lineRule="auto"/>
              <w:jc w:val="right"/>
            </w:pPr>
            <w:r>
              <w:rPr>
                <w:rFonts w:ascii="Calibri" w:hAnsi="Calibri" w:cs="Calibri"/>
                <w:b/>
                <w:sz w:val="18"/>
              </w:rPr>
              <w:t>365.380.051</w:t>
            </w:r>
          </w:p>
        </w:tc>
        <w:tc>
          <w:tcPr>
            <w:tcW w:w="400" w:type="pct"/>
            <w:vAlign w:val="bottom"/>
          </w:tcPr>
          <w:p w:rsidR="00E5374B" w:rsidRDefault="009A2C84">
            <w:pPr>
              <w:spacing w:after="0" w:line="240" w:lineRule="auto"/>
              <w:jc w:val="right"/>
            </w:pPr>
            <w:r>
              <w:rPr>
                <w:rFonts w:ascii="Calibri" w:hAnsi="Calibri" w:cs="Calibri"/>
                <w:b/>
                <w:sz w:val="18"/>
              </w:rPr>
              <w:t>97,4</w:t>
            </w:r>
          </w:p>
        </w:tc>
      </w:tr>
    </w:tbl>
    <w:p w:rsidR="00E5374B" w:rsidRDefault="00E5374B">
      <w:pPr>
        <w:spacing w:after="0" w:line="240" w:lineRule="auto"/>
      </w:pPr>
    </w:p>
    <w:p w:rsidR="00E5374B" w:rsidRDefault="009A2C84">
      <w:pPr>
        <w:spacing w:line="240" w:lineRule="auto"/>
        <w:jc w:val="both"/>
      </w:pPr>
      <w:r>
        <w:rPr>
          <w:rFonts w:ascii="Calibri" w:hAnsi="Calibri" w:cs="Calibri"/>
        </w:rPr>
        <w:t xml:space="preserve">Ukupni planirani prihodi Hrvatskih cesta u Izmjeni i </w:t>
      </w:r>
      <w:r>
        <w:rPr>
          <w:rFonts w:ascii="Calibri" w:hAnsi="Calibri" w:cs="Calibri"/>
        </w:rPr>
        <w:t xml:space="preserve">dopuni Financijskog plana za 2024. godinu iznose 365,38 milijuna eura, što predstavlja smanjenje od 2,57 % u odnosu na izvorni Plan. </w:t>
      </w:r>
    </w:p>
    <w:p w:rsidR="00E5374B" w:rsidRDefault="009A2C84">
      <w:pPr>
        <w:spacing w:line="240" w:lineRule="auto"/>
        <w:jc w:val="both"/>
      </w:pPr>
      <w:r>
        <w:rPr>
          <w:rFonts w:ascii="Calibri" w:hAnsi="Calibri" w:cs="Calibri"/>
        </w:rPr>
        <w:t xml:space="preserve">Prihodi poslovanja smanjeni su za 2,50 % na 364,61 milijuna eura. Najznačajniju stavku prihoda poslovanja </w:t>
      </w:r>
      <w:r>
        <w:rPr>
          <w:rFonts w:ascii="Calibri" w:hAnsi="Calibri" w:cs="Calibri"/>
        </w:rPr>
        <w:t>čini naknada za financiranje građenja i održavanja javnih cesta propisana Zakonom o cestama, a uplaćuje se iz Državnog proračuna. Prihodi od naknade iz goriva planirani su u iznosu od 318,12 milijuna eura te nisu promijenjeni u odnosu na originalni Plan.</w:t>
      </w:r>
    </w:p>
    <w:p w:rsidR="00E5374B" w:rsidRDefault="009A2C84">
      <w:pPr>
        <w:spacing w:line="240" w:lineRule="auto"/>
        <w:jc w:val="both"/>
      </w:pPr>
      <w:r>
        <w:rPr>
          <w:rFonts w:ascii="Calibri" w:hAnsi="Calibri" w:cs="Calibri"/>
        </w:rPr>
        <w:t>P</w:t>
      </w:r>
      <w:r>
        <w:rPr>
          <w:rFonts w:ascii="Calibri" w:hAnsi="Calibri" w:cs="Calibri"/>
        </w:rPr>
        <w:t>lanirani iznos za Pomoći temeljem prijenosa sredstava EU iznosi 26,86 milijuna eura, što je smanjenje od 12,41 milijuna eura, odnosno 31,61 % u odnosu na prvotno planirano. Većina navedenog smanjenja posljedica je kasnijeg planiranog sklapanja ugovora o do</w:t>
      </w:r>
      <w:r>
        <w:rPr>
          <w:rFonts w:ascii="Calibri" w:hAnsi="Calibri" w:cs="Calibri"/>
        </w:rPr>
        <w:t xml:space="preserve">djeli bespovratnih sredstava i početka radova za dijelove projekata Multimodalne platforme splitske aglomeracije i Brze ceste Bjelovar-Virovitica-granica Mađarske. Očekuje se sklapanje navedenih ugovora do kraja ove godine. Preostala planirana sredstva za </w:t>
      </w:r>
      <w:r>
        <w:rPr>
          <w:rFonts w:ascii="Calibri" w:hAnsi="Calibri" w:cs="Calibri"/>
        </w:rPr>
        <w:t>financiranje EU projekata i programa odnose se na projekte: Izgradnja DC403 od Čvora Škurinje do Luke Rijeka, Cestovna Povezanost s Južnom Dalmacijom, Sanacija opasnih mjesta na državnim cestama te projekt Srijemska Granična Transverzala - Dionica Ilok – L</w:t>
      </w:r>
      <w:r>
        <w:rPr>
          <w:rFonts w:ascii="Calibri" w:hAnsi="Calibri" w:cs="Calibri"/>
        </w:rPr>
        <w:t>ipovac, izgradnja obilaznice Apševaca i Lipovca.</w:t>
      </w:r>
    </w:p>
    <w:p w:rsidR="00E5374B" w:rsidRDefault="009A2C84">
      <w:pPr>
        <w:spacing w:line="240" w:lineRule="auto"/>
        <w:jc w:val="both"/>
      </w:pPr>
      <w:r>
        <w:rPr>
          <w:rFonts w:ascii="Calibri" w:hAnsi="Calibri" w:cs="Calibri"/>
        </w:rPr>
        <w:t>Prihodi od imovine povećani su za 18,17 % odnosno za 0,67 milijuna eura. Povećanje se odnosi na povećanje stavke Prihodi od zakupa i iznajmljivanja imovine gdje se ove godine počeo naplaćivati najam staciona</w:t>
      </w:r>
      <w:r>
        <w:rPr>
          <w:rFonts w:ascii="Calibri" w:hAnsi="Calibri" w:cs="Calibri"/>
        </w:rPr>
        <w:t>ra i pomoćnih objekata koje koriste povezana trgovačka društva.</w:t>
      </w:r>
    </w:p>
    <w:p w:rsidR="009A2C84" w:rsidRDefault="009A2C84">
      <w:pPr>
        <w:spacing w:line="240" w:lineRule="auto"/>
        <w:jc w:val="both"/>
        <w:rPr>
          <w:rFonts w:ascii="Calibri" w:hAnsi="Calibri" w:cs="Calibri"/>
        </w:rPr>
      </w:pPr>
      <w:r>
        <w:rPr>
          <w:rFonts w:ascii="Calibri" w:hAnsi="Calibri" w:cs="Calibri"/>
        </w:rPr>
        <w:t>Prihodi od prodaje nefinancijske imovine smanjeni su za 0,29 milijuna eura, a odnose se na prodaju poslovnog objekta u Varaždinu koja neće biti realizirana ove godine.</w:t>
      </w:r>
    </w:p>
    <w:p w:rsidR="00E5374B" w:rsidRDefault="009A2C84">
      <w:pPr>
        <w:spacing w:line="240" w:lineRule="auto"/>
        <w:jc w:val="both"/>
      </w:pPr>
      <w:bookmarkStart w:id="0" w:name="_GoBack"/>
      <w:bookmarkEnd w:id="0"/>
      <w:r>
        <w:rPr>
          <w:rFonts w:ascii="Calibri" w:hAnsi="Calibri" w:cs="Calibri"/>
        </w:rPr>
        <w:br/>
      </w:r>
    </w:p>
    <w:p w:rsidR="00E5374B" w:rsidRDefault="009A2C84">
      <w:pPr>
        <w:spacing w:line="240" w:lineRule="auto"/>
      </w:pPr>
      <w:r>
        <w:rPr>
          <w:rFonts w:ascii="Calibri" w:hAnsi="Calibri" w:cs="Calibri"/>
          <w:b/>
          <w:u w:val="single"/>
        </w:rPr>
        <w:br/>
        <w:t>RASHODI</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4097"/>
        <w:gridCol w:w="1639"/>
        <w:gridCol w:w="1638"/>
        <w:gridCol w:w="1638"/>
        <w:gridCol w:w="820"/>
      </w:tblGrid>
      <w:tr w:rsidR="00E5374B">
        <w:tc>
          <w:tcPr>
            <w:tcW w:w="2000" w:type="pct"/>
            <w:shd w:val="clear" w:color="auto" w:fill="BCDFFB"/>
            <w:vAlign w:val="center"/>
          </w:tcPr>
          <w:p w:rsidR="00E5374B" w:rsidRDefault="00E5374B">
            <w:pPr>
              <w:spacing w:after="0" w:line="240" w:lineRule="auto"/>
              <w:jc w:val="center"/>
            </w:pPr>
          </w:p>
        </w:tc>
        <w:tc>
          <w:tcPr>
            <w:tcW w:w="800" w:type="pct"/>
            <w:shd w:val="clear" w:color="auto" w:fill="BCDFFB"/>
            <w:vAlign w:val="center"/>
          </w:tcPr>
          <w:p w:rsidR="00E5374B" w:rsidRDefault="009A2C84">
            <w:pPr>
              <w:spacing w:after="0" w:line="240" w:lineRule="auto"/>
              <w:jc w:val="center"/>
            </w:pPr>
            <w:r>
              <w:rPr>
                <w:rFonts w:ascii="Calibri" w:hAnsi="Calibri" w:cs="Calibri"/>
                <w:b/>
                <w:sz w:val="18"/>
              </w:rPr>
              <w:t>Plan za 2024.</w:t>
            </w:r>
          </w:p>
        </w:tc>
        <w:tc>
          <w:tcPr>
            <w:tcW w:w="800" w:type="pct"/>
            <w:shd w:val="clear" w:color="auto" w:fill="BCDFFB"/>
            <w:vAlign w:val="center"/>
          </w:tcPr>
          <w:p w:rsidR="00E5374B" w:rsidRDefault="009A2C84">
            <w:pPr>
              <w:spacing w:after="0" w:line="240" w:lineRule="auto"/>
              <w:jc w:val="center"/>
            </w:pPr>
            <w:r>
              <w:rPr>
                <w:rFonts w:ascii="Calibri" w:hAnsi="Calibri" w:cs="Calibri"/>
                <w:b/>
                <w:sz w:val="18"/>
              </w:rPr>
              <w:t>Povećanje/</w:t>
            </w:r>
            <w:r>
              <w:rPr>
                <w:rFonts w:ascii="Calibri" w:hAnsi="Calibri" w:cs="Calibri"/>
                <w:b/>
                <w:sz w:val="18"/>
              </w:rPr>
              <w:br/>
              <w:t>Smanjenje</w:t>
            </w:r>
          </w:p>
        </w:tc>
        <w:tc>
          <w:tcPr>
            <w:tcW w:w="800" w:type="pct"/>
            <w:shd w:val="clear" w:color="auto" w:fill="BCDFFB"/>
            <w:vAlign w:val="center"/>
          </w:tcPr>
          <w:p w:rsidR="00E5374B" w:rsidRDefault="009A2C84">
            <w:pPr>
              <w:spacing w:after="0" w:line="240" w:lineRule="auto"/>
              <w:jc w:val="center"/>
            </w:pPr>
            <w:r>
              <w:rPr>
                <w:rFonts w:ascii="Calibri" w:hAnsi="Calibri" w:cs="Calibri"/>
                <w:b/>
                <w:sz w:val="18"/>
              </w:rPr>
              <w:t>Novi plan za</w:t>
            </w:r>
            <w:r>
              <w:rPr>
                <w:rFonts w:ascii="Calibri" w:hAnsi="Calibri" w:cs="Calibri"/>
                <w:b/>
                <w:sz w:val="18"/>
              </w:rPr>
              <w:br/>
              <w:t>2024.</w:t>
            </w:r>
          </w:p>
        </w:tc>
        <w:tc>
          <w:tcPr>
            <w:tcW w:w="400" w:type="pct"/>
            <w:shd w:val="clear" w:color="auto" w:fill="BCDFFB"/>
            <w:vAlign w:val="center"/>
          </w:tcPr>
          <w:p w:rsidR="00E5374B" w:rsidRDefault="009A2C84">
            <w:pPr>
              <w:spacing w:after="0" w:line="240" w:lineRule="auto"/>
              <w:jc w:val="center"/>
            </w:pPr>
            <w:r>
              <w:rPr>
                <w:rFonts w:ascii="Calibri" w:hAnsi="Calibri" w:cs="Calibri"/>
                <w:b/>
                <w:sz w:val="18"/>
              </w:rPr>
              <w:t>Indeks</w:t>
            </w:r>
          </w:p>
        </w:tc>
      </w:tr>
      <w:tr w:rsidR="00E5374B">
        <w:tc>
          <w:tcPr>
            <w:tcW w:w="2000" w:type="pct"/>
            <w:vAlign w:val="bottom"/>
          </w:tcPr>
          <w:p w:rsidR="00E5374B" w:rsidRDefault="009A2C84">
            <w:pPr>
              <w:spacing w:after="0" w:line="240" w:lineRule="auto"/>
            </w:pPr>
            <w:r>
              <w:rPr>
                <w:rFonts w:ascii="Calibri" w:hAnsi="Calibri" w:cs="Calibri"/>
                <w:sz w:val="18"/>
              </w:rPr>
              <w:t>RASHODI POSLOVANJA</w:t>
            </w:r>
          </w:p>
        </w:tc>
        <w:tc>
          <w:tcPr>
            <w:tcW w:w="800" w:type="pct"/>
            <w:vAlign w:val="bottom"/>
          </w:tcPr>
          <w:p w:rsidR="00E5374B" w:rsidRDefault="009A2C84">
            <w:pPr>
              <w:spacing w:after="0" w:line="240" w:lineRule="auto"/>
              <w:jc w:val="right"/>
            </w:pPr>
            <w:r>
              <w:rPr>
                <w:rFonts w:ascii="Calibri" w:hAnsi="Calibri" w:cs="Calibri"/>
                <w:sz w:val="18"/>
              </w:rPr>
              <w:t>207.412.275</w:t>
            </w:r>
          </w:p>
        </w:tc>
        <w:tc>
          <w:tcPr>
            <w:tcW w:w="800" w:type="pct"/>
            <w:vAlign w:val="bottom"/>
          </w:tcPr>
          <w:p w:rsidR="00E5374B" w:rsidRDefault="009A2C84">
            <w:pPr>
              <w:spacing w:after="0" w:line="240" w:lineRule="auto"/>
              <w:jc w:val="right"/>
            </w:pPr>
            <w:r>
              <w:rPr>
                <w:rFonts w:ascii="Calibri" w:hAnsi="Calibri" w:cs="Calibri"/>
                <w:sz w:val="18"/>
              </w:rPr>
              <w:t>-2.450.199</w:t>
            </w:r>
          </w:p>
        </w:tc>
        <w:tc>
          <w:tcPr>
            <w:tcW w:w="800" w:type="pct"/>
            <w:vAlign w:val="bottom"/>
          </w:tcPr>
          <w:p w:rsidR="00E5374B" w:rsidRDefault="009A2C84">
            <w:pPr>
              <w:spacing w:after="0" w:line="240" w:lineRule="auto"/>
              <w:jc w:val="right"/>
            </w:pPr>
            <w:r>
              <w:rPr>
                <w:rFonts w:ascii="Calibri" w:hAnsi="Calibri" w:cs="Calibri"/>
                <w:sz w:val="18"/>
              </w:rPr>
              <w:t>204.962.076</w:t>
            </w:r>
          </w:p>
        </w:tc>
        <w:tc>
          <w:tcPr>
            <w:tcW w:w="400" w:type="pct"/>
            <w:vAlign w:val="bottom"/>
          </w:tcPr>
          <w:p w:rsidR="00E5374B" w:rsidRDefault="009A2C84">
            <w:pPr>
              <w:spacing w:after="0" w:line="240" w:lineRule="auto"/>
              <w:jc w:val="right"/>
            </w:pPr>
            <w:r>
              <w:rPr>
                <w:rFonts w:ascii="Calibri" w:hAnsi="Calibri" w:cs="Calibri"/>
                <w:sz w:val="18"/>
              </w:rPr>
              <w:t>98,8</w:t>
            </w:r>
          </w:p>
        </w:tc>
      </w:tr>
      <w:tr w:rsidR="00E5374B">
        <w:tc>
          <w:tcPr>
            <w:tcW w:w="2000" w:type="pct"/>
            <w:vAlign w:val="bottom"/>
          </w:tcPr>
          <w:p w:rsidR="00E5374B" w:rsidRDefault="009A2C84">
            <w:pPr>
              <w:spacing w:after="0" w:line="240" w:lineRule="auto"/>
            </w:pPr>
            <w:r>
              <w:rPr>
                <w:rFonts w:ascii="Calibri" w:hAnsi="Calibri" w:cs="Calibri"/>
                <w:sz w:val="18"/>
              </w:rPr>
              <w:t>RASHODI ZA NABAVU NEFINANCIJSKE IMOVINE</w:t>
            </w:r>
          </w:p>
        </w:tc>
        <w:tc>
          <w:tcPr>
            <w:tcW w:w="800" w:type="pct"/>
            <w:vAlign w:val="bottom"/>
          </w:tcPr>
          <w:p w:rsidR="00E5374B" w:rsidRDefault="009A2C84">
            <w:pPr>
              <w:spacing w:after="0" w:line="240" w:lineRule="auto"/>
              <w:jc w:val="right"/>
            </w:pPr>
            <w:r>
              <w:rPr>
                <w:rFonts w:ascii="Calibri" w:hAnsi="Calibri" w:cs="Calibri"/>
                <w:sz w:val="18"/>
              </w:rPr>
              <w:t>268.091.770</w:t>
            </w:r>
          </w:p>
        </w:tc>
        <w:tc>
          <w:tcPr>
            <w:tcW w:w="800" w:type="pct"/>
            <w:vAlign w:val="bottom"/>
          </w:tcPr>
          <w:p w:rsidR="00E5374B" w:rsidRDefault="009A2C84">
            <w:pPr>
              <w:spacing w:after="0" w:line="240" w:lineRule="auto"/>
              <w:jc w:val="right"/>
            </w:pPr>
            <w:r>
              <w:rPr>
                <w:rFonts w:ascii="Calibri" w:hAnsi="Calibri" w:cs="Calibri"/>
                <w:sz w:val="18"/>
              </w:rPr>
              <w:t>-11.718.795</w:t>
            </w:r>
          </w:p>
        </w:tc>
        <w:tc>
          <w:tcPr>
            <w:tcW w:w="800" w:type="pct"/>
            <w:vAlign w:val="bottom"/>
          </w:tcPr>
          <w:p w:rsidR="00E5374B" w:rsidRDefault="009A2C84">
            <w:pPr>
              <w:spacing w:after="0" w:line="240" w:lineRule="auto"/>
              <w:jc w:val="right"/>
            </w:pPr>
            <w:r>
              <w:rPr>
                <w:rFonts w:ascii="Calibri" w:hAnsi="Calibri" w:cs="Calibri"/>
                <w:sz w:val="18"/>
              </w:rPr>
              <w:t>256.372.975</w:t>
            </w:r>
          </w:p>
        </w:tc>
        <w:tc>
          <w:tcPr>
            <w:tcW w:w="400" w:type="pct"/>
            <w:vAlign w:val="bottom"/>
          </w:tcPr>
          <w:p w:rsidR="00E5374B" w:rsidRDefault="009A2C84">
            <w:pPr>
              <w:spacing w:after="0" w:line="240" w:lineRule="auto"/>
              <w:jc w:val="right"/>
            </w:pPr>
            <w:r>
              <w:rPr>
                <w:rFonts w:ascii="Calibri" w:hAnsi="Calibri" w:cs="Calibri"/>
                <w:sz w:val="18"/>
              </w:rPr>
              <w:t>95,6</w:t>
            </w:r>
          </w:p>
        </w:tc>
      </w:tr>
      <w:tr w:rsidR="00E5374B">
        <w:tc>
          <w:tcPr>
            <w:tcW w:w="2000" w:type="pct"/>
            <w:vAlign w:val="bottom"/>
          </w:tcPr>
          <w:p w:rsidR="00E5374B" w:rsidRDefault="009A2C84">
            <w:pPr>
              <w:spacing w:after="0" w:line="240" w:lineRule="auto"/>
            </w:pPr>
            <w:r>
              <w:rPr>
                <w:rFonts w:ascii="Calibri" w:hAnsi="Calibri" w:cs="Calibri"/>
                <w:b/>
                <w:sz w:val="18"/>
              </w:rPr>
              <w:t>UKUPNI RASHODI</w:t>
            </w:r>
          </w:p>
        </w:tc>
        <w:tc>
          <w:tcPr>
            <w:tcW w:w="800" w:type="pct"/>
            <w:vAlign w:val="bottom"/>
          </w:tcPr>
          <w:p w:rsidR="00E5374B" w:rsidRDefault="009A2C84">
            <w:pPr>
              <w:spacing w:after="0" w:line="240" w:lineRule="auto"/>
              <w:jc w:val="right"/>
            </w:pPr>
            <w:r>
              <w:rPr>
                <w:rFonts w:ascii="Calibri" w:hAnsi="Calibri" w:cs="Calibri"/>
                <w:b/>
                <w:sz w:val="18"/>
              </w:rPr>
              <w:t>475.504.045</w:t>
            </w:r>
          </w:p>
        </w:tc>
        <w:tc>
          <w:tcPr>
            <w:tcW w:w="800" w:type="pct"/>
            <w:vAlign w:val="bottom"/>
          </w:tcPr>
          <w:p w:rsidR="00E5374B" w:rsidRDefault="009A2C84">
            <w:pPr>
              <w:spacing w:after="0" w:line="240" w:lineRule="auto"/>
              <w:jc w:val="right"/>
            </w:pPr>
            <w:r>
              <w:rPr>
                <w:rFonts w:ascii="Calibri" w:hAnsi="Calibri" w:cs="Calibri"/>
                <w:b/>
                <w:sz w:val="18"/>
              </w:rPr>
              <w:t>-14.168.994</w:t>
            </w:r>
          </w:p>
        </w:tc>
        <w:tc>
          <w:tcPr>
            <w:tcW w:w="800" w:type="pct"/>
            <w:vAlign w:val="bottom"/>
          </w:tcPr>
          <w:p w:rsidR="00E5374B" w:rsidRDefault="009A2C84">
            <w:pPr>
              <w:spacing w:after="0" w:line="240" w:lineRule="auto"/>
              <w:jc w:val="right"/>
            </w:pPr>
            <w:r>
              <w:rPr>
                <w:rFonts w:ascii="Calibri" w:hAnsi="Calibri" w:cs="Calibri"/>
                <w:b/>
                <w:sz w:val="18"/>
              </w:rPr>
              <w:t>461.335.051</w:t>
            </w:r>
          </w:p>
        </w:tc>
        <w:tc>
          <w:tcPr>
            <w:tcW w:w="400" w:type="pct"/>
            <w:vAlign w:val="bottom"/>
          </w:tcPr>
          <w:p w:rsidR="00E5374B" w:rsidRDefault="009A2C84">
            <w:pPr>
              <w:spacing w:after="0" w:line="240" w:lineRule="auto"/>
              <w:jc w:val="right"/>
            </w:pPr>
            <w:r>
              <w:rPr>
                <w:rFonts w:ascii="Calibri" w:hAnsi="Calibri" w:cs="Calibri"/>
                <w:b/>
                <w:sz w:val="18"/>
              </w:rPr>
              <w:t>97,0</w:t>
            </w:r>
          </w:p>
        </w:tc>
      </w:tr>
    </w:tbl>
    <w:p w:rsidR="00E5374B" w:rsidRDefault="00E5374B">
      <w:pPr>
        <w:spacing w:after="0" w:line="240" w:lineRule="auto"/>
      </w:pPr>
    </w:p>
    <w:p w:rsidR="00E5374B" w:rsidRDefault="009A2C84">
      <w:pPr>
        <w:spacing w:line="240" w:lineRule="auto"/>
        <w:jc w:val="both"/>
      </w:pPr>
      <w:r>
        <w:rPr>
          <w:rFonts w:ascii="Calibri" w:hAnsi="Calibri" w:cs="Calibri"/>
        </w:rPr>
        <w:t xml:space="preserve">Ukupni planirani rashodi Hrvatskih cesta u prijedlogu Izmjena i dopuna Financijskog plana za 2024. godinu iznose 461,34 milijuna eura, što predstavlja smanjenje od 2,98  % u odnosu na originalni Plan. </w:t>
      </w:r>
    </w:p>
    <w:p w:rsidR="00E5374B" w:rsidRDefault="009A2C84">
      <w:pPr>
        <w:spacing w:line="240" w:lineRule="auto"/>
        <w:jc w:val="both"/>
      </w:pPr>
      <w:r>
        <w:rPr>
          <w:rFonts w:ascii="Calibri" w:hAnsi="Calibri" w:cs="Calibri"/>
        </w:rPr>
        <w:t>Rashodi poslovanja u Izmjeni Plana iznose 204,96 milij</w:t>
      </w:r>
      <w:r>
        <w:rPr>
          <w:rFonts w:ascii="Calibri" w:hAnsi="Calibri" w:cs="Calibri"/>
        </w:rPr>
        <w:t xml:space="preserve">una eura, a smanjeni su u odnosu na originalni plan za 1,18 %. </w:t>
      </w:r>
    </w:p>
    <w:p w:rsidR="00E5374B" w:rsidRDefault="009A2C84">
      <w:pPr>
        <w:spacing w:line="240" w:lineRule="auto"/>
        <w:jc w:val="both"/>
      </w:pPr>
      <w:r>
        <w:rPr>
          <w:rFonts w:ascii="Calibri" w:hAnsi="Calibri" w:cs="Calibri"/>
        </w:rPr>
        <w:t>Unutar skupine Materijalnih rashoda, na stavci Energija zabilježeno je smanjenje od 6,35 milijuna eura u odnosu na planirano, zahvaljujući sklapanju ugovora za opskrbu električnom energijom pr</w:t>
      </w:r>
      <w:r>
        <w:rPr>
          <w:rFonts w:ascii="Calibri" w:hAnsi="Calibri" w:cs="Calibri"/>
        </w:rPr>
        <w:t>ije porasta cijena na tržištu.</w:t>
      </w:r>
    </w:p>
    <w:p w:rsidR="00E5374B" w:rsidRDefault="009A2C84">
      <w:pPr>
        <w:spacing w:line="240" w:lineRule="auto"/>
        <w:jc w:val="both"/>
      </w:pPr>
      <w:r>
        <w:rPr>
          <w:rFonts w:ascii="Calibri" w:hAnsi="Calibri" w:cs="Calibri"/>
        </w:rPr>
        <w:t>Rashodi za usluge povećani su za 9,13 milijuna eura, što je posljedica rasta troškova redovitog održavanja cesta i objekata na stavci Usluge tekućeg i investicijskog održavanja, koja je povećana za 9,10 milijuna eura. Za redo</w:t>
      </w:r>
      <w:r>
        <w:rPr>
          <w:rFonts w:ascii="Calibri" w:hAnsi="Calibri" w:cs="Calibri"/>
        </w:rPr>
        <w:t>vito održavanje i zaštitu državnih cesta u 2024. godini potrebno je osigurati dodatna sredstva zbog povećanog opsega radova uslijed sanacije kolnika, poboljšanja prometne signalizacije, zamjene oštećene opreme, te posljedica nevremena i aktiviranja klizišt</w:t>
      </w:r>
      <w:r>
        <w:rPr>
          <w:rFonts w:ascii="Calibri" w:hAnsi="Calibri" w:cs="Calibri"/>
        </w:rPr>
        <w:t>a. Također, povećana duljina mreže državnih cesta i specifični zahtjevi za održavanjem cesta s posebnim upravljanjem zahtijevaju dodatna financijska sredstva.</w:t>
      </w:r>
    </w:p>
    <w:p w:rsidR="00E5374B" w:rsidRDefault="009A2C84">
      <w:pPr>
        <w:spacing w:line="240" w:lineRule="auto"/>
        <w:jc w:val="both"/>
      </w:pPr>
      <w:r>
        <w:rPr>
          <w:rFonts w:ascii="Calibri" w:hAnsi="Calibri" w:cs="Calibri"/>
        </w:rPr>
        <w:t xml:space="preserve">Na stavci Financijskih rashoda došlo je do smanjenja u iznosu od 5,36 milijuna eura odnosno 8,36 </w:t>
      </w:r>
      <w:r>
        <w:rPr>
          <w:rFonts w:ascii="Calibri" w:hAnsi="Calibri" w:cs="Calibri"/>
        </w:rPr>
        <w:t>%. Smanjenje je posljedica financijskog restrukturiranja koje je Društvo provelo u prvoj polovici 2024. godine što je utjecalo na smanjenje kamata za primljene kredite koje dospijevaju u 2024. godini.</w:t>
      </w:r>
    </w:p>
    <w:p w:rsidR="00E5374B" w:rsidRDefault="009A2C84">
      <w:pPr>
        <w:spacing w:line="240" w:lineRule="auto"/>
        <w:jc w:val="both"/>
      </w:pPr>
      <w:r>
        <w:rPr>
          <w:rFonts w:ascii="Calibri" w:hAnsi="Calibri" w:cs="Calibri"/>
        </w:rPr>
        <w:t>Rashodi za nabavu nefinancijske imovine u Izmjeni Plana</w:t>
      </w:r>
      <w:r>
        <w:rPr>
          <w:rFonts w:ascii="Calibri" w:hAnsi="Calibri" w:cs="Calibri"/>
        </w:rPr>
        <w:t xml:space="preserve"> iznose 256,37 milijuna eura i smanjeni su u odnosu na originalni Plan za 4,57 %. Najveće smanjenje u iznosu od 14,22 milijuna eura je na stavci otkupa zemljišta i posljedica je smanjene realizacije uzrokovane dugotrajnim i kompleksnim postupcima otkupa. S</w:t>
      </w:r>
      <w:r>
        <w:rPr>
          <w:rFonts w:ascii="Calibri" w:hAnsi="Calibri" w:cs="Calibri"/>
        </w:rPr>
        <w:t>tavka Ceste, željeznice i ostali prometni objekti odnosi se na izgradnju, rekonstrukciju i investicijsko održavanje državnih cesta i povećana je za 3,66 milijuna eura u odnosu na Izvorni plan. Najveći projekti u ovoj godini koji se rade unutar ove stavke s</w:t>
      </w:r>
      <w:r>
        <w:rPr>
          <w:rFonts w:ascii="Calibri" w:hAnsi="Calibri" w:cs="Calibri"/>
        </w:rPr>
        <w:t xml:space="preserve">u Brza cesta Okučani – granica BiH, Brza cesta Bjelovar – Virovitica – GP Terezino polje, Podravski ipsilon D10: Kloštar Vojakovački – Križevci, Podravski ipsilon D12: Farkaševac – Bjelovar i Spojna cesta čvor „Sisak“ – Sisak. </w:t>
      </w:r>
    </w:p>
    <w:p w:rsidR="00E5374B" w:rsidRDefault="009A2C84">
      <w:pPr>
        <w:spacing w:line="240" w:lineRule="auto"/>
        <w:jc w:val="both"/>
      </w:pPr>
      <w:r>
        <w:rPr>
          <w:rFonts w:ascii="Calibri" w:hAnsi="Calibri" w:cs="Calibri"/>
        </w:rPr>
        <w:t>Stavka Prijevozna sredstva u</w:t>
      </w:r>
      <w:r>
        <w:rPr>
          <w:rFonts w:ascii="Calibri" w:hAnsi="Calibri" w:cs="Calibri"/>
        </w:rPr>
        <w:t xml:space="preserve"> cestovnom prometu povećana je za 1,28 milijuna eura u odnosu na izvorni plan te sada iznosi 1,33 milijuna eura. Do povećanja je došlo radi potrebe za nabavom tri vatrogasna vozila za održavanje prometne sigurnosti na mostu prema poluotoku Pelješcu koji je</w:t>
      </w:r>
      <w:r>
        <w:rPr>
          <w:rFonts w:ascii="Calibri" w:hAnsi="Calibri" w:cs="Calibri"/>
        </w:rPr>
        <w:t xml:space="preserve"> izgrađen u sklopu projekta Cestovno povezivanje s južnom Dalmacijom.</w:t>
      </w:r>
    </w:p>
    <w:p w:rsidR="00E5374B" w:rsidRDefault="009A2C84">
      <w:pPr>
        <w:spacing w:line="240" w:lineRule="auto"/>
      </w:pPr>
      <w:r>
        <w:rPr>
          <w:rFonts w:ascii="Calibri" w:hAnsi="Calibri" w:cs="Calibri"/>
          <w:b/>
          <w:u w:val="single"/>
        </w:rPr>
        <w:br/>
        <w:t>UKUPNI VIŠAK/MANJAK</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4097"/>
        <w:gridCol w:w="1639"/>
        <w:gridCol w:w="1638"/>
        <w:gridCol w:w="1638"/>
        <w:gridCol w:w="820"/>
      </w:tblGrid>
      <w:tr w:rsidR="00E5374B">
        <w:tc>
          <w:tcPr>
            <w:tcW w:w="2000" w:type="pct"/>
            <w:shd w:val="clear" w:color="auto" w:fill="BCDFFB"/>
            <w:vAlign w:val="center"/>
          </w:tcPr>
          <w:p w:rsidR="00E5374B" w:rsidRDefault="00E5374B">
            <w:pPr>
              <w:spacing w:after="0" w:line="240" w:lineRule="auto"/>
              <w:jc w:val="center"/>
            </w:pPr>
          </w:p>
        </w:tc>
        <w:tc>
          <w:tcPr>
            <w:tcW w:w="800" w:type="pct"/>
            <w:shd w:val="clear" w:color="auto" w:fill="BCDFFB"/>
            <w:vAlign w:val="center"/>
          </w:tcPr>
          <w:p w:rsidR="00E5374B" w:rsidRDefault="009A2C84">
            <w:pPr>
              <w:spacing w:after="0" w:line="240" w:lineRule="auto"/>
              <w:jc w:val="center"/>
            </w:pPr>
            <w:r>
              <w:rPr>
                <w:rFonts w:ascii="Calibri" w:hAnsi="Calibri" w:cs="Calibri"/>
                <w:b/>
                <w:sz w:val="18"/>
              </w:rPr>
              <w:t>Plan za 2024.</w:t>
            </w:r>
          </w:p>
        </w:tc>
        <w:tc>
          <w:tcPr>
            <w:tcW w:w="800" w:type="pct"/>
            <w:shd w:val="clear" w:color="auto" w:fill="BCDFFB"/>
            <w:vAlign w:val="center"/>
          </w:tcPr>
          <w:p w:rsidR="00E5374B" w:rsidRDefault="009A2C84">
            <w:pPr>
              <w:spacing w:after="0" w:line="240" w:lineRule="auto"/>
              <w:jc w:val="center"/>
            </w:pPr>
            <w:r>
              <w:rPr>
                <w:rFonts w:ascii="Calibri" w:hAnsi="Calibri" w:cs="Calibri"/>
                <w:b/>
                <w:sz w:val="18"/>
              </w:rPr>
              <w:t>Povećanje/</w:t>
            </w:r>
            <w:r>
              <w:rPr>
                <w:rFonts w:ascii="Calibri" w:hAnsi="Calibri" w:cs="Calibri"/>
                <w:b/>
                <w:sz w:val="18"/>
              </w:rPr>
              <w:br/>
              <w:t>Smanjenje</w:t>
            </w:r>
          </w:p>
        </w:tc>
        <w:tc>
          <w:tcPr>
            <w:tcW w:w="800" w:type="pct"/>
            <w:shd w:val="clear" w:color="auto" w:fill="BCDFFB"/>
            <w:vAlign w:val="center"/>
          </w:tcPr>
          <w:p w:rsidR="00E5374B" w:rsidRDefault="009A2C84">
            <w:pPr>
              <w:spacing w:after="0" w:line="240" w:lineRule="auto"/>
              <w:jc w:val="center"/>
            </w:pPr>
            <w:r>
              <w:rPr>
                <w:rFonts w:ascii="Calibri" w:hAnsi="Calibri" w:cs="Calibri"/>
                <w:b/>
                <w:sz w:val="18"/>
              </w:rPr>
              <w:t>Novi plan za</w:t>
            </w:r>
            <w:r>
              <w:rPr>
                <w:rFonts w:ascii="Calibri" w:hAnsi="Calibri" w:cs="Calibri"/>
                <w:b/>
                <w:sz w:val="18"/>
              </w:rPr>
              <w:br/>
              <w:t>2024.</w:t>
            </w:r>
          </w:p>
        </w:tc>
        <w:tc>
          <w:tcPr>
            <w:tcW w:w="400" w:type="pct"/>
            <w:shd w:val="clear" w:color="auto" w:fill="BCDFFB"/>
            <w:vAlign w:val="center"/>
          </w:tcPr>
          <w:p w:rsidR="00E5374B" w:rsidRDefault="009A2C84">
            <w:pPr>
              <w:spacing w:after="0" w:line="240" w:lineRule="auto"/>
              <w:jc w:val="center"/>
            </w:pPr>
            <w:r>
              <w:rPr>
                <w:rFonts w:ascii="Calibri" w:hAnsi="Calibri" w:cs="Calibri"/>
                <w:b/>
                <w:sz w:val="18"/>
              </w:rPr>
              <w:t>Indeks</w:t>
            </w:r>
          </w:p>
        </w:tc>
      </w:tr>
      <w:tr w:rsidR="00E5374B">
        <w:tc>
          <w:tcPr>
            <w:tcW w:w="2000" w:type="pct"/>
            <w:vAlign w:val="bottom"/>
          </w:tcPr>
          <w:p w:rsidR="00E5374B" w:rsidRDefault="009A2C84">
            <w:pPr>
              <w:spacing w:after="0" w:line="240" w:lineRule="auto"/>
            </w:pPr>
            <w:r>
              <w:rPr>
                <w:rFonts w:ascii="Calibri" w:hAnsi="Calibri" w:cs="Calibri"/>
                <w:sz w:val="18"/>
              </w:rPr>
              <w:t>UKUPNI PRIHODI</w:t>
            </w:r>
          </w:p>
        </w:tc>
        <w:tc>
          <w:tcPr>
            <w:tcW w:w="800" w:type="pct"/>
            <w:vAlign w:val="bottom"/>
          </w:tcPr>
          <w:p w:rsidR="00E5374B" w:rsidRDefault="009A2C84">
            <w:pPr>
              <w:spacing w:after="0" w:line="240" w:lineRule="auto"/>
              <w:jc w:val="right"/>
            </w:pPr>
            <w:r>
              <w:rPr>
                <w:rFonts w:ascii="Calibri" w:hAnsi="Calibri" w:cs="Calibri"/>
                <w:sz w:val="18"/>
              </w:rPr>
              <w:t>375.026.844</w:t>
            </w:r>
          </w:p>
        </w:tc>
        <w:tc>
          <w:tcPr>
            <w:tcW w:w="800" w:type="pct"/>
            <w:vAlign w:val="bottom"/>
          </w:tcPr>
          <w:p w:rsidR="00E5374B" w:rsidRDefault="009A2C84">
            <w:pPr>
              <w:spacing w:after="0" w:line="240" w:lineRule="auto"/>
              <w:jc w:val="right"/>
            </w:pPr>
            <w:r>
              <w:rPr>
                <w:rFonts w:ascii="Calibri" w:hAnsi="Calibri" w:cs="Calibri"/>
                <w:sz w:val="18"/>
              </w:rPr>
              <w:t>-9.646.793</w:t>
            </w:r>
          </w:p>
        </w:tc>
        <w:tc>
          <w:tcPr>
            <w:tcW w:w="800" w:type="pct"/>
            <w:vAlign w:val="bottom"/>
          </w:tcPr>
          <w:p w:rsidR="00E5374B" w:rsidRDefault="009A2C84">
            <w:pPr>
              <w:spacing w:after="0" w:line="240" w:lineRule="auto"/>
              <w:jc w:val="right"/>
            </w:pPr>
            <w:r>
              <w:rPr>
                <w:rFonts w:ascii="Calibri" w:hAnsi="Calibri" w:cs="Calibri"/>
                <w:sz w:val="18"/>
              </w:rPr>
              <w:t>365.380.051</w:t>
            </w:r>
          </w:p>
        </w:tc>
        <w:tc>
          <w:tcPr>
            <w:tcW w:w="400" w:type="pct"/>
            <w:vAlign w:val="bottom"/>
          </w:tcPr>
          <w:p w:rsidR="00E5374B" w:rsidRDefault="009A2C84">
            <w:pPr>
              <w:spacing w:after="0" w:line="240" w:lineRule="auto"/>
              <w:jc w:val="right"/>
            </w:pPr>
            <w:r>
              <w:rPr>
                <w:rFonts w:ascii="Calibri" w:hAnsi="Calibri" w:cs="Calibri"/>
                <w:sz w:val="18"/>
              </w:rPr>
              <w:t>97,4</w:t>
            </w:r>
          </w:p>
        </w:tc>
      </w:tr>
      <w:tr w:rsidR="00E5374B">
        <w:tc>
          <w:tcPr>
            <w:tcW w:w="2000" w:type="pct"/>
            <w:vAlign w:val="bottom"/>
          </w:tcPr>
          <w:p w:rsidR="00E5374B" w:rsidRDefault="009A2C84">
            <w:pPr>
              <w:spacing w:after="0" w:line="240" w:lineRule="auto"/>
            </w:pPr>
            <w:r>
              <w:rPr>
                <w:rFonts w:ascii="Calibri" w:hAnsi="Calibri" w:cs="Calibri"/>
                <w:sz w:val="18"/>
              </w:rPr>
              <w:t>UKUPNI RASHODI</w:t>
            </w:r>
          </w:p>
        </w:tc>
        <w:tc>
          <w:tcPr>
            <w:tcW w:w="800" w:type="pct"/>
            <w:vAlign w:val="bottom"/>
          </w:tcPr>
          <w:p w:rsidR="00E5374B" w:rsidRDefault="009A2C84">
            <w:pPr>
              <w:spacing w:after="0" w:line="240" w:lineRule="auto"/>
              <w:jc w:val="right"/>
            </w:pPr>
            <w:r>
              <w:rPr>
                <w:rFonts w:ascii="Calibri" w:hAnsi="Calibri" w:cs="Calibri"/>
                <w:sz w:val="18"/>
              </w:rPr>
              <w:t>475.504.045</w:t>
            </w:r>
          </w:p>
        </w:tc>
        <w:tc>
          <w:tcPr>
            <w:tcW w:w="800" w:type="pct"/>
            <w:vAlign w:val="bottom"/>
          </w:tcPr>
          <w:p w:rsidR="00E5374B" w:rsidRDefault="009A2C84">
            <w:pPr>
              <w:spacing w:after="0" w:line="240" w:lineRule="auto"/>
              <w:jc w:val="right"/>
            </w:pPr>
            <w:r>
              <w:rPr>
                <w:rFonts w:ascii="Calibri" w:hAnsi="Calibri" w:cs="Calibri"/>
                <w:sz w:val="18"/>
              </w:rPr>
              <w:t>-14.168.994</w:t>
            </w:r>
          </w:p>
        </w:tc>
        <w:tc>
          <w:tcPr>
            <w:tcW w:w="800" w:type="pct"/>
            <w:vAlign w:val="bottom"/>
          </w:tcPr>
          <w:p w:rsidR="00E5374B" w:rsidRDefault="009A2C84">
            <w:pPr>
              <w:spacing w:after="0" w:line="240" w:lineRule="auto"/>
              <w:jc w:val="right"/>
            </w:pPr>
            <w:r>
              <w:rPr>
                <w:rFonts w:ascii="Calibri" w:hAnsi="Calibri" w:cs="Calibri"/>
                <w:sz w:val="18"/>
              </w:rPr>
              <w:t>461.335.051</w:t>
            </w:r>
          </w:p>
        </w:tc>
        <w:tc>
          <w:tcPr>
            <w:tcW w:w="400" w:type="pct"/>
            <w:vAlign w:val="bottom"/>
          </w:tcPr>
          <w:p w:rsidR="00E5374B" w:rsidRDefault="009A2C84">
            <w:pPr>
              <w:spacing w:after="0" w:line="240" w:lineRule="auto"/>
              <w:jc w:val="right"/>
            </w:pPr>
            <w:r>
              <w:rPr>
                <w:rFonts w:ascii="Calibri" w:hAnsi="Calibri" w:cs="Calibri"/>
                <w:sz w:val="18"/>
              </w:rPr>
              <w:t>97,0</w:t>
            </w:r>
          </w:p>
        </w:tc>
      </w:tr>
      <w:tr w:rsidR="00E5374B">
        <w:tc>
          <w:tcPr>
            <w:tcW w:w="2000" w:type="pct"/>
            <w:vAlign w:val="bottom"/>
          </w:tcPr>
          <w:p w:rsidR="00E5374B" w:rsidRDefault="009A2C84">
            <w:pPr>
              <w:spacing w:after="0" w:line="240" w:lineRule="auto"/>
            </w:pPr>
            <w:r>
              <w:rPr>
                <w:rFonts w:ascii="Calibri" w:hAnsi="Calibri" w:cs="Calibri"/>
                <w:b/>
                <w:sz w:val="18"/>
              </w:rPr>
              <w:t>RAZLIKA - VIŠAK/MANJAK</w:t>
            </w:r>
          </w:p>
        </w:tc>
        <w:tc>
          <w:tcPr>
            <w:tcW w:w="800" w:type="pct"/>
            <w:vAlign w:val="bottom"/>
          </w:tcPr>
          <w:p w:rsidR="00E5374B" w:rsidRDefault="009A2C84">
            <w:pPr>
              <w:spacing w:after="0" w:line="240" w:lineRule="auto"/>
              <w:jc w:val="right"/>
            </w:pPr>
            <w:r>
              <w:rPr>
                <w:rFonts w:ascii="Calibri" w:hAnsi="Calibri" w:cs="Calibri"/>
                <w:b/>
                <w:sz w:val="18"/>
              </w:rPr>
              <w:t>-100.477.201</w:t>
            </w:r>
          </w:p>
        </w:tc>
        <w:tc>
          <w:tcPr>
            <w:tcW w:w="800" w:type="pct"/>
            <w:vAlign w:val="bottom"/>
          </w:tcPr>
          <w:p w:rsidR="00E5374B" w:rsidRDefault="009A2C84">
            <w:pPr>
              <w:spacing w:after="0" w:line="240" w:lineRule="auto"/>
              <w:jc w:val="right"/>
            </w:pPr>
            <w:r>
              <w:rPr>
                <w:rFonts w:ascii="Calibri" w:hAnsi="Calibri" w:cs="Calibri"/>
                <w:b/>
                <w:sz w:val="18"/>
              </w:rPr>
              <w:t>4.522.201</w:t>
            </w:r>
          </w:p>
        </w:tc>
        <w:tc>
          <w:tcPr>
            <w:tcW w:w="800" w:type="pct"/>
            <w:vAlign w:val="bottom"/>
          </w:tcPr>
          <w:p w:rsidR="00E5374B" w:rsidRDefault="009A2C84">
            <w:pPr>
              <w:spacing w:after="0" w:line="240" w:lineRule="auto"/>
              <w:jc w:val="right"/>
            </w:pPr>
            <w:r>
              <w:rPr>
                <w:rFonts w:ascii="Calibri" w:hAnsi="Calibri" w:cs="Calibri"/>
                <w:b/>
                <w:sz w:val="18"/>
              </w:rPr>
              <w:t>-95.955.000</w:t>
            </w:r>
          </w:p>
        </w:tc>
        <w:tc>
          <w:tcPr>
            <w:tcW w:w="400" w:type="pct"/>
            <w:vAlign w:val="bottom"/>
          </w:tcPr>
          <w:p w:rsidR="00E5374B" w:rsidRDefault="009A2C84">
            <w:pPr>
              <w:spacing w:after="0" w:line="240" w:lineRule="auto"/>
              <w:jc w:val="right"/>
            </w:pPr>
            <w:r>
              <w:rPr>
                <w:rFonts w:ascii="Calibri" w:hAnsi="Calibri" w:cs="Calibri"/>
                <w:b/>
                <w:sz w:val="18"/>
              </w:rPr>
              <w:t>95,5</w:t>
            </w:r>
          </w:p>
        </w:tc>
      </w:tr>
    </w:tbl>
    <w:p w:rsidR="00E5374B" w:rsidRDefault="00E5374B">
      <w:pPr>
        <w:spacing w:after="0" w:line="240" w:lineRule="auto"/>
      </w:pPr>
    </w:p>
    <w:p w:rsidR="00E5374B" w:rsidRDefault="009A2C84">
      <w:pPr>
        <w:spacing w:line="240" w:lineRule="auto"/>
        <w:jc w:val="both"/>
      </w:pPr>
      <w:r>
        <w:rPr>
          <w:rFonts w:ascii="Calibri" w:hAnsi="Calibri" w:cs="Calibri"/>
        </w:rPr>
        <w:t xml:space="preserve">Kao rezultat razlike između planiranih prihoda i rashoda u prijedlogu Izmjena i dopuna Financijskog </w:t>
      </w:r>
      <w:r>
        <w:rPr>
          <w:rFonts w:ascii="Calibri" w:hAnsi="Calibri" w:cs="Calibri"/>
        </w:rPr>
        <w:t>plana Hrvatske ceste imaju predviđen manjak od 95,96 milijuna eura, što je smanjenje od 4,52 milijuna eura.</w:t>
      </w:r>
    </w:p>
    <w:p w:rsidR="00E5374B" w:rsidRDefault="009A2C84">
      <w:pPr>
        <w:spacing w:line="240" w:lineRule="auto"/>
      </w:pPr>
      <w:r>
        <w:rPr>
          <w:rFonts w:ascii="Calibri" w:hAnsi="Calibri" w:cs="Calibri"/>
          <w:b/>
          <w:u w:val="single"/>
        </w:rPr>
        <w:br/>
        <w:t>RAČUN FINANCIRANJA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4097"/>
        <w:gridCol w:w="1639"/>
        <w:gridCol w:w="1638"/>
        <w:gridCol w:w="1638"/>
        <w:gridCol w:w="820"/>
      </w:tblGrid>
      <w:tr w:rsidR="00E5374B">
        <w:tc>
          <w:tcPr>
            <w:tcW w:w="2000" w:type="pct"/>
            <w:shd w:val="clear" w:color="auto" w:fill="BCDFFB"/>
            <w:vAlign w:val="center"/>
          </w:tcPr>
          <w:p w:rsidR="00E5374B" w:rsidRDefault="00E5374B">
            <w:pPr>
              <w:spacing w:after="0" w:line="240" w:lineRule="auto"/>
              <w:jc w:val="center"/>
            </w:pPr>
          </w:p>
        </w:tc>
        <w:tc>
          <w:tcPr>
            <w:tcW w:w="800" w:type="pct"/>
            <w:shd w:val="clear" w:color="auto" w:fill="BCDFFB"/>
            <w:vAlign w:val="center"/>
          </w:tcPr>
          <w:p w:rsidR="00E5374B" w:rsidRDefault="009A2C84">
            <w:pPr>
              <w:spacing w:after="0" w:line="240" w:lineRule="auto"/>
              <w:jc w:val="center"/>
            </w:pPr>
            <w:r>
              <w:rPr>
                <w:rFonts w:ascii="Calibri" w:hAnsi="Calibri" w:cs="Calibri"/>
                <w:b/>
                <w:sz w:val="18"/>
              </w:rPr>
              <w:t>Plan za 2024.</w:t>
            </w:r>
          </w:p>
        </w:tc>
        <w:tc>
          <w:tcPr>
            <w:tcW w:w="800" w:type="pct"/>
            <w:shd w:val="clear" w:color="auto" w:fill="BCDFFB"/>
            <w:vAlign w:val="center"/>
          </w:tcPr>
          <w:p w:rsidR="00E5374B" w:rsidRDefault="009A2C84">
            <w:pPr>
              <w:spacing w:after="0" w:line="240" w:lineRule="auto"/>
              <w:jc w:val="center"/>
            </w:pPr>
            <w:r>
              <w:rPr>
                <w:rFonts w:ascii="Calibri" w:hAnsi="Calibri" w:cs="Calibri"/>
                <w:b/>
                <w:sz w:val="18"/>
              </w:rPr>
              <w:t>Povećanje/</w:t>
            </w:r>
            <w:r>
              <w:rPr>
                <w:rFonts w:ascii="Calibri" w:hAnsi="Calibri" w:cs="Calibri"/>
                <w:b/>
                <w:sz w:val="18"/>
              </w:rPr>
              <w:br/>
              <w:t>Smanjenje</w:t>
            </w:r>
          </w:p>
        </w:tc>
        <w:tc>
          <w:tcPr>
            <w:tcW w:w="800" w:type="pct"/>
            <w:shd w:val="clear" w:color="auto" w:fill="BCDFFB"/>
            <w:vAlign w:val="center"/>
          </w:tcPr>
          <w:p w:rsidR="00E5374B" w:rsidRDefault="009A2C84">
            <w:pPr>
              <w:spacing w:after="0" w:line="240" w:lineRule="auto"/>
              <w:jc w:val="center"/>
            </w:pPr>
            <w:r>
              <w:rPr>
                <w:rFonts w:ascii="Calibri" w:hAnsi="Calibri" w:cs="Calibri"/>
                <w:b/>
                <w:sz w:val="18"/>
              </w:rPr>
              <w:t>Novi plan za</w:t>
            </w:r>
            <w:r>
              <w:rPr>
                <w:rFonts w:ascii="Calibri" w:hAnsi="Calibri" w:cs="Calibri"/>
                <w:b/>
                <w:sz w:val="18"/>
              </w:rPr>
              <w:br/>
              <w:t>2024.</w:t>
            </w:r>
          </w:p>
        </w:tc>
        <w:tc>
          <w:tcPr>
            <w:tcW w:w="400" w:type="pct"/>
            <w:shd w:val="clear" w:color="auto" w:fill="BCDFFB"/>
            <w:vAlign w:val="center"/>
          </w:tcPr>
          <w:p w:rsidR="00E5374B" w:rsidRDefault="009A2C84">
            <w:pPr>
              <w:spacing w:after="0" w:line="240" w:lineRule="auto"/>
              <w:jc w:val="center"/>
            </w:pPr>
            <w:r>
              <w:rPr>
                <w:rFonts w:ascii="Calibri" w:hAnsi="Calibri" w:cs="Calibri"/>
                <w:b/>
                <w:sz w:val="18"/>
              </w:rPr>
              <w:t>Indeks</w:t>
            </w:r>
          </w:p>
        </w:tc>
      </w:tr>
      <w:tr w:rsidR="00E5374B">
        <w:tc>
          <w:tcPr>
            <w:tcW w:w="2000" w:type="pct"/>
            <w:vAlign w:val="bottom"/>
          </w:tcPr>
          <w:p w:rsidR="00E5374B" w:rsidRDefault="009A2C84">
            <w:pPr>
              <w:spacing w:after="0" w:line="240" w:lineRule="auto"/>
            </w:pPr>
            <w:r>
              <w:rPr>
                <w:rFonts w:ascii="Calibri" w:hAnsi="Calibri" w:cs="Calibri"/>
                <w:sz w:val="18"/>
              </w:rPr>
              <w:t>PRIMICI OD FINANCIJSKE IMOVINE I ZADUŽIVANJA</w:t>
            </w:r>
          </w:p>
        </w:tc>
        <w:tc>
          <w:tcPr>
            <w:tcW w:w="800" w:type="pct"/>
            <w:vAlign w:val="bottom"/>
          </w:tcPr>
          <w:p w:rsidR="00E5374B" w:rsidRDefault="009A2C84">
            <w:pPr>
              <w:spacing w:after="0" w:line="240" w:lineRule="auto"/>
              <w:jc w:val="right"/>
            </w:pPr>
            <w:r>
              <w:rPr>
                <w:rFonts w:ascii="Calibri" w:hAnsi="Calibri" w:cs="Calibri"/>
                <w:sz w:val="18"/>
              </w:rPr>
              <w:t>182.790.473</w:t>
            </w:r>
          </w:p>
        </w:tc>
        <w:tc>
          <w:tcPr>
            <w:tcW w:w="800" w:type="pct"/>
            <w:vAlign w:val="bottom"/>
          </w:tcPr>
          <w:p w:rsidR="00E5374B" w:rsidRDefault="009A2C84">
            <w:pPr>
              <w:spacing w:after="0" w:line="240" w:lineRule="auto"/>
              <w:jc w:val="right"/>
            </w:pPr>
            <w:r>
              <w:rPr>
                <w:rFonts w:ascii="Calibri" w:hAnsi="Calibri" w:cs="Calibri"/>
                <w:sz w:val="18"/>
              </w:rPr>
              <w:t>279.170.628</w:t>
            </w:r>
          </w:p>
        </w:tc>
        <w:tc>
          <w:tcPr>
            <w:tcW w:w="800" w:type="pct"/>
            <w:vAlign w:val="bottom"/>
          </w:tcPr>
          <w:p w:rsidR="00E5374B" w:rsidRDefault="009A2C84">
            <w:pPr>
              <w:spacing w:after="0" w:line="240" w:lineRule="auto"/>
              <w:jc w:val="right"/>
            </w:pPr>
            <w:r>
              <w:rPr>
                <w:rFonts w:ascii="Calibri" w:hAnsi="Calibri" w:cs="Calibri"/>
                <w:sz w:val="18"/>
              </w:rPr>
              <w:t>461.961.101</w:t>
            </w:r>
          </w:p>
        </w:tc>
        <w:tc>
          <w:tcPr>
            <w:tcW w:w="400" w:type="pct"/>
            <w:vAlign w:val="bottom"/>
          </w:tcPr>
          <w:p w:rsidR="00E5374B" w:rsidRDefault="009A2C84">
            <w:pPr>
              <w:spacing w:after="0" w:line="240" w:lineRule="auto"/>
              <w:jc w:val="right"/>
            </w:pPr>
            <w:r>
              <w:rPr>
                <w:rFonts w:ascii="Calibri" w:hAnsi="Calibri" w:cs="Calibri"/>
                <w:sz w:val="18"/>
              </w:rPr>
              <w:t>252,7</w:t>
            </w:r>
          </w:p>
        </w:tc>
      </w:tr>
      <w:tr w:rsidR="00E5374B">
        <w:tc>
          <w:tcPr>
            <w:tcW w:w="2000" w:type="pct"/>
            <w:vAlign w:val="bottom"/>
          </w:tcPr>
          <w:p w:rsidR="00E5374B" w:rsidRDefault="009A2C84">
            <w:pPr>
              <w:spacing w:after="0" w:line="240" w:lineRule="auto"/>
            </w:pPr>
            <w:r>
              <w:rPr>
                <w:rFonts w:ascii="Calibri" w:hAnsi="Calibri" w:cs="Calibri"/>
                <w:sz w:val="18"/>
              </w:rPr>
              <w:t>IZDACI ZA FINANCIJSKU IMOVINU I OTPLATE ZAJMOVA</w:t>
            </w:r>
          </w:p>
        </w:tc>
        <w:tc>
          <w:tcPr>
            <w:tcW w:w="800" w:type="pct"/>
            <w:vAlign w:val="bottom"/>
          </w:tcPr>
          <w:p w:rsidR="00E5374B" w:rsidRDefault="009A2C84">
            <w:pPr>
              <w:spacing w:after="0" w:line="240" w:lineRule="auto"/>
              <w:jc w:val="right"/>
            </w:pPr>
            <w:r>
              <w:rPr>
                <w:rFonts w:ascii="Calibri" w:hAnsi="Calibri" w:cs="Calibri"/>
                <w:sz w:val="18"/>
              </w:rPr>
              <w:t>82.313.272</w:t>
            </w:r>
          </w:p>
        </w:tc>
        <w:tc>
          <w:tcPr>
            <w:tcW w:w="800" w:type="pct"/>
            <w:vAlign w:val="bottom"/>
          </w:tcPr>
          <w:p w:rsidR="00E5374B" w:rsidRDefault="009A2C84">
            <w:pPr>
              <w:spacing w:after="0" w:line="240" w:lineRule="auto"/>
              <w:jc w:val="right"/>
            </w:pPr>
            <w:r>
              <w:rPr>
                <w:rFonts w:ascii="Calibri" w:hAnsi="Calibri" w:cs="Calibri"/>
                <w:sz w:val="18"/>
              </w:rPr>
              <w:t>278.130.645</w:t>
            </w:r>
          </w:p>
        </w:tc>
        <w:tc>
          <w:tcPr>
            <w:tcW w:w="800" w:type="pct"/>
            <w:vAlign w:val="bottom"/>
          </w:tcPr>
          <w:p w:rsidR="00E5374B" w:rsidRDefault="009A2C84">
            <w:pPr>
              <w:spacing w:after="0" w:line="240" w:lineRule="auto"/>
              <w:jc w:val="right"/>
            </w:pPr>
            <w:r>
              <w:rPr>
                <w:rFonts w:ascii="Calibri" w:hAnsi="Calibri" w:cs="Calibri"/>
                <w:sz w:val="18"/>
              </w:rPr>
              <w:t>360.443.917</w:t>
            </w:r>
          </w:p>
        </w:tc>
        <w:tc>
          <w:tcPr>
            <w:tcW w:w="400" w:type="pct"/>
            <w:vAlign w:val="bottom"/>
          </w:tcPr>
          <w:p w:rsidR="00E5374B" w:rsidRDefault="009A2C84">
            <w:pPr>
              <w:spacing w:after="0" w:line="240" w:lineRule="auto"/>
              <w:jc w:val="right"/>
            </w:pPr>
            <w:r>
              <w:rPr>
                <w:rFonts w:ascii="Calibri" w:hAnsi="Calibri" w:cs="Calibri"/>
                <w:sz w:val="18"/>
              </w:rPr>
              <w:t>437,9</w:t>
            </w:r>
          </w:p>
        </w:tc>
      </w:tr>
      <w:tr w:rsidR="00E5374B">
        <w:tc>
          <w:tcPr>
            <w:tcW w:w="2000" w:type="pct"/>
            <w:vAlign w:val="bottom"/>
          </w:tcPr>
          <w:p w:rsidR="00E5374B" w:rsidRDefault="009A2C84">
            <w:pPr>
              <w:spacing w:after="0" w:line="240" w:lineRule="auto"/>
            </w:pPr>
            <w:r>
              <w:rPr>
                <w:rFonts w:ascii="Calibri" w:hAnsi="Calibri" w:cs="Calibri"/>
                <w:sz w:val="18"/>
              </w:rPr>
              <w:t>RAZLIKA PRIMITAKA I IZDATAKA</w:t>
            </w:r>
          </w:p>
        </w:tc>
        <w:tc>
          <w:tcPr>
            <w:tcW w:w="800" w:type="pct"/>
            <w:vAlign w:val="bottom"/>
          </w:tcPr>
          <w:p w:rsidR="00E5374B" w:rsidRDefault="009A2C84">
            <w:pPr>
              <w:spacing w:after="0" w:line="240" w:lineRule="auto"/>
              <w:jc w:val="right"/>
            </w:pPr>
            <w:r>
              <w:rPr>
                <w:rFonts w:ascii="Calibri" w:hAnsi="Calibri" w:cs="Calibri"/>
                <w:sz w:val="18"/>
              </w:rPr>
              <w:t>100.477.201</w:t>
            </w:r>
          </w:p>
        </w:tc>
        <w:tc>
          <w:tcPr>
            <w:tcW w:w="800" w:type="pct"/>
            <w:vAlign w:val="bottom"/>
          </w:tcPr>
          <w:p w:rsidR="00E5374B" w:rsidRDefault="009A2C84">
            <w:pPr>
              <w:spacing w:after="0" w:line="240" w:lineRule="auto"/>
              <w:jc w:val="right"/>
            </w:pPr>
            <w:r>
              <w:rPr>
                <w:rFonts w:ascii="Calibri" w:hAnsi="Calibri" w:cs="Calibri"/>
                <w:sz w:val="18"/>
              </w:rPr>
              <w:t>1.039.983</w:t>
            </w:r>
          </w:p>
        </w:tc>
        <w:tc>
          <w:tcPr>
            <w:tcW w:w="800" w:type="pct"/>
            <w:vAlign w:val="bottom"/>
          </w:tcPr>
          <w:p w:rsidR="00E5374B" w:rsidRDefault="009A2C84">
            <w:pPr>
              <w:spacing w:after="0" w:line="240" w:lineRule="auto"/>
              <w:jc w:val="right"/>
            </w:pPr>
            <w:r>
              <w:rPr>
                <w:rFonts w:ascii="Calibri" w:hAnsi="Calibri" w:cs="Calibri"/>
                <w:sz w:val="18"/>
              </w:rPr>
              <w:t>101.517.184</w:t>
            </w:r>
          </w:p>
        </w:tc>
        <w:tc>
          <w:tcPr>
            <w:tcW w:w="400" w:type="pct"/>
            <w:vAlign w:val="bottom"/>
          </w:tcPr>
          <w:p w:rsidR="00E5374B" w:rsidRDefault="009A2C84">
            <w:pPr>
              <w:spacing w:after="0" w:line="240" w:lineRule="auto"/>
              <w:jc w:val="right"/>
            </w:pPr>
            <w:r>
              <w:rPr>
                <w:rFonts w:ascii="Calibri" w:hAnsi="Calibri" w:cs="Calibri"/>
                <w:sz w:val="18"/>
              </w:rPr>
              <w:t>101,0</w:t>
            </w:r>
          </w:p>
        </w:tc>
      </w:tr>
      <w:tr w:rsidR="00E5374B">
        <w:tc>
          <w:tcPr>
            <w:tcW w:w="2000" w:type="pct"/>
            <w:vAlign w:val="bottom"/>
          </w:tcPr>
          <w:p w:rsidR="00E5374B" w:rsidRDefault="009A2C84">
            <w:pPr>
              <w:spacing w:after="0" w:line="240" w:lineRule="auto"/>
            </w:pPr>
            <w:r>
              <w:rPr>
                <w:rFonts w:ascii="Calibri" w:hAnsi="Calibri" w:cs="Calibri"/>
                <w:sz w:val="18"/>
              </w:rPr>
              <w:t>PRIJENOS SREDSTAVA IZ PRETHODNE GODINE</w:t>
            </w:r>
          </w:p>
        </w:tc>
        <w:tc>
          <w:tcPr>
            <w:tcW w:w="800" w:type="pct"/>
            <w:vAlign w:val="bottom"/>
          </w:tcPr>
          <w:p w:rsidR="00E5374B" w:rsidRDefault="009A2C84">
            <w:pPr>
              <w:spacing w:after="0" w:line="240" w:lineRule="auto"/>
              <w:jc w:val="right"/>
            </w:pPr>
            <w:r>
              <w:rPr>
                <w:rFonts w:ascii="Calibri" w:hAnsi="Calibri" w:cs="Calibri"/>
                <w:sz w:val="18"/>
              </w:rPr>
              <w:t>29.241.606</w:t>
            </w:r>
          </w:p>
        </w:tc>
        <w:tc>
          <w:tcPr>
            <w:tcW w:w="800" w:type="pct"/>
            <w:vAlign w:val="bottom"/>
          </w:tcPr>
          <w:p w:rsidR="00E5374B" w:rsidRDefault="009A2C84">
            <w:pPr>
              <w:spacing w:after="0" w:line="240" w:lineRule="auto"/>
              <w:jc w:val="right"/>
            </w:pPr>
            <w:r>
              <w:rPr>
                <w:rFonts w:ascii="Calibri" w:hAnsi="Calibri" w:cs="Calibri"/>
                <w:sz w:val="18"/>
              </w:rPr>
              <w:t>11.627.540</w:t>
            </w:r>
          </w:p>
        </w:tc>
        <w:tc>
          <w:tcPr>
            <w:tcW w:w="800" w:type="pct"/>
            <w:vAlign w:val="bottom"/>
          </w:tcPr>
          <w:p w:rsidR="00E5374B" w:rsidRDefault="009A2C84">
            <w:pPr>
              <w:spacing w:after="0" w:line="240" w:lineRule="auto"/>
              <w:jc w:val="right"/>
            </w:pPr>
            <w:r>
              <w:rPr>
                <w:rFonts w:ascii="Calibri" w:hAnsi="Calibri" w:cs="Calibri"/>
                <w:sz w:val="18"/>
              </w:rPr>
              <w:t>40.869.146</w:t>
            </w:r>
          </w:p>
        </w:tc>
        <w:tc>
          <w:tcPr>
            <w:tcW w:w="400" w:type="pct"/>
            <w:vAlign w:val="bottom"/>
          </w:tcPr>
          <w:p w:rsidR="00E5374B" w:rsidRDefault="009A2C84">
            <w:pPr>
              <w:spacing w:after="0" w:line="240" w:lineRule="auto"/>
              <w:jc w:val="right"/>
            </w:pPr>
            <w:r>
              <w:rPr>
                <w:rFonts w:ascii="Calibri" w:hAnsi="Calibri" w:cs="Calibri"/>
                <w:sz w:val="18"/>
              </w:rPr>
              <w:t>139,8</w:t>
            </w:r>
          </w:p>
        </w:tc>
      </w:tr>
      <w:tr w:rsidR="00E5374B">
        <w:tc>
          <w:tcPr>
            <w:tcW w:w="2000" w:type="pct"/>
            <w:vAlign w:val="bottom"/>
          </w:tcPr>
          <w:p w:rsidR="00E5374B" w:rsidRDefault="009A2C84">
            <w:pPr>
              <w:spacing w:after="0" w:line="240" w:lineRule="auto"/>
            </w:pPr>
            <w:r>
              <w:rPr>
                <w:rFonts w:ascii="Calibri" w:hAnsi="Calibri" w:cs="Calibri"/>
                <w:sz w:val="18"/>
              </w:rPr>
              <w:t>PRIJENOS SREDSTAVA U SLJEDEĆU GODINU</w:t>
            </w:r>
          </w:p>
        </w:tc>
        <w:tc>
          <w:tcPr>
            <w:tcW w:w="800" w:type="pct"/>
            <w:vAlign w:val="bottom"/>
          </w:tcPr>
          <w:p w:rsidR="00E5374B" w:rsidRDefault="009A2C84">
            <w:pPr>
              <w:spacing w:after="0" w:line="240" w:lineRule="auto"/>
              <w:jc w:val="right"/>
            </w:pPr>
            <w:r>
              <w:rPr>
                <w:rFonts w:ascii="Calibri" w:hAnsi="Calibri" w:cs="Calibri"/>
                <w:sz w:val="18"/>
              </w:rPr>
              <w:t>-29.241.606</w:t>
            </w:r>
          </w:p>
        </w:tc>
        <w:tc>
          <w:tcPr>
            <w:tcW w:w="800" w:type="pct"/>
            <w:vAlign w:val="bottom"/>
          </w:tcPr>
          <w:p w:rsidR="00E5374B" w:rsidRDefault="009A2C84">
            <w:pPr>
              <w:spacing w:after="0" w:line="240" w:lineRule="auto"/>
              <w:jc w:val="right"/>
            </w:pPr>
            <w:r>
              <w:rPr>
                <w:rFonts w:ascii="Calibri" w:hAnsi="Calibri" w:cs="Calibri"/>
                <w:sz w:val="18"/>
              </w:rPr>
              <w:t>-17.189.724</w:t>
            </w:r>
          </w:p>
        </w:tc>
        <w:tc>
          <w:tcPr>
            <w:tcW w:w="800" w:type="pct"/>
            <w:vAlign w:val="bottom"/>
          </w:tcPr>
          <w:p w:rsidR="00E5374B" w:rsidRDefault="009A2C84">
            <w:pPr>
              <w:spacing w:after="0" w:line="240" w:lineRule="auto"/>
              <w:jc w:val="right"/>
            </w:pPr>
            <w:r>
              <w:rPr>
                <w:rFonts w:ascii="Calibri" w:hAnsi="Calibri" w:cs="Calibri"/>
                <w:sz w:val="18"/>
              </w:rPr>
              <w:t>-46.431.330</w:t>
            </w:r>
          </w:p>
        </w:tc>
        <w:tc>
          <w:tcPr>
            <w:tcW w:w="400" w:type="pct"/>
            <w:vAlign w:val="bottom"/>
          </w:tcPr>
          <w:p w:rsidR="00E5374B" w:rsidRDefault="009A2C84">
            <w:pPr>
              <w:spacing w:after="0" w:line="240" w:lineRule="auto"/>
              <w:jc w:val="right"/>
            </w:pPr>
            <w:r>
              <w:rPr>
                <w:rFonts w:ascii="Calibri" w:hAnsi="Calibri" w:cs="Calibri"/>
                <w:sz w:val="18"/>
              </w:rPr>
              <w:t>158,8</w:t>
            </w:r>
          </w:p>
        </w:tc>
      </w:tr>
      <w:tr w:rsidR="00E5374B">
        <w:tc>
          <w:tcPr>
            <w:tcW w:w="2000" w:type="pct"/>
            <w:vAlign w:val="bottom"/>
          </w:tcPr>
          <w:p w:rsidR="00E5374B" w:rsidRDefault="009A2C84">
            <w:pPr>
              <w:spacing w:after="0" w:line="240" w:lineRule="auto"/>
            </w:pPr>
            <w:r>
              <w:rPr>
                <w:rFonts w:ascii="Calibri" w:hAnsi="Calibri" w:cs="Calibri"/>
                <w:b/>
                <w:sz w:val="18"/>
              </w:rPr>
              <w:t>NETO FINANCIRANJE</w:t>
            </w:r>
          </w:p>
        </w:tc>
        <w:tc>
          <w:tcPr>
            <w:tcW w:w="800" w:type="pct"/>
            <w:vAlign w:val="bottom"/>
          </w:tcPr>
          <w:p w:rsidR="00E5374B" w:rsidRDefault="009A2C84">
            <w:pPr>
              <w:spacing w:after="0" w:line="240" w:lineRule="auto"/>
              <w:jc w:val="right"/>
            </w:pPr>
            <w:r>
              <w:rPr>
                <w:rFonts w:ascii="Calibri" w:hAnsi="Calibri" w:cs="Calibri"/>
                <w:b/>
                <w:sz w:val="18"/>
              </w:rPr>
              <w:t>100.477.201</w:t>
            </w:r>
          </w:p>
        </w:tc>
        <w:tc>
          <w:tcPr>
            <w:tcW w:w="800" w:type="pct"/>
            <w:vAlign w:val="bottom"/>
          </w:tcPr>
          <w:p w:rsidR="00E5374B" w:rsidRDefault="009A2C84">
            <w:pPr>
              <w:spacing w:after="0" w:line="240" w:lineRule="auto"/>
              <w:jc w:val="right"/>
            </w:pPr>
            <w:r>
              <w:rPr>
                <w:rFonts w:ascii="Calibri" w:hAnsi="Calibri" w:cs="Calibri"/>
                <w:b/>
                <w:sz w:val="18"/>
              </w:rPr>
              <w:t>-4.522.201</w:t>
            </w:r>
          </w:p>
        </w:tc>
        <w:tc>
          <w:tcPr>
            <w:tcW w:w="800" w:type="pct"/>
            <w:vAlign w:val="bottom"/>
          </w:tcPr>
          <w:p w:rsidR="00E5374B" w:rsidRDefault="009A2C84">
            <w:pPr>
              <w:spacing w:after="0" w:line="240" w:lineRule="auto"/>
              <w:jc w:val="right"/>
            </w:pPr>
            <w:r>
              <w:rPr>
                <w:rFonts w:ascii="Calibri" w:hAnsi="Calibri" w:cs="Calibri"/>
                <w:b/>
                <w:sz w:val="18"/>
              </w:rPr>
              <w:t>95.955.000</w:t>
            </w:r>
          </w:p>
        </w:tc>
        <w:tc>
          <w:tcPr>
            <w:tcW w:w="400" w:type="pct"/>
            <w:vAlign w:val="bottom"/>
          </w:tcPr>
          <w:p w:rsidR="00E5374B" w:rsidRDefault="009A2C84">
            <w:pPr>
              <w:spacing w:after="0" w:line="240" w:lineRule="auto"/>
              <w:jc w:val="right"/>
            </w:pPr>
            <w:r>
              <w:rPr>
                <w:rFonts w:ascii="Calibri" w:hAnsi="Calibri" w:cs="Calibri"/>
                <w:b/>
                <w:sz w:val="18"/>
              </w:rPr>
              <w:t>95,5</w:t>
            </w:r>
          </w:p>
        </w:tc>
      </w:tr>
    </w:tbl>
    <w:p w:rsidR="00E5374B" w:rsidRDefault="00E5374B">
      <w:pPr>
        <w:spacing w:after="0" w:line="240" w:lineRule="auto"/>
      </w:pPr>
    </w:p>
    <w:p w:rsidR="00E5374B" w:rsidRDefault="009A2C84">
      <w:pPr>
        <w:spacing w:line="240" w:lineRule="auto"/>
        <w:jc w:val="both"/>
      </w:pPr>
      <w:r>
        <w:rPr>
          <w:rFonts w:ascii="Calibri" w:hAnsi="Calibri" w:cs="Calibri"/>
        </w:rPr>
        <w:t xml:space="preserve">Izdaci za financijsku imovinu i otplate zajmova u Izmjenama i dopunama financijskog plana </w:t>
      </w:r>
      <w:r>
        <w:rPr>
          <w:rFonts w:ascii="Calibri" w:hAnsi="Calibri" w:cs="Calibri"/>
        </w:rPr>
        <w:t>iznose 360,44 milijuna eura što je u odnosu na izvorni plan povećanje za 278,13 milijuna eura. Planirani primici od financijske imovine i zaduživanja u Izmjenama Plana iznose 461,96 milijuna eura, što je povećanje od 279,17 milijuna eura u odnosu na Izvorn</w:t>
      </w:r>
      <w:r>
        <w:rPr>
          <w:rFonts w:ascii="Calibri" w:hAnsi="Calibri" w:cs="Calibri"/>
        </w:rPr>
        <w:t>i Plan. Ovo povećanje posljedica je refinanciranja kredita u iznosu od 320,46 milijuna eura koje je Društvo provelo u prvoj polovici 2024. godine te se očituje i na stavci Primitaka od zaduživanja i na stavci Izdaci za otplatu glavnice primljenih kredita i</w:t>
      </w:r>
      <w:r>
        <w:rPr>
          <w:rFonts w:ascii="Calibri" w:hAnsi="Calibri" w:cs="Calibri"/>
        </w:rPr>
        <w:t xml:space="preserve"> zajmova.</w:t>
      </w:r>
    </w:p>
    <w:p w:rsidR="00E5374B" w:rsidRDefault="009A2C84">
      <w:pPr>
        <w:spacing w:line="240" w:lineRule="auto"/>
        <w:jc w:val="both"/>
      </w:pPr>
      <w:r>
        <w:rPr>
          <w:rFonts w:ascii="Calibri" w:hAnsi="Calibri" w:cs="Calibri"/>
        </w:rPr>
        <w:t>Osim refinanciranja ugovoren je novi kredit za financiranje projekata i redovnog poslovanja u iznosu od 141,00 milijun eura koji se planira povući do kraja proračunske godine.</w:t>
      </w:r>
    </w:p>
    <w:p w:rsidR="00E5374B" w:rsidRDefault="009A2C84">
      <w:pPr>
        <w:spacing w:line="240" w:lineRule="auto"/>
        <w:jc w:val="both"/>
      </w:pPr>
      <w:r>
        <w:rPr>
          <w:rFonts w:ascii="Calibri" w:hAnsi="Calibri" w:cs="Calibri"/>
        </w:rPr>
        <w:t>Prijenos sredstava u sljedeću godinu planiran je u iznosu od 46,43 mil</w:t>
      </w:r>
      <w:r>
        <w:rPr>
          <w:rFonts w:ascii="Calibri" w:hAnsi="Calibri" w:cs="Calibri"/>
        </w:rPr>
        <w:t>ijuna eura.</w:t>
      </w:r>
    </w:p>
    <w:sectPr w:rsidR="00E5374B">
      <w:footerReference w:type="default" r:id="rId6"/>
      <w:footerReference w:type="first" r:id="rId7"/>
      <w:pgSz w:w="12240" w:h="15840"/>
      <w:pgMar w:top="1152" w:right="1152" w:bottom="1152" w:left="1152" w:header="720" w:footer="720"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9A2C84">
      <w:pPr>
        <w:spacing w:after="0" w:line="240" w:lineRule="auto"/>
      </w:pPr>
      <w:r>
        <w:separator/>
      </w:r>
    </w:p>
  </w:endnote>
  <w:endnote w:type="continuationSeparator" w:id="0">
    <w:p w:rsidR="00000000" w:rsidRDefault="009A2C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374B" w:rsidRDefault="009A2C84">
    <w:pPr>
      <w:jc w:val="right"/>
    </w:pPr>
    <w:r>
      <w:fldChar w:fldCharType="begin"/>
    </w:r>
    <w:r>
      <w:instrText>Page</w:instrText>
    </w:r>
    <w:r>
      <w:fldChar w:fldCharType="separate"/>
    </w:r>
    <w:r>
      <w:rPr>
        <w:noProof/>
      </w:rPr>
      <w:t>3</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000" w:rsidRDefault="009A2C84">
    <w:r>
      <w:cr/>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9A2C84">
      <w:pPr>
        <w:spacing w:after="0" w:line="240" w:lineRule="auto"/>
      </w:pPr>
      <w:r>
        <w:separator/>
      </w:r>
    </w:p>
  </w:footnote>
  <w:footnote w:type="continuationSeparator" w:id="0">
    <w:p w:rsidR="00000000" w:rsidRDefault="009A2C8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E5374B"/>
    <w:rsid w:val="009A2C84"/>
    <w:rsid w:val="00E5374B"/>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903CC7"/>
  <w15:docId w15:val="{5AF1A0E5-53A8-42DC-8CBD-36D875CE0E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hr-HR" w:eastAsia="hr-H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1226</Words>
  <Characters>6990</Characters>
  <Application>Microsoft Office Word</Application>
  <DocSecurity>0</DocSecurity>
  <Lines>58</Lines>
  <Paragraphs>16</Paragraphs>
  <ScaleCrop>false</ScaleCrop>
  <Company/>
  <LinksUpToDate>false</LinksUpToDate>
  <CharactersWithSpaces>8200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Ida Hohnjec</cp:lastModifiedBy>
  <cp:revision>2</cp:revision>
  <dcterms:created xsi:type="dcterms:W3CDTF">2024-10-01T13:31:00Z</dcterms:created>
  <dcterms:modified xsi:type="dcterms:W3CDTF">2024-10-01T13:32:00Z</dcterms:modified>
</cp:coreProperties>
</file>