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5B" w:rsidRDefault="00DE157E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FINANCIJSKOG PLANA HRVATSKE AGENCIJE ZA OSIGURANJE DEPOZITA ZA </w:t>
      </w:r>
      <w:bookmarkStart w:id="0" w:name="_GoBack"/>
      <w:bookmarkEnd w:id="0"/>
      <w:r>
        <w:rPr>
          <w:rFonts w:ascii="Calibri" w:hAnsi="Calibri" w:cs="Calibri"/>
          <w:b/>
          <w:sz w:val="28"/>
        </w:rPr>
        <w:t xml:space="preserve">2025. GODINU I PROJEKCIJA </w:t>
      </w:r>
      <w:r>
        <w:rPr>
          <w:rFonts w:ascii="Calibri" w:hAnsi="Calibri" w:cs="Calibri"/>
          <w:b/>
          <w:sz w:val="28"/>
        </w:rPr>
        <w:t>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UVOD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Hrvatska </w:t>
      </w:r>
      <w:r>
        <w:rPr>
          <w:rFonts w:ascii="Calibri" w:hAnsi="Calibri" w:cs="Calibri"/>
        </w:rPr>
        <w:t>agencija za osiguranje depozita (dalje: Agencija) je specijalizirana, financijska, neprofitna organizacija (institucija) čije su osnovne djelatnosti: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-           Upravljanje sustavom i fondom osiguranja depozita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-           Upravljanje sanacijskim fondom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-           Sudjelovanje u postupcima prisilne likvidacije kreditnih institucija.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U sklopu izvršenja svojih osnovnih djelatnosti Agencija od kreditnih institucija koje posluju u Republici Hrvatskoj, prikuplja premije osiguranja depozita i sanacijske doprin</w:t>
      </w:r>
      <w:r>
        <w:rPr>
          <w:rFonts w:ascii="Calibri" w:hAnsi="Calibri" w:cs="Calibri"/>
        </w:rPr>
        <w:t>ose, a koje čine imovinu fondova i to Fonda za Osiguranje Depozita i Sanacijskog Fonda. Sredstva Fonda osiguranja depozita drže se na posebnom računu kod Hrvatske narodne banke i iz istih se financiraju navedene osnovne djelatnosti Agencije. Fond osiguranj</w:t>
      </w:r>
      <w:r>
        <w:rPr>
          <w:rFonts w:ascii="Calibri" w:hAnsi="Calibri" w:cs="Calibri"/>
        </w:rPr>
        <w:t>a depozita sastoji se od Osnovnog fonda osiguranja depozita i Dodatnog fonda osiguranja depozita. Svrha Osnovnog fonda osiguranja depozita, koji u svakom trenutku raspolaže s iznosom sredstava od 1% osiguranih depozita (ciljana razina), je isključivo ispla</w:t>
      </w:r>
      <w:r>
        <w:rPr>
          <w:rFonts w:ascii="Calibri" w:hAnsi="Calibri" w:cs="Calibri"/>
        </w:rPr>
        <w:t>ta osiguranih depozita. Ciljana razina Dodatnog fonda osiguranja depozita iznosi 1,5 % i isti se koristi za nadopunjavanje Osnovnog fonda osiguranja depozita ako raspoloživa sredstva Osnovnog fonda osiguranja depozita padnu ispod 1% osiguranih depozita, te</w:t>
      </w:r>
      <w:r>
        <w:rPr>
          <w:rFonts w:ascii="Calibri" w:hAnsi="Calibri" w:cs="Calibri"/>
        </w:rPr>
        <w:t xml:space="preserve"> za potporu u prikupljanju ex-post premija, korištenje njegovih sredstava u svrhu poduzimanja mjera za smanjenje rizika nastupa osiguranog slučaja, podršku financiranju sanacije kreditnih institucija i podršku financiranju prisilne likvidacije kreditnih in</w:t>
      </w:r>
      <w:r>
        <w:rPr>
          <w:rFonts w:ascii="Calibri" w:hAnsi="Calibri" w:cs="Calibri"/>
        </w:rPr>
        <w:t>stitucija. Sredstva sanacijskog fonda od 01.10.2020. godine i ulaska Republike Hrvatske u blisku suradnju sa Europskom centralnom bankom, odnosno pristupanju Jedinstvenom sanacijskom mehanizmu Europske Unije prenose se u Jedinstveni sanacijski fond sukladn</w:t>
      </w:r>
      <w:r>
        <w:rPr>
          <w:rFonts w:ascii="Calibri" w:hAnsi="Calibri" w:cs="Calibri"/>
        </w:rPr>
        <w:t>o Sporazumu o prijenosu i objedinjavanju doprinosa u Jedinstveni sanacijski fond.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Sukladno Zakonu o sustavu osiguranja depozita (NN 146/2020, 119/22) koji je stupio na snagu 01.01.2021.godine i koji uređuje djelatnost Agencije, sve aktivnosti Agencije fina</w:t>
      </w:r>
      <w:r>
        <w:rPr>
          <w:rFonts w:ascii="Calibri" w:hAnsi="Calibri" w:cs="Calibri"/>
        </w:rPr>
        <w:t>nciraju se isključivo na teret kreditnih institucija, čime su od troškova propasti kreditnih institucija zaštićeni porezni obveznici i državni proračun.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PRIHODI </w:t>
            </w:r>
            <w:r>
              <w:rPr>
                <w:rFonts w:ascii="Calibri" w:hAnsi="Calibri" w:cs="Calibri"/>
                <w:sz w:val="18"/>
              </w:rPr>
              <w:t>POSLOVANJA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60.589.935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36.255.720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21.275.356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17.114.200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15.102.200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58,7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62385B" w:rsidRDefault="0062385B">
            <w:pPr>
              <w:spacing w:after="0" w:line="240" w:lineRule="auto"/>
              <w:jc w:val="right"/>
            </w:pP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60.589.935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36.255.720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21.275.356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17.114.200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15.102.200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58,7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U kategoriji prihoda poslovanja Agencije iskazani su:</w:t>
      </w:r>
    </w:p>
    <w:p w:rsidR="0062385B" w:rsidRDefault="00DE157E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Prihodi od imovine </w:t>
      </w:r>
    </w:p>
    <w:p w:rsidR="0062385B" w:rsidRDefault="00DE157E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Prihodi od upravnih i administrativnih pristojbi, pristojbi po posebnim propisima i naknada</w:t>
      </w:r>
    </w:p>
    <w:p w:rsidR="0062385B" w:rsidRDefault="00DE157E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Prihodi od prodaje proizvoda i robe te pruženih usluga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lastRenderedPageBreak/>
        <w:t>Prihodi poslovanja za 2025. godinu planirani su u iznosu od 21.275.356 EUR</w:t>
      </w:r>
      <w:r>
        <w:rPr>
          <w:rFonts w:ascii="Calibri" w:hAnsi="Calibri" w:cs="Calibri"/>
        </w:rPr>
        <w:t>, za 2026. godinu planirani su u iznosu od 17.114.200 EUR, dok su za 2027. godinu planirani u iznosu od 15.102.200 EUR.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Prihode od imovine čine prihodi od financijske imovne, a koji se sastoje od  prihoda od kamata po vrijednosnim papirima, prihoda od kama</w:t>
      </w:r>
      <w:r>
        <w:rPr>
          <w:rFonts w:ascii="Calibri" w:hAnsi="Calibri" w:cs="Calibri"/>
        </w:rPr>
        <w:t>ta na oročena sredstva i depozite po viđenju, te prihoda od dividendi. Prihodi od imovine za 2025. godinu planirani su u iznosu od 20.857.156 EUR, za 2026. godinu planirani su u iznosu od 16.696.000 EUR, dok su za 2027. godinu planirani u iznosu od 14.684.</w:t>
      </w:r>
      <w:r>
        <w:rPr>
          <w:rFonts w:ascii="Calibri" w:hAnsi="Calibri" w:cs="Calibri"/>
        </w:rPr>
        <w:t>000 EUR. Promjena na ovoj poziciji  posljedica je predviđanja kretanja kamatnih stopa na tržištu kapitala.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Prihodi od upravnih i administrativnih pristojbi, pristojbi po posebnim propisima odnose se na prihode od naplate iz stečajnih, likvidacijskih i suds</w:t>
      </w:r>
      <w:r>
        <w:rPr>
          <w:rFonts w:ascii="Calibri" w:hAnsi="Calibri" w:cs="Calibri"/>
        </w:rPr>
        <w:t>kih postupaka. Na ovoj poziciji Agencija za 2025. godinu planira realizaciju u iznosu od 418.200 EUR, te je isti iznos planiran za 2026. i 2027.  godinu. Prihodi na ovoj poziciji planirani su u skladu s  očekivanjima,  a vezano uz potraživanja  iz stečajne</w:t>
      </w:r>
      <w:r>
        <w:rPr>
          <w:rFonts w:ascii="Calibri" w:hAnsi="Calibri" w:cs="Calibri"/>
        </w:rPr>
        <w:t xml:space="preserve"> mase banaka i štedionica, likvidacijskih i sudskih postupaka za koja prema raspoloživim informacijama očekujemo da će biti naplaćena kroz  naredna razdoblja. Za potrebe planiranja prihoda projekcije povrata iz stečajnih postupaka Agencija bazira na odnosu</w:t>
      </w:r>
      <w:r>
        <w:rPr>
          <w:rFonts w:ascii="Calibri" w:hAnsi="Calibri" w:cs="Calibri"/>
        </w:rPr>
        <w:t xml:space="preserve"> između prijavljenih nenaplaćenih potraživanja u stečajni postupak i preostalom iznosu raspoložive stečajne mase te projekcijama mogućeg unovčenja stečajne mase kroz vrijeme. Što se tiče Premija za osiguranje depozita, obračun i naplata premija osiguranja </w:t>
      </w:r>
      <w:r>
        <w:rPr>
          <w:rFonts w:ascii="Calibri" w:hAnsi="Calibri" w:cs="Calibri"/>
        </w:rPr>
        <w:t>depozita predviđena je tek kada se raspoloživa sredstva u Fondu osiguranja depozita smanje ispod razine 2,5% osiguranih depozita, što može biti posljedica isplate osiguranih depozita uzrokovane propašću neke kreditne institucije ili posljedica rasta ukupni</w:t>
      </w:r>
      <w:r>
        <w:rPr>
          <w:rFonts w:ascii="Calibri" w:hAnsi="Calibri" w:cs="Calibri"/>
        </w:rPr>
        <w:t>h osiguranih depozita. Obzirom da je ciljana razina dosegnuta, Agencija ne planira prihode po ovoj osnovi niti iste iskazuje u planu.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Prihodi od prodaje proizvoda i robe te pruženih usluga Agencija ne planira u narednim razdobljima.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2.327.911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1.535.385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1.347.412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1.343.888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1.363.914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87,8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117.945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96.105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29.912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17.400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21.400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31,1</w:t>
            </w: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2.445.856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1.631.490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1.377.324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1.361.288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1.385.314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84,4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Rashodi Agencije čine:</w:t>
      </w:r>
    </w:p>
    <w:p w:rsidR="0062385B" w:rsidRDefault="00DE157E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 xml:space="preserve">•      Rashodi poslovanja </w:t>
      </w:r>
    </w:p>
    <w:p w:rsidR="0062385B" w:rsidRDefault="00DE157E">
      <w:pPr>
        <w:spacing w:line="240" w:lineRule="auto"/>
        <w:ind w:left="720" w:hanging="360"/>
        <w:jc w:val="both"/>
      </w:pPr>
      <w:r>
        <w:rPr>
          <w:rFonts w:ascii="Calibri" w:hAnsi="Calibri" w:cs="Calibri"/>
        </w:rPr>
        <w:t>•      Rashodi za nabavu nefinancijske imovine.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Rashodi poslovanja za 2025. godinu planirani su u iznosu od 1.347.412 EUR, za 2026. godinu planirani su u iznos</w:t>
      </w:r>
      <w:r>
        <w:rPr>
          <w:rFonts w:ascii="Calibri" w:hAnsi="Calibri" w:cs="Calibri"/>
        </w:rPr>
        <w:t>u od 1.343.888 EUR, a za 2027. godinu u iznosu od 1.363.914 EUR. Rashode poslovanja čine rashodi za zaposlene, materijalni rashodi i financijski rashodi. S obzirom  da propadanje bilo koje kreditne institucije (bez obzira da li će propadanje prouzročiti pr</w:t>
      </w:r>
      <w:r>
        <w:rPr>
          <w:rFonts w:ascii="Calibri" w:hAnsi="Calibri" w:cs="Calibri"/>
        </w:rPr>
        <w:t xml:space="preserve">isilnu likvidaciju ili sanaciju) nije moguće ''planirati'', tako u financijskom planu nisu planirani troškovi isplate osiguranih depozita niti potencijalni troškovi likvidacije. 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za 2025. godinu planirani su u iznosu</w:t>
      </w:r>
      <w:r>
        <w:rPr>
          <w:rFonts w:ascii="Calibri" w:hAnsi="Calibri" w:cs="Calibri"/>
        </w:rPr>
        <w:t xml:space="preserve"> od 29.912 EUR, za 2026. godinu planirani su u iznosu od 17.400 EUR, dok su za 2027. godinu planirani u iznosu od 21.400 EUR, a odnose se na nabavu dugotrajne materijalne i nematerijalne imovine.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br/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60.589.935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36.255.720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21.275.356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17.114.200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15.102.200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58,7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2.445.856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1.631.490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1.377.324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1.361.288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1.385.314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84,4</w:t>
            </w: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58.144.079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34.624.230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19.898.032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15.752.912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13.716.886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57,5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256.196.545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412.281.483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1.327.228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331.807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0,3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IZDACI ZA FINANCIJSKU IMOVINU I </w:t>
            </w:r>
            <w:r>
              <w:rPr>
                <w:rFonts w:ascii="Calibri" w:hAnsi="Calibri" w:cs="Calibri"/>
                <w:sz w:val="18"/>
              </w:rPr>
              <w:t>OTPLATE ZAJMOVA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15.026.630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699.166.000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62385B" w:rsidRDefault="0062385B">
            <w:pPr>
              <w:spacing w:after="0" w:line="240" w:lineRule="auto"/>
              <w:jc w:val="right"/>
            </w:pP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241.169.916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-286.884.517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1.327.228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331.807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-0,5</w:t>
            </w: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8.681.123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307.995.118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55.734.831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76.960.091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93.044.810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18,1</w:t>
            </w: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</w:t>
            </w:r>
            <w:r>
              <w:rPr>
                <w:rFonts w:ascii="Calibri" w:hAnsi="Calibri" w:cs="Calibri"/>
                <w:sz w:val="18"/>
              </w:rPr>
              <w:t xml:space="preserve"> GODINU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-307.995.118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-55.734.831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-76.960.091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-93.044.810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-106.761.696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138,1</w:t>
            </w:r>
          </w:p>
        </w:tc>
      </w:tr>
      <w:tr w:rsidR="0062385B">
        <w:tc>
          <w:tcPr>
            <w:tcW w:w="980" w:type="pct"/>
            <w:vAlign w:val="bottom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-58.144.079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-34.624.230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-19.898.032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-15.752.912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-13.716.886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57,5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Sukladno EU Direktivi o sustavima </w:t>
      </w:r>
      <w:r>
        <w:rPr>
          <w:rFonts w:ascii="Calibri" w:hAnsi="Calibri" w:cs="Calibri"/>
        </w:rPr>
        <w:t>osiguranja depozita kao i temeljem Zakona o sustavu osiguranja depozita, sredstva Fonda osiguranja depozita koriste se isključivo za namjene utvrđene Zakonom o sustavu osiguranja depozita.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Na poziciji primitaka Agencija za 2025. godinu iskazuje primitke u </w:t>
      </w:r>
      <w:r>
        <w:rPr>
          <w:rFonts w:ascii="Calibri" w:hAnsi="Calibri" w:cs="Calibri"/>
        </w:rPr>
        <w:t>iznosu od 1.327.228 EUR, za 2026. godinu  iskazuje iznos od 331.807 EUR, dok u 2027. godini ne planira primitke po ovoj osnovi. Navedeni primici odnose se na primitke od financijske imovine (obveznice) koje dospijevaju u narednim razdobljima.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Prijenos sred</w:t>
      </w:r>
      <w:r>
        <w:rPr>
          <w:rFonts w:ascii="Calibri" w:hAnsi="Calibri" w:cs="Calibri"/>
        </w:rPr>
        <w:t>stava iz prethodne godine predstavlja sredstva Fonda. Prijenos sredstava u sljedeću godinu predstavljaju sredstva prenesena iz prethodnog razdoblja uvećana za višak sredstava u tekućem razdoblju raspoloživ za prijenos u slijedeće razdoblje.</w:t>
      </w:r>
    </w:p>
    <w:p w:rsidR="0062385B" w:rsidRDefault="00DE157E" w:rsidP="00092343">
      <w:pPr>
        <w:spacing w:line="240" w:lineRule="auto"/>
        <w:jc w:val="both"/>
      </w:pPr>
      <w:r>
        <w:rPr>
          <w:rFonts w:ascii="Calibri" w:hAnsi="Calibri" w:cs="Calibri"/>
        </w:rPr>
        <w:t> </w:t>
      </w:r>
      <w:r>
        <w:rPr>
          <w:rFonts w:ascii="Calibri" w:hAnsi="Calibri" w:cs="Calibri"/>
          <w:b/>
          <w:u w:val="single"/>
        </w:rPr>
        <w:br/>
      </w:r>
      <w:r>
        <w:rPr>
          <w:rFonts w:ascii="Calibri" w:hAnsi="Calibri" w:cs="Calibri"/>
          <w:b/>
          <w:u w:val="single"/>
        </w:rPr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28"/>
        <w:gridCol w:w="3583"/>
        <w:gridCol w:w="3583"/>
      </w:tblGrid>
      <w:tr w:rsidR="0062385B">
        <w:tc>
          <w:tcPr>
            <w:tcW w:w="97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31.12.2023.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30.06.2024.</w:t>
            </w:r>
          </w:p>
        </w:tc>
      </w:tr>
      <w:tr w:rsidR="0062385B">
        <w:tc>
          <w:tcPr>
            <w:tcW w:w="97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1.063.771</w:t>
            </w:r>
          </w:p>
        </w:tc>
        <w:tc>
          <w:tcPr>
            <w:tcW w:w="19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1.107.110</w:t>
            </w:r>
          </w:p>
        </w:tc>
      </w:tr>
      <w:tr w:rsidR="0062385B">
        <w:tc>
          <w:tcPr>
            <w:tcW w:w="97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19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Na dan 31.12.2023. godine Agencija iskazuje ukupne obveze u iznosu 1.063.771,97 EUR, </w:t>
      </w:r>
      <w:r>
        <w:rPr>
          <w:rFonts w:ascii="Calibri" w:hAnsi="Calibri" w:cs="Calibri"/>
        </w:rPr>
        <w:t xml:space="preserve">dok na isti dan nema dospjelih nepodmirenih obveza.     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Na dan 30.06.2024. godine Agencija iskazuje ukupne obveze u iznosu 1.107.110,73 EUR, dok na isti dan nema dospjelih nepodmirenih obveza.     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  <w:u w:val="single"/>
        </w:rPr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004 HRVATSKA AGENCIJA ZA OSIGURANJE DEPOZITA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17.472.486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700.797.490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1.377.324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1.361.288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1.385.314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0,2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>4000 UPRAVLJANJE FONDOM OSIGURANJA DEPOZITA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4000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1.462.704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700.417.362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1.239.590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1.293.224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1.316.049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0,2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Učinkovito upravljanje Fondom osiguranih depozita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6"/>
        <w:gridCol w:w="1058"/>
        <w:gridCol w:w="1026"/>
        <w:gridCol w:w="1026"/>
        <w:gridCol w:w="1027"/>
        <w:gridCol w:w="1027"/>
        <w:gridCol w:w="1027"/>
        <w:gridCol w:w="1027"/>
      </w:tblGrid>
      <w:tr w:rsidR="0062385B">
        <w:tc>
          <w:tcPr>
            <w:tcW w:w="9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</w:t>
            </w:r>
            <w:r>
              <w:rPr>
                <w:rFonts w:ascii="Calibri" w:hAnsi="Calibri" w:cs="Calibri"/>
                <w:b/>
                <w:sz w:val="18"/>
              </w:rPr>
              <w:t>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62385B">
        <w:tc>
          <w:tcPr>
            <w:tcW w:w="9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Izvještaj o obračunatoj i naplaćenoj premiji za osigurane depozite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Agencija obračunava i prikuplja premije za osigurane depozite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HAOD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 xml:space="preserve">A400000 ADMINISTRACIJA I UPRAVLJANJE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A400000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1.376.947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700.324.096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1.212.670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1.276.694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1.295.719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0,2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Rashode </w:t>
      </w:r>
      <w:r>
        <w:rPr>
          <w:rFonts w:ascii="Calibri" w:hAnsi="Calibri" w:cs="Calibri"/>
        </w:rPr>
        <w:t>za administraciju i upravljanje čine rashodi za zaposlene, materijalni rashodi i financijski rashodi, a koji su nužni za redovno poslovanje Agencije.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U 2025. godini planirani su rashodi za administraciju i upravljanje u iznosu od 1.212.670 EUR, za 2026. go</w:t>
      </w:r>
      <w:r>
        <w:rPr>
          <w:rFonts w:ascii="Calibri" w:hAnsi="Calibri" w:cs="Calibri"/>
        </w:rPr>
        <w:t>dini planirani su u iznosu od 1.276.694 EUR, dok su za 2027. godinu planirani u iznosu od 1.295.719 EUR.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Rashodi za zaposlene odnose se na bruto plaće, ostale rashode za zaposlene i doprinose na plaće. Za 2025. godinu rashodi za zaposlene planirani su u iz</w:t>
      </w:r>
      <w:r>
        <w:rPr>
          <w:rFonts w:ascii="Calibri" w:hAnsi="Calibri" w:cs="Calibri"/>
        </w:rPr>
        <w:t>nosu od 772.720 EUR,  za 2026. godinu planirani su u iznosu od 847.268 EUR, dok su za 2027. godinu planirani u iznosu od 865.723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Materijalni rashodi za 2025. godinu planirani su u iznosu od 420.150 EUR, za 2026. godinu planirani su u iznosu od 408.52</w:t>
      </w:r>
      <w:r>
        <w:rPr>
          <w:rFonts w:ascii="Calibri" w:hAnsi="Calibri" w:cs="Calibri"/>
        </w:rPr>
        <w:t>6 EUR, dok su za 2027. godinu planirani u iznosu od 409.096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Financijski rashodi za 2025. godinu planirani su u iznosu od 19.800 EUR, za 2026. godinu planirani su u iznosu od 20.900 EUR, dok su za 2027. godinu planirani u  iznosu od 20.900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Ova a</w:t>
      </w:r>
      <w:r>
        <w:rPr>
          <w:rFonts w:ascii="Calibri" w:hAnsi="Calibri" w:cs="Calibri"/>
        </w:rPr>
        <w:t>ktivnost financira se iz vlastitih sredstava.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 xml:space="preserve">K400000 OPREMANJE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K400000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2.367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7.466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13.780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5.700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9.500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184,6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Aktivnost </w:t>
      </w:r>
      <w:r>
        <w:rPr>
          <w:rFonts w:ascii="Calibri" w:hAnsi="Calibri" w:cs="Calibri"/>
        </w:rPr>
        <w:t xml:space="preserve">se odnosi na rashode za nabavu proizvedene dugotrajne imovine, odnosno postrojenja i opreme koju čine uredska oprema i namještaj, komunikacijska oprema i oprema za održavanje i zaštitu, sve sa ciljem obavljanja redovne djelatnosti Agencije. U 2025. godini </w:t>
      </w:r>
      <w:r>
        <w:rPr>
          <w:rFonts w:ascii="Calibri" w:hAnsi="Calibri" w:cs="Calibri"/>
        </w:rPr>
        <w:t>planirana je realizacija u iznosu 13.780 EUR, za 2026. godinu planirana je u iznosu od 5.700 EUR, dok je za 2027. godinu planirana u iznosu od 9.500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Ovaj projekt financira se  iz vlastitih sredstava.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>K400001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</w:t>
            </w:r>
            <w:r>
              <w:rPr>
                <w:rFonts w:ascii="Calibri" w:hAnsi="Calibri" w:cs="Calibri"/>
                <w:b/>
                <w:sz w:val="18"/>
              </w:rPr>
              <w:t>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K400001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83.390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85.800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13.140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10.830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10.830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15,3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Aktivnost se odnosi na rashode za nabavu neproizvedene dugotrajne imovine, odnosno ne materijalne </w:t>
      </w:r>
      <w:r>
        <w:rPr>
          <w:rFonts w:ascii="Calibri" w:hAnsi="Calibri" w:cs="Calibri"/>
        </w:rPr>
        <w:t>imovine koju čine licence  i ulaganja u računalne programe, a sve sa ciljem obavljanja redovne djelatnosti Agencije.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U 2025. godini planirana je realizacija u iznosu 13.140 EUR, za 2026. godinu planirana je u iznosu od 10.830 EUR, dok je za 2027. godinu pl</w:t>
      </w:r>
      <w:r>
        <w:rPr>
          <w:rFonts w:ascii="Calibri" w:hAnsi="Calibri" w:cs="Calibri"/>
        </w:rPr>
        <w:t>anirana  u  iznosu od 10.830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Ovaj projekt financira se  iz vlastitih sredstava.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>4002 UPRAVLJANJE SANACIJSKIM FONDOM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 w:rsidTr="00092343">
        <w:tc>
          <w:tcPr>
            <w:tcW w:w="981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81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81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14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 w:rsidTr="00092343">
        <w:tc>
          <w:tcPr>
            <w:tcW w:w="981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4002</w:t>
            </w:r>
          </w:p>
        </w:tc>
        <w:tc>
          <w:tcPr>
            <w:tcW w:w="681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15.989.982</w:t>
            </w:r>
          </w:p>
        </w:tc>
        <w:tc>
          <w:tcPr>
            <w:tcW w:w="681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379.810</w:t>
            </w:r>
          </w:p>
        </w:tc>
        <w:tc>
          <w:tcPr>
            <w:tcW w:w="681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137.734</w:t>
            </w:r>
          </w:p>
        </w:tc>
        <w:tc>
          <w:tcPr>
            <w:tcW w:w="681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68.064</w:t>
            </w:r>
          </w:p>
        </w:tc>
        <w:tc>
          <w:tcPr>
            <w:tcW w:w="681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69.265</w:t>
            </w:r>
          </w:p>
        </w:tc>
        <w:tc>
          <w:tcPr>
            <w:tcW w:w="614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36,3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Učinkovita administracija i podrška Jedinstvenom sanacijskom odboru (SRB) i Jedinstvenom sanacijskom fondu (SRF)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4"/>
        <w:gridCol w:w="1282"/>
        <w:gridCol w:w="994"/>
        <w:gridCol w:w="994"/>
        <w:gridCol w:w="995"/>
        <w:gridCol w:w="995"/>
        <w:gridCol w:w="995"/>
        <w:gridCol w:w="995"/>
      </w:tblGrid>
      <w:tr w:rsidR="0062385B">
        <w:tc>
          <w:tcPr>
            <w:tcW w:w="9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62385B">
        <w:tc>
          <w:tcPr>
            <w:tcW w:w="9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Izvještaj Jedinstvenog sanacijskog odbora (SRB) o stanju fonda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Agencija za Jedinstveni sanacijski odbor (SRB) i Jedinstveni sanacijski fond (SRF) obavlja administraciju, podršku i prijenos doprinosa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HAOD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 xml:space="preserve">A400002 ADMINISTRACIJA I UPRAVLJANJE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A400002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931.165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376.971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134.742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67.194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68.195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35,7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Rashode </w:t>
      </w:r>
      <w:r>
        <w:rPr>
          <w:rFonts w:ascii="Calibri" w:hAnsi="Calibri" w:cs="Calibri"/>
        </w:rPr>
        <w:t>za administraciju i upravljanje čine rashodi za zaposlene, materijalni rashodi i financijski rashodi, a koji su nužni za redovno poslovanje Agencije.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U 2025. godini planirani su rashodi za administraciju i upravljanje u iznosu od 134.742 EUR, za 2026. plan</w:t>
      </w:r>
      <w:r>
        <w:rPr>
          <w:rFonts w:ascii="Calibri" w:hAnsi="Calibri" w:cs="Calibri"/>
        </w:rPr>
        <w:t>irani su u iznosu od 67.194 EUR, dok su za 2027. godinu planirani u iznosu od 68.195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Rashodi za zaposlene odnose se na bruto plaće, ostale rashode za zaposlene i doprinose na plaće. Za 2025. godinu rashodi za zaposlene planirani su u iznosu od 85.858</w:t>
      </w:r>
      <w:r>
        <w:rPr>
          <w:rFonts w:ascii="Calibri" w:hAnsi="Calibri" w:cs="Calibri"/>
        </w:rPr>
        <w:t xml:space="preserve"> EUR,  za 2026. godinu planirani su u iznosu od 44.593 EUR, dok su za 2027. godinu planirani u iznosu od 45.564 EUR.  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Materijalni rashodi za 2025. godinu planirani su u iznosu od 46.684 EUR, za 2026. godinu planirani su u iznosu od 21.501 EUR, dok su za 2</w:t>
      </w:r>
      <w:r>
        <w:rPr>
          <w:rFonts w:ascii="Calibri" w:hAnsi="Calibri" w:cs="Calibri"/>
        </w:rPr>
        <w:t xml:space="preserve">027. godinu planirani u iznosu od 21.531 EUR.  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Financijski rashodi za 2025. godinu planirani su u iznosu od 2.200 EUR, za 2026. godinu planirani su u iznosu od 1.100 EUR, dok su za 2027. godinu planirani u  iznosu od 1.100 EUR.  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Ova aktivnost financira s</w:t>
      </w:r>
      <w:r>
        <w:rPr>
          <w:rFonts w:ascii="Calibri" w:hAnsi="Calibri" w:cs="Calibri"/>
        </w:rPr>
        <w:t>e iz vlastitih sredstava.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 xml:space="preserve">K400002 OPREMANJE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K400002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1.578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2.489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1.532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61,6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Aktivnost se odnosi na rashode za nabavu proizvedene dugotrajne imovine, odnosno </w:t>
      </w:r>
      <w:r>
        <w:rPr>
          <w:rFonts w:ascii="Calibri" w:hAnsi="Calibri" w:cs="Calibri"/>
        </w:rPr>
        <w:t xml:space="preserve">postrojenja i opreme koju čine uredska oprema i namještaj, komunikacijska oprema i oprema za održavanje i zaštitu, sve sa ciljem obavljanja redovne djelatnosti Agencije. U 2026. godini planirana je realizacija u iznosu 1.532 EUR, za 2026. godinu planirana </w:t>
      </w:r>
      <w:r>
        <w:rPr>
          <w:rFonts w:ascii="Calibri" w:hAnsi="Calibri" w:cs="Calibri"/>
        </w:rPr>
        <w:t>je u iznosu od 300 EUR, dok je za 2027. godinu planirana  u  iznosu od 500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Ovaj projekt financira se  iz vlastitih sredstava.</w:t>
      </w:r>
    </w:p>
    <w:p w:rsidR="0062385B" w:rsidRDefault="00DE157E">
      <w:pPr>
        <w:spacing w:line="240" w:lineRule="auto"/>
      </w:pPr>
      <w:r>
        <w:rPr>
          <w:rFonts w:ascii="Calibri" w:hAnsi="Calibri" w:cs="Calibri"/>
          <w:b/>
        </w:rPr>
        <w:br/>
        <w:t>K400003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2385B">
        <w:tc>
          <w:tcPr>
            <w:tcW w:w="980" w:type="pct"/>
            <w:shd w:val="clear" w:color="auto" w:fill="BCDFFB"/>
            <w:vAlign w:val="center"/>
          </w:tcPr>
          <w:p w:rsidR="0062385B" w:rsidRDefault="0062385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2385B" w:rsidRDefault="00DE157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62385B">
        <w:tc>
          <w:tcPr>
            <w:tcW w:w="980" w:type="pct"/>
            <w:vAlign w:val="center"/>
          </w:tcPr>
          <w:p w:rsidR="0062385B" w:rsidRDefault="00DE157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K400003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30.609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1.460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570</w:t>
            </w:r>
          </w:p>
        </w:tc>
        <w:tc>
          <w:tcPr>
            <w:tcW w:w="69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570</w:t>
            </w:r>
          </w:p>
        </w:tc>
        <w:tc>
          <w:tcPr>
            <w:tcW w:w="400" w:type="pct"/>
            <w:vAlign w:val="bottom"/>
          </w:tcPr>
          <w:p w:rsidR="0062385B" w:rsidRDefault="00DE157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417,1</w:t>
            </w:r>
          </w:p>
        </w:tc>
      </w:tr>
    </w:tbl>
    <w:p w:rsidR="0062385B" w:rsidRDefault="0062385B">
      <w:pPr>
        <w:spacing w:after="0" w:line="240" w:lineRule="auto"/>
      </w:pP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Aktivnost se odnosi na rashode za nabavu neproizvedene dugotrajne imovine, odnosno ne materijalne imovine koju čine licence  i ulaganja u računalne programe, a sve sa ciljem obavljanja redovne djelatnosti Agencije.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 xml:space="preserve">U </w:t>
      </w:r>
      <w:r>
        <w:rPr>
          <w:rFonts w:ascii="Calibri" w:hAnsi="Calibri" w:cs="Calibri"/>
        </w:rPr>
        <w:t>2025. godini planirana je realizacija u iznosu 1.460 EUR, za 2026. godinu planirana je u iznosu od 570 EUR, dok je za 2027. godinu planirana  u  iznosu od 570 EUR. </w:t>
      </w:r>
    </w:p>
    <w:p w:rsidR="0062385B" w:rsidRDefault="00DE157E">
      <w:pPr>
        <w:spacing w:line="240" w:lineRule="auto"/>
        <w:jc w:val="both"/>
      </w:pPr>
      <w:r>
        <w:rPr>
          <w:rFonts w:ascii="Calibri" w:hAnsi="Calibri" w:cs="Calibri"/>
        </w:rPr>
        <w:t>Ovaj projekt financira se  iz vlastitih sredstava.</w:t>
      </w:r>
    </w:p>
    <w:sectPr w:rsidR="0062385B" w:rsidSect="00092343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E157E">
      <w:pPr>
        <w:spacing w:after="0" w:line="240" w:lineRule="auto"/>
      </w:pPr>
      <w:r>
        <w:separator/>
      </w:r>
    </w:p>
  </w:endnote>
  <w:endnote w:type="continuationSeparator" w:id="0">
    <w:p w:rsidR="00000000" w:rsidRDefault="00DE1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85B" w:rsidRDefault="00DE157E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E157E">
      <w:pPr>
        <w:spacing w:after="0" w:line="240" w:lineRule="auto"/>
      </w:pPr>
      <w:r>
        <w:separator/>
      </w:r>
    </w:p>
  </w:footnote>
  <w:footnote w:type="continuationSeparator" w:id="0">
    <w:p w:rsidR="00000000" w:rsidRDefault="00DE15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385B"/>
    <w:rsid w:val="00092343"/>
    <w:rsid w:val="003C791C"/>
    <w:rsid w:val="0062385B"/>
    <w:rsid w:val="00DE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5FA2B-A97A-415D-9FAE-10F28307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92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2343"/>
  </w:style>
  <w:style w:type="paragraph" w:styleId="Podnoje">
    <w:name w:val="footer"/>
    <w:basedOn w:val="Normal"/>
    <w:link w:val="PodnojeChar"/>
    <w:uiPriority w:val="99"/>
    <w:unhideWhenUsed/>
    <w:rsid w:val="00092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2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2203</Words>
  <Characters>12559</Characters>
  <Application>Microsoft Office Word</Application>
  <DocSecurity>0</DocSecurity>
  <Lines>104</Lines>
  <Paragraphs>29</Paragraphs>
  <ScaleCrop>false</ScaleCrop>
  <Company/>
  <LinksUpToDate>false</LinksUpToDate>
  <CharactersWithSpaces>14733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2024-11-13T16:04:00Z</dcterms:created>
  <dcterms:modified xsi:type="dcterms:W3CDTF">2024-11-13T16:05:00Z</dcterms:modified>
</cp:coreProperties>
</file>