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385" w:rsidRDefault="00A07B4F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 xml:space="preserve">OBRAZLOŽENJE FINANCIJSKOG PLANA HŽ PUTNIČKOG PRIJEVOZA ZA </w:t>
      </w:r>
      <w:r>
        <w:rPr>
          <w:rFonts w:ascii="Calibri" w:hAnsi="Calibri" w:cs="Calibri"/>
          <w:b/>
          <w:sz w:val="28"/>
        </w:rPr>
        <w:t xml:space="preserve">2025. GODINU I PROJEKCIJA </w:t>
      </w:r>
      <w:r>
        <w:rPr>
          <w:rFonts w:ascii="Calibri" w:hAnsi="Calibri" w:cs="Calibri"/>
          <w:b/>
          <w:sz w:val="28"/>
        </w:rPr>
        <w:t>ZA 2026. I 2027. GODINU</w:t>
      </w:r>
      <w:r>
        <w:rPr>
          <w:rFonts w:ascii="Calibri" w:hAnsi="Calibri" w:cs="Calibri"/>
          <w:b/>
          <w:sz w:val="28"/>
        </w:rPr>
        <w:br w:type="page"/>
      </w:r>
    </w:p>
    <w:p w:rsidR="00B84385" w:rsidRDefault="00A07B4F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t>UVOD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HŽ Putnički prijevoz d.o.o. je trgovačko</w:t>
      </w:r>
      <w:r>
        <w:rPr>
          <w:rFonts w:ascii="Calibri" w:hAnsi="Calibri" w:cs="Calibri"/>
        </w:rPr>
        <w:t xml:space="preserve"> društvo u 100 %-tnom vlasništvu Republike Hrvatske koje obavlja usluge željezničkoga putničkog prijevoza kao jedini pružatelj tih usluga u Republici Hrvatskoj.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Posebni propisi koji se odnose na poslovanje HŽ Putničkog prijevoza su Uredba (EZ) br. 1370/200</w:t>
      </w:r>
      <w:r>
        <w:rPr>
          <w:rFonts w:ascii="Calibri" w:hAnsi="Calibri" w:cs="Calibri"/>
        </w:rPr>
        <w:t xml:space="preserve">7 Europskog parlamenta i Vijeća od 23. listopada 2007. o uslugama javnog željezničkog i cestovnog prijevoza putnika,  Uredba (EU) 2016/2338 Europskog Parlamenta i Vijeća od 14. prosinca 2016. o izmjeni Uredbe (EZ) br. 1370/2007 u pogledu otvaranja tržišta </w:t>
      </w:r>
      <w:r>
        <w:rPr>
          <w:rFonts w:ascii="Calibri" w:hAnsi="Calibri" w:cs="Calibri"/>
        </w:rPr>
        <w:t>za usluge domaćeg željezničkog prijevoza putnika, Uredba (EZ) br. 2021/782 Europskog parlamenta i Vijeća od 29. travnja 2021. o pravima i obvezama putnika u željezničkom prometu, Zakon o željeznici, Zakon o sigurnosti i interoperabilnosti željezničkog sust</w:t>
      </w:r>
      <w:r>
        <w:rPr>
          <w:rFonts w:ascii="Calibri" w:hAnsi="Calibri" w:cs="Calibri"/>
        </w:rPr>
        <w:t>ava, Zakon o ugovorima o prijevozu u željezničkom prometu i podzakonski propisi doneseni na temelju navedenih propisa.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Djelatnost HŽ Putničkog prijevoza je pružanje usluge javnoga prijevoza putnika u unutarnjem i međunarodnom željezničkom prijevozu. Pod ti</w:t>
      </w:r>
      <w:r>
        <w:rPr>
          <w:rFonts w:ascii="Calibri" w:hAnsi="Calibri" w:cs="Calibri"/>
        </w:rPr>
        <w:t>me se podrazumijeva: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</w:rPr>
        <w:t>-      povezivanje gradskih središta i lokalnih sredina u Republici Hrvatskoj s gradovima u Europi te masovan prijevoz putnika unutar većih gradova i prigradskih područja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</w:rPr>
        <w:t xml:space="preserve">-      povezivanje županijskih/regionalnih središta međusobno i </w:t>
      </w:r>
      <w:r>
        <w:rPr>
          <w:rFonts w:ascii="Calibri" w:hAnsi="Calibri" w:cs="Calibri"/>
        </w:rPr>
        <w:t xml:space="preserve">s lokalnim sredinama (manji gradovi i općine) na cijelom području HŽ-ove mreže, formirajući na taj način usluge prilagođene putnicima koji svakodnevno koriste prijevoz vlakom 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</w:rPr>
        <w:t>-     masovni prijevoz putnika u prigradskim i gradskim područjima većih gradova</w:t>
      </w:r>
      <w:r>
        <w:rPr>
          <w:rFonts w:ascii="Calibri" w:hAnsi="Calibri" w:cs="Calibri"/>
        </w:rPr>
        <w:t xml:space="preserve"> u Republici Hrvatskoj i lokalnim sredinama gdje postoji mogućnost i potreba za takvim prijevozom, uz prijevozne cijene prihvatljive svim socijalnim strukturama potencijalnih korisnika  prijevoza te maksimalnu povezanost s lokalnim gradskim prijevoznicima </w:t>
      </w:r>
      <w:r>
        <w:rPr>
          <w:rFonts w:ascii="Calibri" w:hAnsi="Calibri" w:cs="Calibri"/>
        </w:rPr>
        <w:t>iz drugih prometnih grana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</w:rPr>
        <w:t>-      sezonsko povezivanje županijskih/regionalnih središta u unutrašnjosti s obalnim turističkim gradovima.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Misija HŽ Putničkog prijevoza d.o.o. je prijevoz putnika pružanjem kvalitetne i pouzdane te ekonomski i ekološki prihvat</w:t>
      </w:r>
      <w:r>
        <w:rPr>
          <w:rFonts w:ascii="Calibri" w:hAnsi="Calibri" w:cs="Calibri"/>
        </w:rPr>
        <w:t>ljive usluge u gradsko-prigradskom, lokalno-regionalnom te međunarodnom i unutarnjem daljinskom željezničkom prijevozu.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Vizija HŽ Putničkog prijevoza d.o.o. je postati vodeće prijevozničko poduzeće u Republici Hrvatskoj usmjereno na masovan i kvalitetan pr</w:t>
      </w:r>
      <w:r>
        <w:rPr>
          <w:rFonts w:ascii="Calibri" w:hAnsi="Calibri" w:cs="Calibri"/>
        </w:rPr>
        <w:t>ijevoz putnika u skladu s tržišnim načelima na zadovoljstvo korisnika prijevozne usluge i radnika.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Ministarstvo mora, prometa i infrastrukture Republike Hrvatske povjerilo je HŽ Putničkom prijevozu d.o.o. pružanje usluga javnoga željezničkog putničkog prij</w:t>
      </w:r>
      <w:r>
        <w:rPr>
          <w:rFonts w:ascii="Calibri" w:hAnsi="Calibri" w:cs="Calibri"/>
        </w:rPr>
        <w:t>evoza kojima se jamči usluga prijevoza putnika za razdoblje od 1. siječnja 2019. do 31. prosinca 2028. godine (Ugovor br. 1/2019/DP-HŽPP o javnim uslugama za usluge od općeg gospodarskog interesa u javnom željezničkom prijevozu u Republici Hrvatskoj, dalje</w:t>
      </w:r>
      <w:r>
        <w:rPr>
          <w:rFonts w:ascii="Calibri" w:hAnsi="Calibri" w:cs="Calibri"/>
        </w:rPr>
        <w:t xml:space="preserve"> u tekstu: PSO ugovor), osiguravajući transparentnost uz poštivanje društvenih, okolišnih i regionalnih razvojnih čimbenika.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Prijedlog financijskog plana HŽ Putničkog prijevoza za 2025. godinu te projekcije plana za 2026. i 2027. godinu izrađene su sukladn</w:t>
      </w:r>
      <w:r>
        <w:rPr>
          <w:rFonts w:ascii="Calibri" w:hAnsi="Calibri" w:cs="Calibri"/>
        </w:rPr>
        <w:t>o planiranom opsegu prijevozne usluge.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Željeznički putnički prijevoz organizira se na 2.617 kilometara pruga, dnevno se pokreće oko 760 vlakova, a zbog izvođenja radova na pružnoj mreži i stanja infrastrukture vrlo su niske komercijalne brzine prometovanja</w:t>
      </w:r>
      <w:r>
        <w:rPr>
          <w:rFonts w:ascii="Calibri" w:hAnsi="Calibri" w:cs="Calibri"/>
        </w:rPr>
        <w:t xml:space="preserve"> vlakova. Kako bi se ublažio navedeni negativni utjecaj i u 2025. planira se provođenje projekata povoljnijeg željezničkog prijevoza  učenika osnovnih i srednjih škola, redovnih studenata, umirovljenika i osoba starijih od 65 godina te stanovnika pogođenih</w:t>
      </w:r>
      <w:r>
        <w:rPr>
          <w:rFonts w:ascii="Calibri" w:hAnsi="Calibri" w:cs="Calibri"/>
        </w:rPr>
        <w:t xml:space="preserve"> potresom na području Sisačko-moslavačke županije. Projekti se provode sa svrhom poticanja i stvaranja navike korištenja javnoga željezničkog prijevoza, koji djelomično predstavljaju i kompenzacije za vrijeme radova na željezničkoj infrastrukturi.  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Remonti pruga nastavljaju se na većem dijelu mreže HŽ-a te se planiraju radovi na sljedećim dionicama: DG Savski Marof – Zagreb GK, Zagreb GK - Dugo Selo – Križevci – Koprivnica – Botovo, Zagreb GK – Dugo Selo – Novska – Tovarnik DG, Rijeka – Šapjane DG, K</w:t>
      </w:r>
      <w:r>
        <w:rPr>
          <w:rFonts w:ascii="Calibri" w:hAnsi="Calibri" w:cs="Calibri"/>
        </w:rPr>
        <w:t>arlovac – Kamanje DG, Zagreb GK – Rijeka na relacijama Hrvatski Leskovac –Karlovac, Generalski Stol – Gornje Dubrave, Zaprešić – Zabok – Varaždin – Kotoriba – Čakovec – DG, Zagreb GK – Velika Gorica – Sisak – Novska na relacijama Sisak – Sisak Caprag - Vol</w:t>
      </w:r>
      <w:r>
        <w:rPr>
          <w:rFonts w:ascii="Calibri" w:hAnsi="Calibri" w:cs="Calibri"/>
        </w:rPr>
        <w:t>inja i Sunja –Novska, Banova Jaruga – Pčelić, Zagreb GK – Oštarije – Knin – Split, Koprivnica-Osijek-Dalj. 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Nadalje, </w:t>
      </w:r>
      <w:r>
        <w:rPr>
          <w:rFonts w:ascii="Calibri" w:hAnsi="Calibri" w:cs="Calibri"/>
          <w:color w:val="000000"/>
        </w:rPr>
        <w:t xml:space="preserve">radi osiguranja bolje prometne povezanosti u novom voznom redu 2024./2025. </w:t>
      </w:r>
      <w:r>
        <w:rPr>
          <w:rFonts w:ascii="Calibri" w:hAnsi="Calibri" w:cs="Calibri"/>
        </w:rPr>
        <w:t>uveden je 21 novi vlak na relacijama Zagreb GK – Velika Gorica –</w:t>
      </w:r>
      <w:r>
        <w:rPr>
          <w:rFonts w:ascii="Calibri" w:hAnsi="Calibri" w:cs="Calibri"/>
        </w:rPr>
        <w:t xml:space="preserve"> Zagreb GK,Zagreb – Rijeka – Zagreb,  Zabok – Krapina – Đurmanec – Hromec i obrnuto, Zagreb GK – Bjelovar – Zagreb GK te   Beli Manastir – Magyarboli – Beli Manastir. Također, frekvencija vlakova kontinuirano će se povećavati u skladu s daljnjom isporukom </w:t>
      </w:r>
      <w:r>
        <w:rPr>
          <w:rFonts w:ascii="Calibri" w:hAnsi="Calibri" w:cs="Calibri"/>
        </w:rPr>
        <w:t>novih vlakova i završetkom obnove pruga.</w:t>
      </w:r>
    </w:p>
    <w:p w:rsidR="00B84385" w:rsidRDefault="00A07B4F" w:rsidP="00210FA6">
      <w:pPr>
        <w:spacing w:line="240" w:lineRule="auto"/>
        <w:jc w:val="both"/>
      </w:pPr>
      <w:r>
        <w:rPr>
          <w:rFonts w:ascii="Calibri" w:hAnsi="Calibri" w:cs="Calibri"/>
        </w:rPr>
        <w:t> </w:t>
      </w: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190.494.128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162.874.390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187.330.999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195.390.920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199.793.000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115,0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PRIHODI OD PRODAJE NEFINANCIJSKE </w:t>
            </w:r>
            <w:r>
              <w:rPr>
                <w:rFonts w:ascii="Calibri" w:hAnsi="Calibri" w:cs="Calibri"/>
                <w:sz w:val="18"/>
              </w:rPr>
              <w:t>IMOVINE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26.312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50.000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71,4</w:t>
            </w:r>
          </w:p>
        </w:tc>
      </w:tr>
      <w:tr w:rsidR="00B84385">
        <w:tc>
          <w:tcPr>
            <w:tcW w:w="980" w:type="pct"/>
            <w:vAlign w:val="bottom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190.520.440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162.944.390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187.380.999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195.440.920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199.843.000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115,0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Ukupni prihodi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prijedlogu Financijskog plana u 2025. iznose 187.380.999 eura, u </w:t>
      </w:r>
      <w:r>
        <w:rPr>
          <w:rFonts w:ascii="Calibri" w:hAnsi="Calibri" w:cs="Calibri"/>
        </w:rPr>
        <w:t>2026. 195.440.920 eura te u 2027. 199.843.000 eura.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U ukupnim prihodima poslovanja najveći udio odnosi se na pomoći iz inozemstva i od subjekata unutar općeg proračuna. Pomoći proračunu iz drugih proračuna i izvanproračunskim korisnicima iznose 144.200.000</w:t>
      </w:r>
      <w:r>
        <w:rPr>
          <w:rFonts w:ascii="Calibri" w:hAnsi="Calibri" w:cs="Calibri"/>
        </w:rPr>
        <w:t xml:space="preserve"> eura u 2025., 160.500.000 eura u 2026. i 165.600.000 eura u 2027., u  čemu planirani iznos prihoda iz zajma Europske investicijske banke u 2025.  iznosi  38.800.000 eura, u 2026.  50.000.000 eura te u 2027. 49.100.000 eura.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Iz zajma Europske investicijske</w:t>
      </w:r>
      <w:r>
        <w:rPr>
          <w:rFonts w:ascii="Calibri" w:hAnsi="Calibri" w:cs="Calibri"/>
          <w:color w:val="000000"/>
        </w:rPr>
        <w:t xml:space="preserve"> banke planira se </w:t>
      </w:r>
      <w:r>
        <w:rPr>
          <w:rFonts w:ascii="Calibri" w:hAnsi="Calibri" w:cs="Calibri"/>
        </w:rPr>
        <w:t>financiranje 11 elektrodizelskih motornih vlakova za daljinski promet, 4 baterijska vlaka za splitsko i istarsko područje te 4 elektrobaterijska vlaka za relacije Zagreb – Krapina i Zagreb – Bjelovar. Nadalje, planira se financiranje doku</w:t>
      </w:r>
      <w:r>
        <w:rPr>
          <w:rFonts w:ascii="Calibri" w:hAnsi="Calibri" w:cs="Calibri"/>
        </w:rPr>
        <w:t>mentacije za izgradnju Tehničko-logističkog centra Zagreb uključivo obnovu radionice za održavanje željezničkih vozila u Splitu, izgradnja punionica za baterijske vlakove na lokacijama Lupoglav i Požega (Velika), nadogradnja stabilnih energetskih priključa</w:t>
      </w:r>
      <w:r>
        <w:rPr>
          <w:rFonts w:ascii="Calibri" w:hAnsi="Calibri" w:cs="Calibri"/>
        </w:rPr>
        <w:t>ka alternativnim izvorom energije te dovršetak projekta nabave dva baterijska vlaka i šest stabilnih energetskih priključaka za punjenje pogonskih baterija u kolodvorima Split, Osijek, Varaždin, Bjelovar, Virovitica i Pula. 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Sredstva za financiranje EU pro</w:t>
      </w:r>
      <w:r>
        <w:rPr>
          <w:rFonts w:ascii="Calibri" w:hAnsi="Calibri" w:cs="Calibri"/>
        </w:rPr>
        <w:t>jekata i programa sastoje se od tekućih i kapitalnih pomoći na temelju prijenosa sredstava iz EU fondova, tekućih i kapitalnih pomoći iz proračuna (nacionalna komponenta) te direktnih kapitalnih pomoći institucija i tijela EU-a. Planirani iznos pomoći na t</w:t>
      </w:r>
      <w:r>
        <w:rPr>
          <w:rFonts w:ascii="Calibri" w:hAnsi="Calibri" w:cs="Calibri"/>
        </w:rPr>
        <w:t>emelju prijenosa EU sredstava iznosi 9.618.368 eura u 2025. te 3.382.000 eura u 2026. godini.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Ostali planirani prihodi sastoje se od: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</w:rPr>
        <w:t>-      prihoda od financijske imovine u iznosu od 140.000 eura u 2025., 2026. i 2027. godini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</w:rPr>
        <w:t xml:space="preserve">-      prihoda </w:t>
      </w:r>
      <w:r>
        <w:rPr>
          <w:rFonts w:ascii="Calibri" w:hAnsi="Calibri" w:cs="Calibri"/>
        </w:rPr>
        <w:t>od nefinancijske imovine u iznosu od 7.426.255 eura, 4.934.920 eura u 2026. i 6.483.000 eura u 2027. godini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</w:rPr>
        <w:t>-      prihoda od prodaje proizvoda i robe te pruženih usluga u iznosu od 25.821.000 eura, 26.434.000 eura u 2026. i 27.570.000 eura u 2027. godini.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Prihodi od prodaje nefinancijske imovine (prihodi od prodaje neaktivnih prijevoznih sredstava) planirani su u iznosu od 50.000 eura u 2025., 2026. i 2027. godini.</w:t>
      </w:r>
    </w:p>
    <w:p w:rsidR="00B84385" w:rsidRDefault="00A07B4F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99.478.663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121.668.192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131.248.015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131.821.639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140.482.640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107,9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93.431.086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37.879.314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76.273.328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62.979.434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60.122.831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201,4</w:t>
            </w:r>
          </w:p>
        </w:tc>
      </w:tr>
      <w:tr w:rsidR="00B84385">
        <w:tc>
          <w:tcPr>
            <w:tcW w:w="980" w:type="pct"/>
            <w:vAlign w:val="bottom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192.909.749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159.547.506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207.521.343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194.801.073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200.605.471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130,1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U prijedlogu Financijskog plana ukupni rashodi za 2025. iznose 207.521.343 eura, 194.801.073 eura u 2026. godini i 200.605.471 euro u 2027. godini.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 xml:space="preserve">Rashodi za zaposlene u 2025. iznose </w:t>
      </w:r>
      <w:r>
        <w:rPr>
          <w:rFonts w:ascii="Calibri" w:hAnsi="Calibri" w:cs="Calibri"/>
        </w:rPr>
        <w:t>54.692.292 eura, a odnose se na bruto plaće u iznosu od 41.198.177 eura, doprinose za mirovinsko i zdravstveno osiguranje u iznosu od 8.643.000 eura i ostale rashode za zaposlene u iznosu od 4.851.115 eura. Rashodi za zaposlene u 2026. iznose 56.236.115 eu</w:t>
      </w:r>
      <w:r>
        <w:rPr>
          <w:rFonts w:ascii="Calibri" w:hAnsi="Calibri" w:cs="Calibri"/>
        </w:rPr>
        <w:t>ra, dok 2027. godine iznose 58.827.115 eura.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Materijalni rashodi iznose 71.486.223 eura, a odnose se na naknade troškova zaposlenima u iznosu od 1.793.886 eura, rashode za materijal i energiju u iznosu od 16.854.902 eura, rashode za usluge u iznosu od 48.8</w:t>
      </w:r>
      <w:r>
        <w:rPr>
          <w:rFonts w:ascii="Calibri" w:hAnsi="Calibri" w:cs="Calibri"/>
        </w:rPr>
        <w:t>08.624 eura, naknade troškova osobama izvan radnog odnosa u iznosu od 110.925 eura i ostale nespomenute rashode poslovanja u iznosu od 3.917.886 eura. Materijalni rashodi u 2026. iznose 70.736.024 eura te u 2027. 76.956.647 eura.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Financijski rashodi u 2025</w:t>
      </w:r>
      <w:r>
        <w:rPr>
          <w:rFonts w:ascii="Calibri" w:hAnsi="Calibri" w:cs="Calibri"/>
        </w:rPr>
        <w:t>. iznose 3.884.000 eura, a odnose se na kamate za primljene kredite i zajmove u iznosu od 3.000.000 eura i ostale financijske rashode u iznosu od 884.000 eura. Financijski rashodi u 2026. i 2027.  iznose 3.564.000 eura.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 xml:space="preserve">Rashodi za donacije, kazne, naknade </w:t>
      </w:r>
      <w:r>
        <w:rPr>
          <w:rFonts w:ascii="Calibri" w:hAnsi="Calibri" w:cs="Calibri"/>
        </w:rPr>
        <w:t>šteta i kapitalne pomoći u 2025. iznose 1.185.500 eura, od čega se najveći dio odnosi na naknade šteta pravnim i fizičkim osobama (1.170.500 eura). Rashodi za donacije, kazne, naknade šteta i kapitalne pomoći u 2026. iznose 1.285.500 eura te u 2027. 1.134.</w:t>
      </w:r>
      <w:r>
        <w:rPr>
          <w:rFonts w:ascii="Calibri" w:hAnsi="Calibri" w:cs="Calibri"/>
        </w:rPr>
        <w:t>878 eura.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 Rashodi za nabavu nefinancijske imovine u 2025. iznose 76.273.328 eura, a čine ih: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</w:rPr>
        <w:t>-      rashodi za nabavu proizvedene dugotrajne imovine u iznosu od 66.528.312 eura koji se odnose na nabavu novih vlakova u iznosu od 64.162.312 eura, prijevozna</w:t>
      </w:r>
      <w:r>
        <w:rPr>
          <w:rFonts w:ascii="Calibri" w:hAnsi="Calibri" w:cs="Calibri"/>
        </w:rPr>
        <w:t xml:space="preserve"> sredstva u cestovnom prometu u iznosu od 95.000 eura i ulaganja u računalne programe u iznosu od 2.271.000 eura.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</w:rPr>
        <w:t>-      rashodi za dodatna ulaganja na nefinancijskoj imovini u iznosu od 9.745.016 eura koji se odnose na dodatna ulaganja na građevinskim obj</w:t>
      </w:r>
      <w:r>
        <w:rPr>
          <w:rFonts w:ascii="Calibri" w:hAnsi="Calibri" w:cs="Calibri"/>
        </w:rPr>
        <w:t>ektima (5.440.016 eura), ulaganja u postojeći vozni park (3.000.000 eura) te ulaganja u nefinancijsku imovinu u iznosu od 1.305.000 eura.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imovine u 2026. iznose 62.979.434 eura te u 2027. 60.122.831 euro.</w:t>
      </w:r>
    </w:p>
    <w:p w:rsidR="00B84385" w:rsidRDefault="00A07B4F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</w:t>
      </w:r>
      <w:r>
        <w:rPr>
          <w:rFonts w:ascii="Calibri" w:hAnsi="Calibri" w:cs="Calibri"/>
          <w:b/>
          <w:u w:val="single"/>
        </w:rPr>
        <w:t>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190.520.440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162.944.390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187.380.999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195.440.920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199.843.000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115,0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192.909.749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159.547.506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207.521.343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194.801.073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200.605.471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130,1</w:t>
            </w:r>
          </w:p>
        </w:tc>
      </w:tr>
      <w:tr w:rsidR="00B84385">
        <w:tc>
          <w:tcPr>
            <w:tcW w:w="980" w:type="pct"/>
            <w:vAlign w:val="bottom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</w:t>
            </w:r>
            <w:r>
              <w:rPr>
                <w:rFonts w:ascii="Calibri" w:hAnsi="Calibri" w:cs="Calibri"/>
                <w:b/>
                <w:sz w:val="18"/>
              </w:rPr>
              <w:t xml:space="preserve"> VIŠAK/MANJAK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-2.389.309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3.396.884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-20.140.344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639.847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-762.471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-592,9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 xml:space="preserve">Prijedlogom financijskog plana HŽ Putničkog prijevoza za 2025. godinu i projekcijama za 2026. i 2027. godinu </w:t>
      </w:r>
      <w:r>
        <w:rPr>
          <w:rFonts w:ascii="Calibri" w:hAnsi="Calibri" w:cs="Calibri"/>
        </w:rPr>
        <w:t>projicirani su ukupni prihodi i rashodi koji rezultiraju manjkom od 20.140.344 eura u 2025. godini, viškom od 639.847 eura u 2026. i manjkom od 762.471 euro u 2027. godini. </w:t>
      </w:r>
    </w:p>
    <w:p w:rsidR="00B84385" w:rsidRDefault="00A07B4F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9.696.178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27.170.016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6.404.984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7.750.000</w:t>
            </w:r>
          </w:p>
        </w:tc>
        <w:tc>
          <w:tcPr>
            <w:tcW w:w="400" w:type="pct"/>
            <w:vAlign w:val="bottom"/>
          </w:tcPr>
          <w:p w:rsidR="00B84385" w:rsidRDefault="00B84385">
            <w:pPr>
              <w:spacing w:after="0" w:line="240" w:lineRule="auto"/>
              <w:jc w:val="right"/>
            </w:pP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7.009.494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7.047.581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7.012.000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7.012.000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7.012.000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99,5</w:t>
            </w:r>
          </w:p>
        </w:tc>
      </w:tr>
      <w:tr w:rsidR="00B84385">
        <w:tc>
          <w:tcPr>
            <w:tcW w:w="980" w:type="pct"/>
            <w:vAlign w:val="bottom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PRIMITAKA I IZDATAKA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2.686.685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-7.047.581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20.158.016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-607.016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738.000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-286,0</w:t>
            </w:r>
          </w:p>
        </w:tc>
      </w:tr>
      <w:tr w:rsidR="00B84385">
        <w:tc>
          <w:tcPr>
            <w:tcW w:w="980" w:type="pct"/>
            <w:vAlign w:val="bottom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3.353.321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3.650.697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17.672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50.503</w:t>
            </w:r>
          </w:p>
        </w:tc>
        <w:tc>
          <w:tcPr>
            <w:tcW w:w="400" w:type="pct"/>
            <w:vAlign w:val="bottom"/>
          </w:tcPr>
          <w:p w:rsidR="00B84385" w:rsidRDefault="00B84385">
            <w:pPr>
              <w:spacing w:after="0" w:line="240" w:lineRule="auto"/>
              <w:jc w:val="right"/>
            </w:pPr>
          </w:p>
        </w:tc>
      </w:tr>
      <w:tr w:rsidR="00B84385">
        <w:tc>
          <w:tcPr>
            <w:tcW w:w="980" w:type="pct"/>
            <w:vAlign w:val="bottom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-3.650.697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-17.672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-50.503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-26.032</w:t>
            </w:r>
          </w:p>
        </w:tc>
        <w:tc>
          <w:tcPr>
            <w:tcW w:w="400" w:type="pct"/>
            <w:vAlign w:val="bottom"/>
          </w:tcPr>
          <w:p w:rsidR="00B84385" w:rsidRDefault="00B84385">
            <w:pPr>
              <w:spacing w:after="0" w:line="240" w:lineRule="auto"/>
              <w:jc w:val="right"/>
            </w:pPr>
          </w:p>
        </w:tc>
      </w:tr>
      <w:tr w:rsidR="00B84385">
        <w:tc>
          <w:tcPr>
            <w:tcW w:w="980" w:type="pct"/>
            <w:vAlign w:val="bottom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2.389.309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-3.396.884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20.140.344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-639.847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762.471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-592,9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Planirani primici od financijske imovine i zaduživanja za 2025. godinu iznose 27.170.016 eura, u 2026. 6.404.984 eura te u 2027. 7.750.000 eura i odnose se na povlačenje sredstava iz zajmova međunarodnih organizacija.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Kako bi HŽ P</w:t>
      </w:r>
      <w:r>
        <w:rPr>
          <w:rFonts w:ascii="Calibri" w:hAnsi="Calibri" w:cs="Calibri"/>
          <w:color w:val="000000"/>
        </w:rPr>
        <w:t>utnički prijevoz omogućio nesmetano odvijanje voznog reda na temelju PSO ugovora, koji je potpisan s Ministarstvom mora, prometa i infrastrukture, neophodno je osigurati potreban broj vozila za odvijanje prometa te obnoviti radionice za održavanje željezni</w:t>
      </w:r>
      <w:r>
        <w:rPr>
          <w:rFonts w:ascii="Calibri" w:hAnsi="Calibri" w:cs="Calibri"/>
          <w:color w:val="000000"/>
        </w:rPr>
        <w:t>čkih vozila.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Izuzev novih vlakova, željeznička vozila stara su preko 40 godina, a radionice, koje su u funkciji više od 50 godina, nisu adekvatne za udovoljavanje potreba za održavanjem zbog čega je neophodna njihova obnova.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S obzirom da će do kraja 2027. </w:t>
      </w:r>
      <w:r>
        <w:rPr>
          <w:rFonts w:ascii="Calibri" w:hAnsi="Calibri" w:cs="Calibri"/>
          <w:color w:val="000000"/>
        </w:rPr>
        <w:t>HŽPP raspolagati s 83 nova vlaka (uključivo 3 prototipa iz 2010. i 2011.), potrebno je osigurati dovoljan broj vozila i za klasične kompozicije vlakova (lokomotiva + vagon) te su neophodna daljnja ulaganja u obnovu električnih lokomotiva i obnovu radionica</w:t>
      </w:r>
      <w:r>
        <w:rPr>
          <w:rFonts w:ascii="Calibri" w:hAnsi="Calibri" w:cs="Calibri"/>
          <w:color w:val="000000"/>
        </w:rPr>
        <w:t xml:space="preserve"> za održavanje u Koprivnici, Osijeku, Puli, Splitu, Varaždinu, Vinkovcima i Solinu.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Nastavno na navedeno, za obnovu 8 električnih lokomotiva serije 1142 i obnovu objekata za održavanje željezničkih vozila u Koprivnici, Osijeku, Puli, Splitu, </w:t>
      </w:r>
      <w:r>
        <w:rPr>
          <w:rFonts w:ascii="Calibri" w:hAnsi="Calibri" w:cs="Calibri"/>
          <w:color w:val="000000"/>
        </w:rPr>
        <w:t>Varaždinu, Vinkovcima i Solinu planira se u 2025. povući 5.470.016 eura od novog kreditnog zaduženja u iznosu 24.000.000 eura na koje je Vlada Republike Hrvatske dala suglasnost. Također u 2025. očekuje se povlačenje 21.700.000 eura iz postojećeg zajma EUR</w:t>
      </w:r>
      <w:r>
        <w:rPr>
          <w:rFonts w:ascii="Calibri" w:hAnsi="Calibri" w:cs="Calibri"/>
          <w:color w:val="000000"/>
        </w:rPr>
        <w:t xml:space="preserve">OFIMA-e za plaćanje 7 dizel-električnih motornih vlakova. 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Planirani izdaci za otplatu glavnice primljenih kredita i zajmova u 2025. godini iznose 7.012.000 eura i odnose se na otplatu glavnice primljenih kredita od kreditnih institucija u javnom sektoru u</w:t>
      </w:r>
      <w:r>
        <w:rPr>
          <w:rFonts w:ascii="Calibri" w:hAnsi="Calibri" w:cs="Calibri"/>
        </w:rPr>
        <w:t xml:space="preserve"> iznosu od 3.852.000 eura i otplate glavnice primljenih zajmova međunarodnih organizacija u iznosu od 3.160.000 eura.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Planirani izdaci za otplatu glavnice primljenih kredita i zajmova u 2026. te u 2027. iznose 7.012.000 eura.</w:t>
      </w:r>
    </w:p>
    <w:p w:rsidR="00210FA6" w:rsidRDefault="00A07B4F" w:rsidP="00210FA6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Prijenos sredstava iz 2025. u </w:t>
      </w:r>
      <w:r>
        <w:rPr>
          <w:rFonts w:ascii="Calibri" w:hAnsi="Calibri" w:cs="Calibri"/>
        </w:rPr>
        <w:t>2026. godinu planiran je u iznosu od 17.672 eura.</w:t>
      </w:r>
    </w:p>
    <w:p w:rsidR="00B84385" w:rsidRDefault="00A07B4F" w:rsidP="00210FA6">
      <w:pPr>
        <w:spacing w:line="240" w:lineRule="auto"/>
        <w:jc w:val="both"/>
      </w:pPr>
      <w:r>
        <w:rPr>
          <w:rFonts w:ascii="Calibri" w:hAnsi="Calibri" w:cs="Calibri"/>
          <w:b/>
          <w:u w:val="single"/>
        </w:rPr>
        <w:br/>
        <w:t>UKUPNE I DOSPJELE OBVEZE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828"/>
        <w:gridCol w:w="3583"/>
        <w:gridCol w:w="3583"/>
      </w:tblGrid>
      <w:tr w:rsidR="00B84385">
        <w:tc>
          <w:tcPr>
            <w:tcW w:w="97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19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31.12.2023.</w:t>
            </w:r>
          </w:p>
        </w:tc>
        <w:tc>
          <w:tcPr>
            <w:tcW w:w="19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30.06.2024.</w:t>
            </w:r>
          </w:p>
        </w:tc>
      </w:tr>
      <w:tr w:rsidR="00B84385">
        <w:tc>
          <w:tcPr>
            <w:tcW w:w="97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UKUPNE OBVEZE</w:t>
            </w:r>
          </w:p>
        </w:tc>
        <w:tc>
          <w:tcPr>
            <w:tcW w:w="19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141.656.039</w:t>
            </w:r>
          </w:p>
        </w:tc>
        <w:tc>
          <w:tcPr>
            <w:tcW w:w="19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157.878.079</w:t>
            </w:r>
          </w:p>
        </w:tc>
      </w:tr>
      <w:tr w:rsidR="00B84385">
        <w:tc>
          <w:tcPr>
            <w:tcW w:w="97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DOSPJELE OBVEZE</w:t>
            </w:r>
          </w:p>
        </w:tc>
        <w:tc>
          <w:tcPr>
            <w:tcW w:w="19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65.834</w:t>
            </w:r>
          </w:p>
        </w:tc>
        <w:tc>
          <w:tcPr>
            <w:tcW w:w="19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30.844.710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POSEBNI DIO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009 HŽ PUTNIČKI PRIJEVOZ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199.919.242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166.595.087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214.533.343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201.813.073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207.617.471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128,8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</w:pPr>
      <w:r>
        <w:rPr>
          <w:rFonts w:ascii="Calibri" w:hAnsi="Calibri" w:cs="Calibri"/>
          <w:b/>
        </w:rPr>
        <w:br/>
        <w:t xml:space="preserve">9000 ADMINISTRATIVNO UPRAVLJANJE I OPREMANJE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 w:rsidTr="00210FA6">
        <w:tc>
          <w:tcPr>
            <w:tcW w:w="981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81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81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81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81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81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14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 w:rsidTr="00210FA6">
        <w:tc>
          <w:tcPr>
            <w:tcW w:w="981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9000</w:t>
            </w:r>
          </w:p>
        </w:tc>
        <w:tc>
          <w:tcPr>
            <w:tcW w:w="681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97.181.470</w:t>
            </w:r>
          </w:p>
        </w:tc>
        <w:tc>
          <w:tcPr>
            <w:tcW w:w="681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119.168.192</w:t>
            </w:r>
          </w:p>
        </w:tc>
        <w:tc>
          <w:tcPr>
            <w:tcW w:w="681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128.248.015</w:t>
            </w:r>
          </w:p>
        </w:tc>
        <w:tc>
          <w:tcPr>
            <w:tcW w:w="681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128.821.639</w:t>
            </w:r>
          </w:p>
        </w:tc>
        <w:tc>
          <w:tcPr>
            <w:tcW w:w="681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137.482.640</w:t>
            </w:r>
          </w:p>
        </w:tc>
        <w:tc>
          <w:tcPr>
            <w:tcW w:w="614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107,6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Ojačati učinkovitost poslovanja HŽ Putničkog prijevoza kroz povećanje produktivnosti, optimizaciju rashoda poslovanja, te ulaganjima u opremanje, informatizaciju i poslovne zgrade.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6"/>
        <w:gridCol w:w="1127"/>
        <w:gridCol w:w="1016"/>
        <w:gridCol w:w="1017"/>
        <w:gridCol w:w="1017"/>
        <w:gridCol w:w="1017"/>
        <w:gridCol w:w="1017"/>
        <w:gridCol w:w="1017"/>
      </w:tblGrid>
      <w:tr w:rsidR="00B84385">
        <w:tc>
          <w:tcPr>
            <w:tcW w:w="9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</w:t>
            </w:r>
            <w:r>
              <w:rPr>
                <w:rFonts w:ascii="Calibri" w:hAnsi="Calibri" w:cs="Calibri"/>
                <w:b/>
                <w:sz w:val="18"/>
              </w:rPr>
              <w:t>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B84385">
        <w:tc>
          <w:tcPr>
            <w:tcW w:w="9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Smanjenje vremena obrade dokumenta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Kroz obuku djelatnika za korištenje novog sustava očekuje se postići smanjenje vremena potrebnog za obradu dokumenata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sati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HŽPP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1,5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</w:tbl>
    <w:p w:rsidR="00B84385" w:rsidRDefault="00B84385">
      <w:pPr>
        <w:spacing w:after="0" w:line="240" w:lineRule="auto"/>
      </w:pPr>
    </w:p>
    <w:p w:rsidR="00A07B4F" w:rsidRDefault="00A07B4F">
      <w:pPr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</w:p>
    <w:p w:rsidR="00A07B4F" w:rsidRDefault="00A07B4F">
      <w:pPr>
        <w:spacing w:line="240" w:lineRule="auto"/>
        <w:rPr>
          <w:rFonts w:ascii="Calibri" w:hAnsi="Calibri" w:cs="Calibri"/>
          <w:b/>
        </w:rPr>
      </w:pPr>
    </w:p>
    <w:p w:rsidR="00B84385" w:rsidRDefault="00A07B4F">
      <w:pPr>
        <w:spacing w:line="240" w:lineRule="auto"/>
      </w:pPr>
      <w:bookmarkStart w:id="0" w:name="_GoBack"/>
      <w:bookmarkEnd w:id="0"/>
      <w:r>
        <w:rPr>
          <w:rFonts w:ascii="Calibri" w:hAnsi="Calibri" w:cs="Calibri"/>
          <w:b/>
        </w:rPr>
        <w:t xml:space="preserve">A900000 ADMINISTRACIJA I UPRAVLJANJE 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A900000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97.181.470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119.168.192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128.248.015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128.821.639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137.482.640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107,6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 xml:space="preserve">U sklopu ove aktivnosti planirani su </w:t>
      </w:r>
      <w:r>
        <w:rPr>
          <w:rFonts w:ascii="Calibri" w:hAnsi="Calibri" w:cs="Calibri"/>
        </w:rPr>
        <w:t>rashodi neophodni za obavljanje redovne djelatnosti HŽ Putničkog prijevoza, a obuhvaćaju rashode za zaposlene, materijalne rashode, financijske rashode i rashode za donacije, kazne, naknade šteta i kapitalne pomoći. U 2025. godini rashodi za administraciju</w:t>
      </w:r>
      <w:r>
        <w:rPr>
          <w:rFonts w:ascii="Calibri" w:hAnsi="Calibri" w:cs="Calibri"/>
        </w:rPr>
        <w:t xml:space="preserve"> i upravljanje iznose 128.248.015 eura, od čega se 42,65% odnosi na rashode za zaposlene, 55,74% na materijalne rashode, 0,69% na financijske rashode te 0,92% na rashode za donacije, kazne, naknade šteta i kapitalne pomoći. 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 xml:space="preserve">U 2026. godini udio rashoda za </w:t>
      </w:r>
      <w:r>
        <w:rPr>
          <w:rFonts w:ascii="Calibri" w:hAnsi="Calibri" w:cs="Calibri"/>
        </w:rPr>
        <w:t>zaposlene iznosi 43,65%, materijalnih rashoda 54,91%, financijskih rashoda 0,44% te rashoda za donacije, kazne, naknade šteta i kapitalne pomoći 1,0%. U 2027. godini udio rashoda za zaposlene iznosi 42,79%, materijalnih rashoda 55,98%, financijskih rashoda</w:t>
      </w:r>
      <w:r>
        <w:rPr>
          <w:rFonts w:ascii="Calibri" w:hAnsi="Calibri" w:cs="Calibri"/>
        </w:rPr>
        <w:t xml:space="preserve"> 0,41% te rashoda za donacije, kazne, naknade šteta i kapitalne pomoći 0,83%. Unutar skupine materijalni rashodi najznačajniji udio odnosi se na tekuće i investicijsko održavanje građevinskih objekata, opreme i prijevoznih sredstava, nabavku licenci, rasho</w:t>
      </w:r>
      <w:r>
        <w:rPr>
          <w:rFonts w:ascii="Calibri" w:hAnsi="Calibri" w:cs="Calibri"/>
        </w:rPr>
        <w:t>de za računalne usluge te ostale usluge koje uključuju usluge čišćenja i čuvanja imovine. Aktivnost se financira iz vlastitih sredstava.</w:t>
      </w:r>
    </w:p>
    <w:p w:rsidR="00B84385" w:rsidRDefault="00A07B4F">
      <w:pPr>
        <w:spacing w:line="240" w:lineRule="auto"/>
      </w:pPr>
      <w:r>
        <w:rPr>
          <w:rFonts w:ascii="Calibri" w:hAnsi="Calibri" w:cs="Calibri"/>
          <w:b/>
        </w:rPr>
        <w:br/>
        <w:t>9001 SERVISIRANJE UNUTARNJEG DUGA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9001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9.306.686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9.547.581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10.012.000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10.012.000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10.012.000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104,9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 xml:space="preserve">Pravovremena otplata dospijeća obveza po zaduživanju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6"/>
        <w:gridCol w:w="1059"/>
        <w:gridCol w:w="1026"/>
        <w:gridCol w:w="1026"/>
        <w:gridCol w:w="1026"/>
        <w:gridCol w:w="1027"/>
        <w:gridCol w:w="1027"/>
        <w:gridCol w:w="1027"/>
      </w:tblGrid>
      <w:tr w:rsidR="00B84385">
        <w:tc>
          <w:tcPr>
            <w:tcW w:w="9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B84385">
        <w:tc>
          <w:tcPr>
            <w:tcW w:w="9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Održivost duga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Uredno servisiranje obveza po zaduživanju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HŽPP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</w:pPr>
      <w:r>
        <w:rPr>
          <w:rFonts w:ascii="Calibri" w:hAnsi="Calibri" w:cs="Calibri"/>
          <w:b/>
        </w:rPr>
        <w:br/>
        <w:t>A900001 ZAJMOVI OD TUZEMNIH BANAKA I OSTALIH FINANCIJSKIH INSTITUCIJA U JAVNOM SEKTORU I IZVAN JAVNOG SEKTORA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A900001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9.306.686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9.547.581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10.012.000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10.012.000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10.012.000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104,9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Rashodi i izdaci po ovoj osnovi odnose se na kamate te otplatu glavnice primljenih kredita i zajmova</w:t>
      </w:r>
      <w:r>
        <w:rPr>
          <w:rFonts w:ascii="Calibri" w:hAnsi="Calibri" w:cs="Calibri"/>
          <w:color w:val="000000"/>
        </w:rPr>
        <w:t xml:space="preserve"> vezanih uz nabavu novih motornih vlakova, investicije u postojeći vozni park i radionice za održavanje željezničkih vozila. 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5"/>
        <w:gridCol w:w="1275"/>
        <w:gridCol w:w="995"/>
        <w:gridCol w:w="995"/>
        <w:gridCol w:w="996"/>
        <w:gridCol w:w="996"/>
        <w:gridCol w:w="996"/>
        <w:gridCol w:w="996"/>
      </w:tblGrid>
      <w:tr w:rsidR="00B84385">
        <w:tc>
          <w:tcPr>
            <w:tcW w:w="9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B84385">
        <w:tc>
          <w:tcPr>
            <w:tcW w:w="9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Izvršenje obveza prema ugovornim rokovima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Pravovremeno izvršenje ugovornih obveza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HŽPP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</w:pPr>
      <w:r>
        <w:rPr>
          <w:rFonts w:ascii="Calibri" w:hAnsi="Calibri" w:cs="Calibri"/>
          <w:b/>
        </w:rPr>
        <w:br/>
        <w:t>9002 PROGRAM ULAGANJA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9002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93.431.086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37.879.314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76.273.328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62.979.434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60.122.831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201,4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Povećati kvalitetu prijevozne usluge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7"/>
        <w:gridCol w:w="1099"/>
        <w:gridCol w:w="1039"/>
        <w:gridCol w:w="1017"/>
        <w:gridCol w:w="1018"/>
        <w:gridCol w:w="1018"/>
        <w:gridCol w:w="1018"/>
        <w:gridCol w:w="1018"/>
      </w:tblGrid>
      <w:tr w:rsidR="00B84385">
        <w:tc>
          <w:tcPr>
            <w:tcW w:w="9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Ciljana vrijednost za </w:t>
            </w:r>
            <w:r>
              <w:rPr>
                <w:rFonts w:ascii="Calibri" w:hAnsi="Calibri" w:cs="Calibri"/>
                <w:b/>
                <w:sz w:val="18"/>
              </w:rPr>
              <w:t>2027.</w:t>
            </w:r>
          </w:p>
        </w:tc>
      </w:tr>
      <w:tr w:rsidR="00B84385">
        <w:tc>
          <w:tcPr>
            <w:tcW w:w="9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Smanjenje broja reklamacija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Kvalitetnija prijevozna usluga rezultirat će smanjenjem broja reklamacija korisnika prijevoza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reklamacija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7500,0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HŽPP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5000,0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</w:pPr>
      <w:r>
        <w:rPr>
          <w:rFonts w:ascii="Calibri" w:hAnsi="Calibri" w:cs="Calibri"/>
          <w:b/>
        </w:rPr>
        <w:br/>
        <w:t>K900000  NABAVA NOVIH PRIJEVOZNIH SREDSTAVA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K900000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91.759.652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33.413.229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64.257.312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43.097.184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44.489.231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192,3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 xml:space="preserve">U 2025. planiran je odljev sredstava u iznosu od 64.257.312 eura. Od toga se 31.883.242 eura odnosi na avans za nabavu 4 </w:t>
      </w:r>
      <w:r>
        <w:rPr>
          <w:rFonts w:ascii="Calibri" w:hAnsi="Calibri" w:cs="Calibri"/>
        </w:rPr>
        <w:t>baterijska motorna vlaka, 4 elektro baterijska motorna vlaka te 5 elektrodizelskih motornih vlakova (uključivo dijelovi za agregatnu zamjenu). Nadalje, 3.711.347 eura odnosi se na razliku sredstava za dovršetak projekta nabave 1 baterijskog i 1 elektrobate</w:t>
      </w:r>
      <w:r>
        <w:rPr>
          <w:rFonts w:ascii="Calibri" w:hAnsi="Calibri" w:cs="Calibri"/>
        </w:rPr>
        <w:t>rijskog vlaka te punionica koji su financirani iz Nacionalnog plana oporavka i otpornosti. Planirani odljev sredstava u 2026. za 6 elektrodizelskih motornih vlakova iznosi 43.002.184 eura, dok je u 2027. planirano 44.381.424 eura za 5 elektrodizelskih moto</w:t>
      </w:r>
      <w:r>
        <w:rPr>
          <w:rFonts w:ascii="Calibri" w:hAnsi="Calibri" w:cs="Calibri"/>
        </w:rPr>
        <w:t>rnih vlakova (uključivo dijelovi za agregatnu zamjenu) i 2 baterijska vlaka.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Nabava novih motornih vlakova prioritet je HŽ Putničkog prijevoza s obzirom da je postojeći vozni park </w:t>
      </w:r>
      <w:r>
        <w:rPr>
          <w:rFonts w:ascii="Calibri" w:hAnsi="Calibri" w:cs="Calibri"/>
          <w:color w:val="000000"/>
        </w:rPr>
        <w:t xml:space="preserve">prosječno star više od 40 godina i neadekvatan za pružanje kvalitetne usluge, izuzev 61 novog motornog vlaka. Do kraja 2025. očekuje se daljnja isporuka 2 baterijska vlaka i 7 dizel-električnih motornih vlakova. Nabavom novih motornih vlakova ostvaruje se </w:t>
      </w:r>
      <w:r>
        <w:rPr>
          <w:rFonts w:ascii="Calibri" w:hAnsi="Calibri" w:cs="Calibri"/>
          <w:color w:val="000000"/>
        </w:rPr>
        <w:t>važan iskorak u povećanju sigurnosti i postizanju konkurentnosti na prijevoznom tržištu, što uz ostale investicije znatno pridonosi ostvarenju utvrđenih strateških ciljeva. 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Daljnjom realizacijom nabave novih motornih vlakova HŽPP će u svoj vozni park uvrs</w:t>
      </w:r>
      <w:r>
        <w:rPr>
          <w:rFonts w:ascii="Calibri" w:hAnsi="Calibri" w:cs="Calibri"/>
          <w:color w:val="000000"/>
        </w:rPr>
        <w:t>titi: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  <w:color w:val="000000"/>
        </w:rPr>
        <w:t>-      2025. - 7 dizel-električnih motornih vlakova koji se financiraju iz EUROFIMA-e , 1 baterijski i 1 elektro baterijski vlak koji se financiraju iz NPOO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  <w:color w:val="000000"/>
        </w:rPr>
        <w:t>-      </w:t>
      </w:r>
      <w:r>
        <w:rPr>
          <w:rFonts w:ascii="Calibri" w:hAnsi="Calibri" w:cs="Calibri"/>
          <w:color w:val="000000"/>
        </w:rPr>
        <w:t>2026. - 6  elektrodizelskih motornih vlakova koji se financiraju iz zajma EIB</w:t>
      </w:r>
    </w:p>
    <w:p w:rsidR="00B84385" w:rsidRDefault="00A07B4F">
      <w:pPr>
        <w:spacing w:line="240" w:lineRule="auto"/>
        <w:ind w:left="360" w:hanging="360"/>
        <w:jc w:val="both"/>
      </w:pPr>
      <w:r>
        <w:rPr>
          <w:rFonts w:ascii="Calibri" w:hAnsi="Calibri" w:cs="Calibri"/>
        </w:rPr>
        <w:t xml:space="preserve">-      </w:t>
      </w:r>
      <w:r>
        <w:rPr>
          <w:rFonts w:ascii="Calibri" w:hAnsi="Calibri" w:cs="Calibri"/>
          <w:color w:val="000000"/>
        </w:rPr>
        <w:t>2027. – 2 baterijska vlaka te 5 elektrodizelskih motornih vlakova koji se financiraju iz zajma EIB.</w:t>
      </w:r>
    </w:p>
    <w:p w:rsidR="00B84385" w:rsidRDefault="00A07B4F">
      <w:pPr>
        <w:spacing w:line="240" w:lineRule="auto"/>
        <w:ind w:left="360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210FA6" w:rsidRDefault="00210FA6">
      <w:pPr>
        <w:spacing w:line="240" w:lineRule="auto"/>
        <w:ind w:left="360" w:hanging="360"/>
        <w:jc w:val="both"/>
        <w:rPr>
          <w:rFonts w:ascii="Calibri" w:hAnsi="Calibri" w:cs="Calibri"/>
        </w:rPr>
      </w:pPr>
    </w:p>
    <w:p w:rsidR="00210FA6" w:rsidRDefault="00210FA6">
      <w:pPr>
        <w:spacing w:line="240" w:lineRule="auto"/>
        <w:ind w:left="360" w:hanging="360"/>
        <w:jc w:val="both"/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80"/>
        <w:gridCol w:w="1030"/>
        <w:gridCol w:w="1030"/>
        <w:gridCol w:w="1030"/>
        <w:gridCol w:w="1031"/>
        <w:gridCol w:w="1031"/>
        <w:gridCol w:w="1031"/>
        <w:gridCol w:w="1031"/>
      </w:tblGrid>
      <w:tr w:rsidR="00B84385">
        <w:tc>
          <w:tcPr>
            <w:tcW w:w="9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Ciljana vrijednost za </w:t>
            </w:r>
            <w:r>
              <w:rPr>
                <w:rFonts w:ascii="Calibri" w:hAnsi="Calibri" w:cs="Calibri"/>
                <w:b/>
                <w:sz w:val="18"/>
              </w:rPr>
              <w:t>2027.</w:t>
            </w:r>
          </w:p>
        </w:tc>
      </w:tr>
      <w:tr w:rsidR="00B84385">
        <w:tc>
          <w:tcPr>
            <w:tcW w:w="9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putnika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Pružanje kvalitetne usluge dovest će do povećanja broja putnika u odnosu na ostale oblike prijevoza na području RH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putnika u tisućama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20500,0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HŽPP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24009,0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24734,0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26003,0</w:t>
            </w:r>
          </w:p>
        </w:tc>
      </w:tr>
      <w:tr w:rsidR="00B84385">
        <w:tc>
          <w:tcPr>
            <w:tcW w:w="9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novih vlakova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Zamjena voznog parka prosječne starosti </w:t>
            </w:r>
            <w:r>
              <w:rPr>
                <w:rFonts w:ascii="Calibri" w:hAnsi="Calibri" w:cs="Calibri"/>
                <w:sz w:val="18"/>
              </w:rPr>
              <w:t>preko 40 godina novim motornim vlakovima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vlakova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HŽPP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76,0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83,0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</w:pPr>
      <w:r>
        <w:rPr>
          <w:rFonts w:ascii="Calibri" w:hAnsi="Calibri" w:cs="Calibri"/>
          <w:b/>
        </w:rPr>
        <w:br/>
        <w:t>K900001 INVESTICIJE U PRIJEVOZNE KAPACITETE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K900001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635.621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2.911.085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3.000.000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1.875.000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1.750.000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103,1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U 2025. planirana ulaganja u postojeći vozni park iznose 3.000.000 eura. Projekcija za 2026. iznosi 1.875.000 eura, a za 2027. 1.750.000 eura. 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0"/>
        <w:gridCol w:w="1098"/>
        <w:gridCol w:w="1021"/>
        <w:gridCol w:w="1021"/>
        <w:gridCol w:w="1021"/>
        <w:gridCol w:w="1021"/>
        <w:gridCol w:w="1021"/>
        <w:gridCol w:w="1021"/>
      </w:tblGrid>
      <w:tr w:rsidR="00B84385">
        <w:tc>
          <w:tcPr>
            <w:tcW w:w="9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Ciljana vrijednost </w:t>
            </w:r>
            <w:r>
              <w:rPr>
                <w:rFonts w:ascii="Calibri" w:hAnsi="Calibri" w:cs="Calibri"/>
                <w:b/>
                <w:sz w:val="18"/>
              </w:rPr>
              <w:t>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B84385">
        <w:tc>
          <w:tcPr>
            <w:tcW w:w="9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kvarova voznog parka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Smanjenje broja kvarova voznog parka dovest će do podizanja razine pouzdanosti voznog parka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kvarova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515,0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HŽPP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400,0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390,0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</w:pPr>
      <w:r>
        <w:rPr>
          <w:rFonts w:ascii="Calibri" w:hAnsi="Calibri" w:cs="Calibri"/>
          <w:b/>
        </w:rPr>
        <w:br/>
      </w:r>
      <w:r>
        <w:rPr>
          <w:rFonts w:ascii="Calibri" w:hAnsi="Calibri" w:cs="Calibri"/>
          <w:b/>
        </w:rPr>
        <w:t>K900002 INVESTICIJE ZA INFORMATIZACIJU SUSTAVA I GRAĐEVINSKE OBJEKTE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B84385">
        <w:tc>
          <w:tcPr>
            <w:tcW w:w="980" w:type="pct"/>
            <w:shd w:val="clear" w:color="auto" w:fill="BCDFFB"/>
            <w:vAlign w:val="center"/>
          </w:tcPr>
          <w:p w:rsidR="00B84385" w:rsidRDefault="00B84385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B84385">
        <w:tc>
          <w:tcPr>
            <w:tcW w:w="980" w:type="pct"/>
            <w:vAlign w:val="center"/>
          </w:tcPr>
          <w:p w:rsidR="00B84385" w:rsidRDefault="00A07B4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K900002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1.035.813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1.555.000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9.016.016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18.007.250</w:t>
            </w:r>
          </w:p>
        </w:tc>
        <w:tc>
          <w:tcPr>
            <w:tcW w:w="69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13.883.600</w:t>
            </w:r>
          </w:p>
        </w:tc>
        <w:tc>
          <w:tcPr>
            <w:tcW w:w="400" w:type="pct"/>
            <w:vAlign w:val="bottom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579,8</w:t>
            </w:r>
          </w:p>
        </w:tc>
      </w:tr>
    </w:tbl>
    <w:p w:rsidR="00B84385" w:rsidRDefault="00B84385">
      <w:pPr>
        <w:spacing w:after="0" w:line="240" w:lineRule="auto"/>
      </w:pP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 xml:space="preserve">U 2025. planirana ulaganja u </w:t>
      </w:r>
      <w:r>
        <w:rPr>
          <w:rFonts w:ascii="Calibri" w:hAnsi="Calibri" w:cs="Calibri"/>
        </w:rPr>
        <w:t xml:space="preserve">informatizaciju sustava iznose 2.271.000 eura, ulaganja na građevinskim objektima  5.440.016 eura, a 1.305.000 eura iznose ulaganja za ostalu nefinancijsku imovinu. Projekcija za 2026. uključuje 7.713.085 eura za informatizaciju sustava, 9.294.165 eura za </w:t>
      </w:r>
      <w:r>
        <w:rPr>
          <w:rFonts w:ascii="Calibri" w:hAnsi="Calibri" w:cs="Calibri"/>
        </w:rPr>
        <w:t>građevinske objekte i 1.000.000 eura za ostalu nefinancijsku imovinu, a za 2027. 2.283.600 eura za informatizaciju, 8.200.000 eura za građevinske objekte te 3.400.000 eura za ostalu nefinancijsku imovinu.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Najznačajniji projekti programa informatizacije sus</w:t>
      </w:r>
      <w:r>
        <w:rPr>
          <w:rFonts w:ascii="Calibri" w:hAnsi="Calibri" w:cs="Calibri"/>
        </w:rPr>
        <w:t>tava su nadogradnja informatičkog i prodajnog sustava te modernizacija vlakova s informatičkim sustavom koji se financiraju iz Nacionalnog plana oporavka i otpornosti (NPOO) u iznosu od 2.271.000 eura u 2025. te u iznosu od 3.382.000 eura u 2026. godini. P</w:t>
      </w:r>
      <w:r>
        <w:rPr>
          <w:rFonts w:ascii="Calibri" w:hAnsi="Calibri" w:cs="Calibri"/>
        </w:rPr>
        <w:t xml:space="preserve">rojektom će se osigurati novi sustav prodaje, ugradnja GPS opreme i sustava za praćenje položaja vlakova u realnom vremenu, ugradnja modernog WIFI sustava u vlakove te uvođenje  sustava za nadzor kibernetičkih prijetnji u realnom vremenu. </w:t>
      </w:r>
    </w:p>
    <w:p w:rsidR="00B84385" w:rsidRDefault="00A07B4F">
      <w:pPr>
        <w:spacing w:line="240" w:lineRule="auto"/>
        <w:jc w:val="both"/>
      </w:pPr>
      <w:r>
        <w:rPr>
          <w:rFonts w:ascii="Calibri" w:hAnsi="Calibri" w:cs="Calibri"/>
        </w:rPr>
        <w:t>Ulaganja na građ</w:t>
      </w:r>
      <w:r>
        <w:rPr>
          <w:rFonts w:ascii="Calibri" w:hAnsi="Calibri" w:cs="Calibri"/>
        </w:rPr>
        <w:t>evinskim objektima uključuju izradu dokumentacije za Tehničko-logistički centar Zagreb, što se planira financirati iz zajma Europske investicijske banke,  te  ulaganja u postojeće radionice za održavanje željezničkih vozila u Koprivnici, Osijeku, Puli, Var</w:t>
      </w:r>
      <w:r>
        <w:rPr>
          <w:rFonts w:ascii="Calibri" w:hAnsi="Calibri" w:cs="Calibri"/>
        </w:rPr>
        <w:t>aždinu, Vinkovcima i Splitu, što se planira financirati iz EUROFIMA-e.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51"/>
        <w:gridCol w:w="1236"/>
        <w:gridCol w:w="1001"/>
        <w:gridCol w:w="1001"/>
        <w:gridCol w:w="1001"/>
        <w:gridCol w:w="1001"/>
        <w:gridCol w:w="1001"/>
        <w:gridCol w:w="1002"/>
      </w:tblGrid>
      <w:tr w:rsidR="00B84385">
        <w:tc>
          <w:tcPr>
            <w:tcW w:w="9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B84385">
        <w:tc>
          <w:tcPr>
            <w:tcW w:w="9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Broj vozila sa ugrađenim </w:t>
            </w:r>
            <w:r>
              <w:rPr>
                <w:rFonts w:ascii="Calibri" w:hAnsi="Calibri" w:cs="Calibri"/>
                <w:sz w:val="18"/>
              </w:rPr>
              <w:t>GPS sustavom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Modernizacija vlakova uvođenjem GPS sustava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vozila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77,0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HŽPP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123,0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174,0</w:t>
            </w:r>
          </w:p>
        </w:tc>
        <w:tc>
          <w:tcPr>
            <w:tcW w:w="550" w:type="pct"/>
            <w:vAlign w:val="center"/>
          </w:tcPr>
          <w:p w:rsidR="00B84385" w:rsidRDefault="00A07B4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189,0</w:t>
            </w:r>
          </w:p>
        </w:tc>
      </w:tr>
    </w:tbl>
    <w:p w:rsidR="00B84385" w:rsidRDefault="00B84385">
      <w:pPr>
        <w:spacing w:after="0" w:line="240" w:lineRule="auto"/>
      </w:pPr>
    </w:p>
    <w:sectPr w:rsidR="00B84385" w:rsidSect="00210FA6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07B4F">
      <w:pPr>
        <w:spacing w:after="0" w:line="240" w:lineRule="auto"/>
      </w:pPr>
      <w:r>
        <w:separator/>
      </w:r>
    </w:p>
  </w:endnote>
  <w:endnote w:type="continuationSeparator" w:id="0">
    <w:p w:rsidR="00000000" w:rsidRDefault="00A07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385" w:rsidRDefault="00A07B4F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07B4F">
      <w:pPr>
        <w:spacing w:after="0" w:line="240" w:lineRule="auto"/>
      </w:pPr>
      <w:r>
        <w:separator/>
      </w:r>
    </w:p>
  </w:footnote>
  <w:footnote w:type="continuationSeparator" w:id="0">
    <w:p w:rsidR="00000000" w:rsidRDefault="00A07B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84385"/>
    <w:rsid w:val="00210FA6"/>
    <w:rsid w:val="00A07B4F"/>
    <w:rsid w:val="00B84385"/>
    <w:rsid w:val="00B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D7FA5"/>
  <w15:docId w15:val="{7EC36E2C-EA30-4F03-A8B2-9BBC98C6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10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10FA6"/>
  </w:style>
  <w:style w:type="paragraph" w:styleId="Podnoje">
    <w:name w:val="footer"/>
    <w:basedOn w:val="Normal"/>
    <w:link w:val="PodnojeChar"/>
    <w:uiPriority w:val="99"/>
    <w:unhideWhenUsed/>
    <w:rsid w:val="00210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0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3395</Words>
  <Characters>19355</Characters>
  <Application>Microsoft Office Word</Application>
  <DocSecurity>0</DocSecurity>
  <Lines>161</Lines>
  <Paragraphs>45</Paragraphs>
  <ScaleCrop>false</ScaleCrop>
  <Company/>
  <LinksUpToDate>false</LinksUpToDate>
  <CharactersWithSpaces>22705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4</cp:revision>
  <dcterms:created xsi:type="dcterms:W3CDTF">2024-11-13T16:36:00Z</dcterms:created>
  <dcterms:modified xsi:type="dcterms:W3CDTF">2024-11-13T16:39:00Z</dcterms:modified>
</cp:coreProperties>
</file>